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92710</wp:posOffset>
            </wp:positionV>
            <wp:extent cx="26917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1765" cy="571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65405</wp:posOffset>
            </wp:positionV>
            <wp:extent cx="26917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1765" cy="571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75565</wp:posOffset>
            </wp:positionV>
            <wp:extent cx="26917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1765" cy="571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121285</wp:posOffset>
            </wp:positionV>
            <wp:extent cx="491490" cy="371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1490" cy="371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ectPr>
          <w:pgSz w:w="11900" w:h="16838" w:orient="portrait"/>
          <w:cols w:equalWidth="0" w:num="1">
            <w:col w:w="11300"/>
          </w:cols>
          <w:pgMar w:left="300" w:top="925" w:right="299" w:bottom="1440" w:gutter="0" w:footer="0" w:header="0"/>
        </w:sectPr>
      </w:pPr>
    </w:p>
    <w:p>
      <w:pPr>
        <w:spacing w:after="0" w:line="46" w:lineRule="exact"/>
        <w:rPr>
          <w:sz w:val="24"/>
          <w:szCs w:val="24"/>
          <w:color w:val="auto"/>
        </w:rPr>
      </w:pPr>
    </w:p>
    <w:tbl>
      <w:tblPr>
        <w:tblLayout w:type="fixed"/>
        <w:tblInd w:w="1340" w:type="dxa"/>
        <w:tblCellMar>
          <w:top w:w="0" w:type="dxa"/>
          <w:left w:w="0" w:type="dxa"/>
          <w:bottom w:w="0" w:type="dxa"/>
          <w:right w:w="0" w:type="dxa"/>
        </w:tblCellMar>
      </w:tblPr>
      <w:tr>
        <w:trPr>
          <w:trHeight w:val="142"/>
        </w:trPr>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960" w:type="dxa"/>
            <w:vAlign w:val="bottom"/>
            <w:gridSpan w:val="3"/>
          </w:tcPr>
          <w:p>
            <w:pPr>
              <w:jc w:val="center"/>
              <w:ind w:left="367"/>
              <w:spacing w:after="0"/>
              <w:rPr>
                <w:sz w:val="20"/>
                <w:szCs w:val="20"/>
                <w:color w:val="auto"/>
              </w:rPr>
            </w:pPr>
            <w:r>
              <w:rPr>
                <w:rFonts w:ascii="Times New Roman" w:cs="Times New Roman" w:eastAsia="Times New Roman" w:hAnsi="Times New Roman"/>
                <w:sz w:val="11"/>
                <w:szCs w:val="11"/>
                <w:b w:val="1"/>
                <w:bCs w:val="1"/>
                <w:color w:val="auto"/>
                <w:w w:val="97"/>
              </w:rPr>
              <w:t>(Exact name of registrant as specified in its charter)</w:t>
            </w:r>
          </w:p>
        </w:tc>
        <w:tc>
          <w:tcPr>
            <w:tcW w:w="0" w:type="dxa"/>
            <w:vAlign w:val="bottom"/>
          </w:tcPr>
          <w:p>
            <w:pPr>
              <w:spacing w:after="0"/>
              <w:rPr>
                <w:sz w:val="1"/>
                <w:szCs w:val="1"/>
                <w:color w:val="auto"/>
              </w:rPr>
            </w:pPr>
          </w:p>
        </w:tc>
      </w:tr>
      <w:tr>
        <w:trPr>
          <w:trHeight w:val="67"/>
        </w:trPr>
        <w:tc>
          <w:tcPr>
            <w:tcW w:w="3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380" w:type="dxa"/>
            <w:vAlign w:val="bottom"/>
          </w:tcPr>
          <w:p>
            <w:pPr>
              <w:spacing w:after="0"/>
              <w:rPr>
                <w:sz w:val="24"/>
                <w:szCs w:val="24"/>
                <w:color w:val="auto"/>
              </w:rPr>
            </w:pPr>
          </w:p>
        </w:tc>
        <w:tc>
          <w:tcPr>
            <w:tcW w:w="2240" w:type="dxa"/>
            <w:vAlign w:val="bottom"/>
            <w:gridSpan w:val="2"/>
          </w:tcPr>
          <w:p>
            <w:pPr>
              <w:jc w:val="center"/>
              <w:ind w:right="1740"/>
              <w:spacing w:after="0"/>
              <w:rPr>
                <w:sz w:val="20"/>
                <w:szCs w:val="20"/>
                <w:color w:val="auto"/>
              </w:rPr>
            </w:pPr>
            <w:r>
              <w:rPr>
                <w:rFonts w:ascii="Times New Roman" w:cs="Times New Roman" w:eastAsia="Times New Roman" w:hAnsi="Times New Roman"/>
                <w:sz w:val="11"/>
                <w:szCs w:val="11"/>
                <w:b w:val="1"/>
                <w:bCs w:val="1"/>
                <w:color w:val="auto"/>
                <w:w w:val="94"/>
              </w:rPr>
              <w:t>Delaware</w:t>
            </w:r>
          </w:p>
        </w:tc>
        <w:tc>
          <w:tcPr>
            <w:tcW w:w="198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001-39268</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20" w:type="dxa"/>
            <w:vAlign w:val="bottom"/>
            <w:gridSpan w:val="3"/>
            <w:vMerge w:val="restart"/>
          </w:tcPr>
          <w:p>
            <w:pPr>
              <w:jc w:val="center"/>
              <w:ind w:right="1360"/>
              <w:spacing w:after="0"/>
              <w:rPr>
                <w:sz w:val="20"/>
                <w:szCs w:val="20"/>
                <w:color w:val="auto"/>
              </w:rPr>
            </w:pPr>
            <w:r>
              <w:rPr>
                <w:rFonts w:ascii="Times New Roman" w:cs="Times New Roman" w:eastAsia="Times New Roman" w:hAnsi="Times New Roman"/>
                <w:sz w:val="11"/>
                <w:szCs w:val="11"/>
                <w:i w:val="1"/>
                <w:iCs w:val="1"/>
                <w:color w:val="auto"/>
                <w:w w:val="97"/>
              </w:rPr>
              <w:t>(State or other jurisdiction of</w:t>
            </w:r>
          </w:p>
        </w:tc>
        <w:tc>
          <w:tcPr>
            <w:tcW w:w="2960" w:type="dxa"/>
            <w:vAlign w:val="bottom"/>
            <w:gridSpan w:val="3"/>
          </w:tcPr>
          <w:p>
            <w:pPr>
              <w:jc w:val="center"/>
              <w:ind w:right="540"/>
              <w:spacing w:after="0"/>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0" w:type="dxa"/>
            <w:vAlign w:val="bottom"/>
          </w:tcPr>
          <w:p>
            <w:pPr>
              <w:spacing w:after="0"/>
              <w:rPr>
                <w:sz w:val="1"/>
                <w:szCs w:val="1"/>
                <w:color w:val="auto"/>
              </w:rPr>
            </w:pPr>
          </w:p>
        </w:tc>
      </w:tr>
      <w:tr>
        <w:trPr>
          <w:trHeight w:val="47"/>
        </w:trPr>
        <w:tc>
          <w:tcPr>
            <w:tcW w:w="262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20" w:type="dxa"/>
            <w:vAlign w:val="bottom"/>
            <w:gridSpan w:val="3"/>
          </w:tcPr>
          <w:p>
            <w:pPr>
              <w:jc w:val="center"/>
              <w:ind w:right="1340"/>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22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22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9"/>
              </w:rPr>
              <w:t>Charlotte</w:t>
            </w:r>
            <w:r>
              <w:rPr>
                <w:rFonts w:ascii="Times New Roman" w:cs="Times New Roman" w:eastAsia="Times New Roman" w:hAnsi="Times New Roman"/>
                <w:sz w:val="10"/>
                <w:szCs w:val="10"/>
                <w:b w:val="1"/>
                <w:bCs w:val="1"/>
                <w:color w:val="auto"/>
                <w:w w:val="99"/>
              </w:rPr>
              <w:t>,</w:t>
            </w:r>
            <w:r>
              <w:rPr>
                <w:rFonts w:ascii="Times New Roman" w:cs="Times New Roman" w:eastAsia="Times New Roman" w:hAnsi="Times New Roman"/>
                <w:sz w:val="12"/>
                <w:szCs w:val="12"/>
                <w:color w:val="auto"/>
                <w:w w:val="99"/>
              </w:rPr>
              <w:t xml:space="preserve"> North Carolina</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i w:val="1"/>
                <w:iCs w:val="1"/>
                <w:color w:val="auto"/>
                <w:w w:val="97"/>
              </w:rPr>
              <w:t>(Address of principal executive offices)</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60" w:type="dxa"/>
            <w:vAlign w:val="bottom"/>
            <w:gridSpan w:val="3"/>
          </w:tcPr>
          <w:p>
            <w:pPr>
              <w:jc w:val="center"/>
              <w:ind w:left="347"/>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960" w:type="dxa"/>
            <w:vAlign w:val="bottom"/>
            <w:gridSpan w:val="3"/>
          </w:tcPr>
          <w:p>
            <w:pPr>
              <w:jc w:val="center"/>
              <w:ind w:left="327"/>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960" w:type="dxa"/>
            <w:vAlign w:val="bottom"/>
            <w:gridSpan w:val="3"/>
          </w:tcPr>
          <w:p>
            <w:pPr>
              <w:jc w:val="center"/>
              <w:ind w:left="367"/>
              <w:spacing w:after="0"/>
              <w:rPr>
                <w:sz w:val="20"/>
                <w:szCs w:val="20"/>
                <w:color w:val="auto"/>
              </w:rPr>
            </w:pPr>
            <w:r>
              <w:rPr>
                <w:rFonts w:ascii="Times New Roman" w:cs="Times New Roman" w:eastAsia="Times New Roman" w:hAnsi="Times New Roman"/>
                <w:sz w:val="10"/>
                <w:szCs w:val="10"/>
                <w:b w:val="1"/>
                <w:bCs w:val="1"/>
                <w:color w:val="auto"/>
                <w:w w:val="95"/>
              </w:rPr>
              <w:t>(Former name or former address, if changed since last report)</w:t>
            </w: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6"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62-1096725</w:t>
      </w:r>
    </w:p>
    <w:p>
      <w:pPr>
        <w:spacing w:after="0" w:line="72"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1"/>
          <w:szCs w:val="11"/>
          <w:i w:val="1"/>
          <w:iCs w:val="1"/>
          <w:color w:val="auto"/>
        </w:rPr>
        <w:t>(I.R.S. Employer</w:t>
      </w:r>
    </w:p>
    <w:p>
      <w:pPr>
        <w:spacing w:after="0" w:line="16" w:lineRule="exact"/>
        <w:rPr>
          <w:sz w:val="24"/>
          <w:szCs w:val="24"/>
          <w:color w:val="auto"/>
        </w:rPr>
      </w:pPr>
    </w:p>
    <w:p>
      <w:pPr>
        <w:jc w:val="right"/>
        <w:ind w:right="2540"/>
        <w:spacing w:after="0"/>
        <w:rPr>
          <w:sz w:val="20"/>
          <w:szCs w:val="20"/>
          <w:color w:val="auto"/>
        </w:rPr>
      </w:pPr>
      <w:r>
        <w:rPr>
          <w:rFonts w:ascii="Times New Roman" w:cs="Times New Roman" w:eastAsia="Times New Roman" w:hAnsi="Times New Roman"/>
          <w:sz w:val="11"/>
          <w:szCs w:val="11"/>
          <w:i w:val="1"/>
          <w:iCs w:val="1"/>
          <w:color w:val="auto"/>
        </w:rPr>
        <w:t>Identification No.)</w:t>
      </w:r>
    </w:p>
    <w:p>
      <w:pPr>
        <w:spacing w:after="0" w:line="200" w:lineRule="exact"/>
        <w:rPr>
          <w:sz w:val="24"/>
          <w:szCs w:val="24"/>
          <w:color w:val="auto"/>
        </w:rPr>
      </w:pPr>
    </w:p>
    <w:p>
      <w:pPr>
        <w:spacing w:after="0" w:line="323" w:lineRule="exact"/>
        <w:rPr>
          <w:sz w:val="24"/>
          <w:szCs w:val="24"/>
          <w:color w:val="auto"/>
        </w:rPr>
      </w:pPr>
    </w:p>
    <w:p>
      <w:pPr>
        <w:jc w:val="center"/>
        <w:ind w:right="3420"/>
        <w:spacing w:after="0"/>
        <w:rPr>
          <w:sz w:val="20"/>
          <w:szCs w:val="20"/>
          <w:color w:val="auto"/>
        </w:rPr>
      </w:pPr>
      <w:r>
        <w:rPr>
          <w:rFonts w:ascii="Times New Roman" w:cs="Times New Roman" w:eastAsia="Times New Roman" w:hAnsi="Times New Roman"/>
          <w:sz w:val="11"/>
          <w:szCs w:val="11"/>
          <w:b w:val="1"/>
          <w:bCs w:val="1"/>
          <w:color w:val="auto"/>
        </w:rPr>
        <w:t>28277</w:t>
      </w:r>
    </w:p>
    <w:p>
      <w:pPr>
        <w:spacing w:after="0" w:line="18" w:lineRule="exact"/>
        <w:rPr>
          <w:sz w:val="24"/>
          <w:szCs w:val="24"/>
          <w:color w:val="auto"/>
        </w:rPr>
      </w:pPr>
    </w:p>
    <w:p>
      <w:pPr>
        <w:jc w:val="center"/>
        <w:ind w:right="3420"/>
        <w:spacing w:after="0"/>
        <w:rPr>
          <w:sz w:val="20"/>
          <w:szCs w:val="20"/>
          <w:color w:val="auto"/>
        </w:rPr>
      </w:pPr>
      <w:r>
        <w:rPr>
          <w:rFonts w:ascii="Times New Roman" w:cs="Times New Roman" w:eastAsia="Times New Roman" w:hAnsi="Times New Roman"/>
          <w:sz w:val="10"/>
          <w:szCs w:val="10"/>
          <w:i w:val="1"/>
          <w:iCs w:val="1"/>
          <w:color w:val="auto"/>
        </w:rPr>
        <w:t>(Zip Code)</w:t>
      </w:r>
    </w:p>
    <w:p>
      <w:pPr>
        <w:spacing w:after="0" w:line="1059" w:lineRule="exact"/>
        <w:rPr>
          <w:sz w:val="24"/>
          <w:szCs w:val="24"/>
          <w:color w:val="auto"/>
        </w:rPr>
      </w:pPr>
    </w:p>
    <w:p>
      <w:pPr>
        <w:sectPr>
          <w:pgSz w:w="11900" w:h="16838" w:orient="portrait"/>
          <w:cols w:equalWidth="0" w:num="2">
            <w:col w:w="6920" w:space="480"/>
            <w:col w:w="3900"/>
          </w:cols>
          <w:pgMar w:left="300" w:top="925" w:right="299" w:bottom="1440" w:gutter="0" w:footer="0" w:header="0"/>
          <w:type w:val="continuous"/>
        </w:sectPr>
      </w:pP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5"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15"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125"/>
        </w:trPr>
        <w:tc>
          <w:tcPr>
            <w:tcW w:w="3320" w:type="dxa"/>
            <w:vAlign w:val="bottom"/>
          </w:tcPr>
          <w:p>
            <w:pPr>
              <w:spacing w:after="0"/>
              <w:rPr>
                <w:sz w:val="10"/>
                <w:szCs w:val="10"/>
                <w:color w:val="auto"/>
              </w:rPr>
            </w:pPr>
          </w:p>
        </w:tc>
        <w:tc>
          <w:tcPr>
            <w:tcW w:w="3820" w:type="dxa"/>
            <w:vAlign w:val="bottom"/>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6"/>
              </w:rPr>
              <w:t>Securities registered pursuant to Section 12(b) of the Act:</w:t>
            </w:r>
          </w:p>
        </w:tc>
        <w:tc>
          <w:tcPr>
            <w:tcW w:w="4160" w:type="dxa"/>
            <w:vAlign w:val="bottom"/>
          </w:tcPr>
          <w:p>
            <w:pPr>
              <w:spacing w:after="0"/>
              <w:rPr>
                <w:sz w:val="10"/>
                <w:szCs w:val="10"/>
                <w:color w:val="auto"/>
              </w:rPr>
            </w:pPr>
          </w:p>
        </w:tc>
      </w:tr>
      <w:tr>
        <w:trPr>
          <w:trHeight w:val="135"/>
        </w:trPr>
        <w:tc>
          <w:tcPr>
            <w:tcW w:w="3320" w:type="dxa"/>
            <w:vAlign w:val="bottom"/>
          </w:tcPr>
          <w:p>
            <w:pPr>
              <w:jc w:val="center"/>
              <w:ind w:left="372"/>
              <w:spacing w:after="0"/>
              <w:rPr>
                <w:sz w:val="20"/>
                <w:szCs w:val="20"/>
                <w:color w:val="auto"/>
              </w:rPr>
            </w:pPr>
            <w:r>
              <w:rPr>
                <w:rFonts w:ascii="Times New Roman" w:cs="Times New Roman" w:eastAsia="Times New Roman" w:hAnsi="Times New Roman"/>
                <w:sz w:val="10"/>
                <w:szCs w:val="10"/>
                <w:i w:val="1"/>
                <w:iCs w:val="1"/>
                <w:color w:val="auto"/>
                <w:w w:val="96"/>
              </w:rPr>
              <w:t>Title of each class</w:t>
            </w:r>
          </w:p>
        </w:tc>
        <w:tc>
          <w:tcPr>
            <w:tcW w:w="3820" w:type="dxa"/>
            <w:vAlign w:val="bottom"/>
          </w:tcPr>
          <w:p>
            <w:pPr>
              <w:jc w:val="center"/>
              <w:ind w:left="52"/>
              <w:spacing w:after="0"/>
              <w:rPr>
                <w:sz w:val="20"/>
                <w:szCs w:val="20"/>
                <w:color w:val="auto"/>
              </w:rPr>
            </w:pPr>
            <w:r>
              <w:rPr>
                <w:rFonts w:ascii="Times New Roman" w:cs="Times New Roman" w:eastAsia="Times New Roman" w:hAnsi="Times New Roman"/>
                <w:sz w:val="10"/>
                <w:szCs w:val="10"/>
                <w:i w:val="1"/>
                <w:iCs w:val="1"/>
                <w:color w:val="auto"/>
                <w:w w:val="95"/>
              </w:rPr>
              <w:t>Trading symbol</w:t>
            </w:r>
          </w:p>
        </w:tc>
        <w:tc>
          <w:tcPr>
            <w:tcW w:w="4160" w:type="dxa"/>
            <w:vAlign w:val="bottom"/>
          </w:tcPr>
          <w:p>
            <w:pPr>
              <w:jc w:val="center"/>
              <w:ind w:right="1032"/>
              <w:spacing w:after="0"/>
              <w:rPr>
                <w:sz w:val="20"/>
                <w:szCs w:val="20"/>
                <w:color w:val="auto"/>
              </w:rPr>
            </w:pPr>
            <w:r>
              <w:rPr>
                <w:rFonts w:ascii="Times New Roman" w:cs="Times New Roman" w:eastAsia="Times New Roman" w:hAnsi="Times New Roman"/>
                <w:sz w:val="10"/>
                <w:szCs w:val="10"/>
                <w:i w:val="1"/>
                <w:iCs w:val="1"/>
                <w:color w:val="auto"/>
                <w:w w:val="94"/>
              </w:rPr>
              <w:t>Name of each exchange on which registered</w:t>
            </w:r>
          </w:p>
        </w:tc>
      </w:tr>
      <w:tr>
        <w:trPr>
          <w:trHeight w:val="135"/>
        </w:trPr>
        <w:tc>
          <w:tcPr>
            <w:tcW w:w="3320" w:type="dxa"/>
            <w:vAlign w:val="bottom"/>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5"/>
              </w:rPr>
              <w:t>Common Stock, par value $0.01</w:t>
            </w:r>
          </w:p>
        </w:tc>
        <w:tc>
          <w:tcPr>
            <w:tcW w:w="3820" w:type="dxa"/>
            <w:vAlign w:val="bottom"/>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1"/>
              </w:rPr>
              <w:t>NNBR</w:t>
            </w:r>
          </w:p>
        </w:tc>
        <w:tc>
          <w:tcPr>
            <w:tcW w:w="4160" w:type="dxa"/>
            <w:vAlign w:val="bottom"/>
          </w:tcPr>
          <w:p>
            <w:pPr>
              <w:jc w:val="center"/>
              <w:ind w:right="1052"/>
              <w:spacing w:after="0"/>
              <w:rPr>
                <w:sz w:val="20"/>
                <w:szCs w:val="20"/>
                <w:color w:val="auto"/>
              </w:rPr>
            </w:pPr>
            <w:r>
              <w:rPr>
                <w:rFonts w:ascii="Times New Roman" w:cs="Times New Roman" w:eastAsia="Times New Roman" w:hAnsi="Times New Roman"/>
                <w:sz w:val="10"/>
                <w:szCs w:val="10"/>
                <w:b w:val="1"/>
                <w:bCs w:val="1"/>
                <w:color w:val="auto"/>
                <w:w w:val="95"/>
              </w:rPr>
              <w:t>The Nasdaq Stock Market LLC</w:t>
            </w:r>
          </w:p>
        </w:tc>
      </w:tr>
      <w:tr>
        <w:trPr>
          <w:trHeight w:val="656"/>
        </w:trPr>
        <w:tc>
          <w:tcPr>
            <w:tcW w:w="33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r>
      <w:tr>
        <w:trPr>
          <w:trHeight w:val="111"/>
        </w:trPr>
        <w:tc>
          <w:tcPr>
            <w:tcW w:w="33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25" w:right="299" w:bottom="1440" w:gutter="0" w:footer="0" w:header="0"/>
          <w:type w:val="continuous"/>
        </w:sectPr>
      </w:pPr>
    </w:p>
    <w:bookmarkStart w:id="1" w:name="page2"/>
    <w:bookmarkEnd w:id="1"/>
    <w:p>
      <w:pPr>
        <w:ind w:right="60"/>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9600"/>
        <w:spacing w:after="0" w:line="138" w:lineRule="exact"/>
        <w:tabs>
          <w:tab w:leader="none" w:pos="1106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34" w:lineRule="exact"/>
        <w:rPr>
          <w:sz w:val="20"/>
          <w:szCs w:val="20"/>
          <w:color w:val="auto"/>
        </w:rPr>
      </w:pPr>
    </w:p>
    <w:p>
      <w:pPr>
        <w:spacing w:after="0" w:line="13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496570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400685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417830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669" w:right="39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64" w:lineRule="exact"/>
        <w:rPr>
          <w:sz w:val="20"/>
          <w:szCs w:val="20"/>
          <w:color w:val="auto"/>
        </w:rPr>
      </w:pPr>
    </w:p>
    <w:p>
      <w:pPr>
        <w:ind w:right="420" w:firstLine="432"/>
        <w:spacing w:after="0" w:line="311" w:lineRule="auto"/>
        <w:rPr>
          <w:sz w:val="20"/>
          <w:szCs w:val="20"/>
          <w:color w:val="auto"/>
        </w:rPr>
      </w:pPr>
      <w:r>
        <w:rPr>
          <w:rFonts w:ascii="Times New Roman" w:cs="Times New Roman" w:eastAsia="Times New Roman" w:hAnsi="Times New Roman"/>
          <w:sz w:val="12"/>
          <w:szCs w:val="12"/>
          <w:color w:val="auto"/>
        </w:rPr>
        <w:t>On May 11, 2026, NN, Inc., a Delaware corporation (the “Company”), posted an updated copy of the investor presentation to its website at https://investors.nninc.com. The presentation will be used at the ROTH virtual roadshow on May 11, 2026, where certain officers of the Company are scheduled to participate. A copy of this presentation is included as Exhibit 99.1 to this Current Report.</w:t>
      </w:r>
    </w:p>
    <w:p>
      <w:pPr>
        <w:spacing w:after="0" w:line="128" w:lineRule="exact"/>
        <w:rPr>
          <w:sz w:val="20"/>
          <w:szCs w:val="20"/>
          <w:color w:val="auto"/>
        </w:rPr>
      </w:pPr>
    </w:p>
    <w:p>
      <w:pPr>
        <w:jc w:val="both"/>
        <w:ind w:right="40" w:firstLine="432"/>
        <w:spacing w:after="0" w:line="280"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under the Securities Act of 1933, as amended, or the Exchange Act, whether made before or after the date hereof, regardless of any general incorporation language in such filing.</w:t>
      </w:r>
    </w:p>
    <w:p>
      <w:pPr>
        <w:spacing w:after="0" w:line="147" w:lineRule="exact"/>
        <w:rPr>
          <w:sz w:val="20"/>
          <w:szCs w:val="20"/>
          <w:color w:val="auto"/>
        </w:rPr>
      </w:pPr>
    </w:p>
    <w:p>
      <w:pPr>
        <w:jc w:val="both"/>
        <w:ind w:right="40" w:firstLine="432"/>
        <w:spacing w:after="0" w:line="295" w:lineRule="auto"/>
        <w:rPr>
          <w:sz w:val="20"/>
          <w:szCs w:val="20"/>
          <w:color w:val="auto"/>
        </w:rPr>
      </w:pPr>
      <w:r>
        <w:rPr>
          <w:rFonts w:ascii="Times New Roman" w:cs="Times New Roman" w:eastAsia="Times New Roman" w:hAnsi="Times New Roman"/>
          <w:sz w:val="12"/>
          <w:szCs w:val="12"/>
          <w:color w:val="auto"/>
        </w:rPr>
        <w:t>The Company routinely uses its investor relations website (https://investors.nninc.com)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spacing w:after="0" w:line="35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71"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4"/>
              </w:rPr>
              <w:t>No.</w:t>
            </w:r>
          </w:p>
        </w:tc>
        <w:tc>
          <w:tcPr>
            <w:tcW w:w="2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0400" w:type="dxa"/>
            <w:vAlign w:val="bottom"/>
            <w:gridSpan w:val="3"/>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Description of Exhibit</w:t>
            </w:r>
          </w:p>
        </w:tc>
        <w:tc>
          <w:tcPr>
            <w:tcW w:w="0" w:type="dxa"/>
            <w:vAlign w:val="bottom"/>
          </w:tcPr>
          <w:p>
            <w:pPr>
              <w:spacing w:after="0"/>
              <w:rPr>
                <w:sz w:val="1"/>
                <w:szCs w:val="1"/>
                <w:color w:val="auto"/>
              </w:rPr>
            </w:pPr>
          </w:p>
        </w:tc>
      </w:tr>
      <w:tr>
        <w:trPr>
          <w:trHeight w:val="20"/>
        </w:trPr>
        <w:tc>
          <w:tcPr>
            <w:tcW w:w="5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99.1</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060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0000FF"/>
              </w:rPr>
              <w:t>Investor Presentation, dated May 2026</w:t>
            </w:r>
          </w:p>
        </w:tc>
        <w:tc>
          <w:tcPr>
            <w:tcW w:w="0" w:type="dxa"/>
            <w:vAlign w:val="bottom"/>
          </w:tcPr>
          <w:p>
            <w:pPr>
              <w:spacing w:after="0"/>
              <w:rPr>
                <w:sz w:val="1"/>
                <w:szCs w:val="1"/>
                <w:color w:val="auto"/>
              </w:rPr>
            </w:pPr>
          </w:p>
        </w:tc>
      </w:tr>
      <w:tr>
        <w:trPr>
          <w:trHeight w:val="20"/>
        </w:trPr>
        <w:tc>
          <w:tcPr>
            <w:tcW w:w="5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104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125"/>
        </w:trPr>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880" w:type="dxa"/>
            <w:vAlign w:val="bottom"/>
          </w:tcPr>
          <w:p>
            <w:pPr>
              <w:ind w:left="220"/>
              <w:spacing w:after="0"/>
              <w:rPr>
                <w:sz w:val="20"/>
                <w:szCs w:val="20"/>
                <w:color w:val="auto"/>
              </w:rPr>
            </w:pPr>
            <w:r>
              <w:rPr>
                <w:rFonts w:ascii="Times New Roman" w:cs="Times New Roman" w:eastAsia="Times New Roman" w:hAnsi="Times New Roman"/>
                <w:sz w:val="12"/>
                <w:szCs w:val="12"/>
                <w:color w:val="auto"/>
                <w:w w:val="95"/>
              </w:rPr>
              <w:t>May 11, 2026</w:t>
            </w:r>
          </w:p>
        </w:tc>
      </w:tr>
    </w:tbl>
    <w:p>
      <w:pPr>
        <w:spacing w:after="0" w:line="291" w:lineRule="exact"/>
        <w:rPr>
          <w:sz w:val="20"/>
          <w:szCs w:val="20"/>
          <w:color w:val="auto"/>
        </w:rPr>
      </w:pPr>
    </w:p>
    <w:tbl>
      <w:tblPr>
        <w:tblLayout w:type="fixed"/>
        <w:tblInd w:w="5460" w:type="dxa"/>
        <w:tblCellMar>
          <w:top w:w="0" w:type="dxa"/>
          <w:left w:w="0" w:type="dxa"/>
          <w:bottom w:w="0" w:type="dxa"/>
          <w:right w:w="0" w:type="dxa"/>
        </w:tblCellMar>
      </w:tblPr>
      <w:tr>
        <w:trPr>
          <w:trHeight w:val="159"/>
        </w:trPr>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4820" w:type="dxa"/>
            <w:vAlign w:val="bottom"/>
          </w:tcPr>
          <w:p>
            <w:pPr>
              <w:spacing w:after="0"/>
              <w:rPr>
                <w:sz w:val="13"/>
                <w:szCs w:val="13"/>
                <w:color w:val="auto"/>
              </w:rPr>
            </w:pPr>
          </w:p>
        </w:tc>
      </w:tr>
      <w:tr>
        <w:trPr>
          <w:trHeight w:val="333"/>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0"/>
        </w:trPr>
        <w:tc>
          <w:tcPr>
            <w:tcW w:w="10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55"/>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11300"/>
          </w:cols>
          <w:pgMar w:left="300" w:top="809" w:right="2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2026-05-11T08:32:24Z</dcterms:created>
  <dcterms:modified xsi:type="dcterms:W3CDTF">2026-05-11T08:32:24Z</dcterms:modified>
</cp:coreProperties>
</file>