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2)*</w:t>
      </w:r>
    </w:p>
    <w:p>
      <w:pPr>
        <w:spacing w:after="0" w:line="207" w:lineRule="exact"/>
        <w:rPr>
          <w:sz w:val="24"/>
          <w:szCs w:val="24"/>
          <w:color w:val="auto"/>
        </w:rPr>
      </w:pPr>
    </w:p>
    <w:p>
      <w:pPr>
        <w:ind w:left="3060" w:right="5159" w:hanging="208"/>
        <w:spacing w:after="0" w:line="290" w:lineRule="auto"/>
        <w:tabs>
          <w:tab w:leader="none" w:pos="31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spacing w:after="0" w:line="16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629305103</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5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rPr>
              <w:t>(CUSIP Number)</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08"/>
        </w:trPr>
        <w:tc>
          <w:tcPr>
            <w:tcW w:w="4380" w:type="dxa"/>
            <w:vAlign w:val="bottom"/>
            <w:gridSpan w:val="3"/>
          </w:tcPr>
          <w:p>
            <w:pPr>
              <w:spacing w:after="0"/>
              <w:rPr>
                <w:sz w:val="20"/>
                <w:szCs w:val="20"/>
                <w:color w:val="auto"/>
              </w:rPr>
            </w:pPr>
            <w:r>
              <w:rPr>
                <w:rFonts w:ascii="Courier New" w:cs="Courier New" w:eastAsia="Courier New" w:hAnsi="Courier New"/>
                <w:sz w:val="18"/>
                <w:szCs w:val="18"/>
                <w:color w:val="auto"/>
                <w:w w:val="98"/>
              </w:rPr>
              <w:t>Check the following box if a fee is being</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paid with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this statement</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(A fee</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is not required only</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if the filing</w:t>
            </w:r>
          </w:p>
        </w:tc>
        <w:tc>
          <w:tcPr>
            <w:tcW w:w="3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person: (1) has a previous</w:t>
            </w:r>
          </w:p>
        </w:tc>
        <w:tc>
          <w:tcPr>
            <w:tcW w:w="100" w:type="dxa"/>
            <w:vAlign w:val="bottom"/>
          </w:tcPr>
          <w:p>
            <w:pPr>
              <w:spacing w:after="0"/>
              <w:rPr>
                <w:sz w:val="17"/>
                <w:szCs w:val="17"/>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on file reporting</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ownership of</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 percent</w:t>
            </w:r>
          </w:p>
        </w:tc>
        <w:tc>
          <w:tcPr>
            <w:tcW w:w="1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w:t>
            </w:r>
          </w:p>
        </w:tc>
        <w:tc>
          <w:tcPr>
            <w:tcW w:w="4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class of securities described in Item l; and</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 has filed no</w:t>
            </w:r>
          </w:p>
        </w:tc>
        <w:tc>
          <w:tcPr>
            <w:tcW w:w="100" w:type="dxa"/>
            <w:vAlign w:val="bottom"/>
          </w:tcPr>
          <w:p>
            <w:pPr>
              <w:spacing w:after="0"/>
              <w:rPr>
                <w:sz w:val="17"/>
                <w:szCs w:val="17"/>
                <w:color w:val="auto"/>
              </w:rPr>
            </w:pPr>
          </w:p>
        </w:tc>
      </w:tr>
    </w:tbl>
    <w:p>
      <w:pPr>
        <w:spacing w:after="0" w:line="4" w:lineRule="exact"/>
        <w:rPr>
          <w:sz w:val="24"/>
          <w:szCs w:val="24"/>
          <w:color w:val="auto"/>
        </w:rPr>
      </w:pPr>
    </w:p>
    <w:p>
      <w:pPr>
        <w:jc w:val="both"/>
        <w:ind w:right="2319"/>
        <w:spacing w:after="0" w:line="235" w:lineRule="auto"/>
        <w:rPr>
          <w:sz w:val="20"/>
          <w:szCs w:val="20"/>
          <w:color w:val="auto"/>
        </w:rPr>
      </w:pPr>
      <w:r>
        <w:rPr>
          <w:rFonts w:ascii="Courier New" w:cs="Courier New" w:eastAsia="Courier New" w:hAnsi="Courier New"/>
          <w:sz w:val="18"/>
          <w:szCs w:val="18"/>
          <w:color w:val="auto"/>
        </w:rPr>
        <w:t>amendment subsequent thereto reporting beneficial ownership of five percent or less of such class.)(See Rule 13d-7).</w:t>
      </w:r>
    </w:p>
    <w:p>
      <w:pPr>
        <w:spacing w:after="0" w:line="208"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64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Neuberger &amp; Berman, LLC</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13-5521910</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/__/</w:t>
            </w:r>
          </w:p>
        </w:tc>
      </w:tr>
      <w:tr>
        <w:trPr>
          <w:trHeight w:val="203"/>
        </w:trPr>
        <w:tc>
          <w:tcPr>
            <w:tcW w:w="3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 OF ORGANIZATION</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640" w:right="7899" w:hanging="632"/>
        <w:spacing w:after="0" w:line="235" w:lineRule="auto"/>
        <w:tabs>
          <w:tab w:leader="none" w:pos="5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738,190</w:t>
      </w:r>
    </w:p>
    <w:p>
      <w:pPr>
        <w:spacing w:after="0" w:line="208" w:lineRule="exact"/>
        <w:rPr>
          <w:rFonts w:ascii="Courier New" w:cs="Courier New" w:eastAsia="Courier New" w:hAnsi="Courier New"/>
          <w:sz w:val="18"/>
          <w:szCs w:val="18"/>
          <w:color w:val="auto"/>
        </w:rPr>
      </w:pPr>
    </w:p>
    <w:p>
      <w:pPr>
        <w:ind w:left="640" w:right="7679" w:hanging="632"/>
        <w:spacing w:after="0" w:line="235" w:lineRule="auto"/>
        <w:tabs>
          <w:tab w:leader="none" w:pos="5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332,000</w:t>
      </w:r>
    </w:p>
    <w:p>
      <w:pPr>
        <w:spacing w:after="0" w:line="208" w:lineRule="exact"/>
        <w:rPr>
          <w:rFonts w:ascii="Courier New" w:cs="Courier New" w:eastAsia="Courier New" w:hAnsi="Courier New"/>
          <w:sz w:val="18"/>
          <w:szCs w:val="18"/>
          <w:color w:val="auto"/>
        </w:rPr>
      </w:pPr>
    </w:p>
    <w:p>
      <w:pPr>
        <w:ind w:left="640" w:right="7359" w:hanging="632"/>
        <w:spacing w:after="0" w:line="235" w:lineRule="auto"/>
        <w:tabs>
          <w:tab w:leader="none" w:pos="5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640" w:right="7159" w:hanging="632"/>
        <w:spacing w:after="0" w:line="235" w:lineRule="auto"/>
        <w:tabs>
          <w:tab w:leader="none" w:pos="5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1,070,190</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3359" w:hanging="632"/>
        <w:spacing w:after="0" w:line="235" w:lineRule="auto"/>
        <w:tabs>
          <w:tab w:leader="none" w:pos="5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1,070,190</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26,900</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ind w:left="640"/>
        <w:spacing w:after="0" w:line="238" w:lineRule="auto"/>
        <w:rPr>
          <w:sz w:val="20"/>
          <w:szCs w:val="20"/>
          <w:color w:val="auto"/>
        </w:rPr>
      </w:pPr>
      <w:r>
        <w:rPr>
          <w:rFonts w:ascii="Courier New" w:cs="Courier New" w:eastAsia="Courier New" w:hAnsi="Courier New"/>
          <w:sz w:val="18"/>
          <w:szCs w:val="18"/>
          <w:color w:val="auto"/>
        </w:rPr>
        <w:t>7.23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gridSpan w:val="4"/>
          </w:tcPr>
          <w:p>
            <w:pPr>
              <w:spacing w:after="0"/>
              <w:rPr>
                <w:sz w:val="20"/>
                <w:szCs w:val="20"/>
                <w:color w:val="auto"/>
              </w:rPr>
            </w:pPr>
            <w:r>
              <w:rPr>
                <w:rFonts w:ascii="Courier New" w:cs="Courier New" w:eastAsia="Courier New" w:hAnsi="Courier New"/>
                <w:sz w:val="18"/>
                <w:szCs w:val="18"/>
                <w:color w:val="auto"/>
              </w:rPr>
              <w:t>12)   TYPE OF REPORTING PERSON*</w:t>
            </w:r>
          </w:p>
        </w:tc>
        <w:tc>
          <w:tcPr>
            <w:tcW w:w="2520" w:type="dxa"/>
            <w:vAlign w:val="bottom"/>
          </w:tcPr>
          <w:p>
            <w:pPr>
              <w:spacing w:after="0"/>
              <w:rPr>
                <w:sz w:val="17"/>
                <w:szCs w:val="17"/>
                <w:color w:val="auto"/>
              </w:rPr>
            </w:pPr>
          </w:p>
        </w:tc>
      </w:tr>
      <w:tr>
        <w:trPr>
          <w:trHeight w:val="608"/>
        </w:trPr>
        <w:tc>
          <w:tcPr>
            <w:tcW w:w="14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BD/IA</w:t>
            </w: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08"/>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w w:val="96"/>
              </w:rPr>
              <w:t>CUSIP No. 629305103</w:t>
            </w:r>
          </w:p>
        </w:tc>
        <w:tc>
          <w:tcPr>
            <w:tcW w:w="338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Page 3 of 5 Pages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Name of Issuer:</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NN Ball &amp; Roller Inc.</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800</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Tennessee Rd Erwin, TN 37650</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Name of Person Filing:</w:t>
            </w:r>
          </w:p>
        </w:tc>
        <w:tc>
          <w:tcPr>
            <w:tcW w:w="25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Neuberger &amp; Berman, LLC</w:t>
            </w:r>
          </w:p>
        </w:tc>
        <w:tc>
          <w:tcPr>
            <w:tcW w:w="25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Neuberger &amp; Berman Management Incorporated</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605</w:t>
            </w:r>
          </w:p>
        </w:tc>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Third Ave., New York, NY, 10158-3698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(c)</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Citizenship: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USA</w:t>
            </w: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(d)</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Title of Class of Securities: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Common</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CUSIP Number:</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629305103</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Broker or Dealer registered under Section 15 of the Act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Investment Adviser registered under Section 203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Investment Advisers Act of 1940</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Company Act.</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Ownership: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Amount Beneficially Owned:</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1,070,190</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(b)</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Percent of Class: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w w:val="92"/>
              </w:rPr>
              <w:t>7.23</w:t>
            </w: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1" w:lineRule="exact"/>
        <w:rPr>
          <w:sz w:val="20"/>
          <w:szCs w:val="20"/>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800" w:right="4739" w:hanging="739"/>
        <w:spacing w:after="0" w:line="235" w:lineRule="auto"/>
        <w:tabs>
          <w:tab w:leader="none" w:pos="18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738,190</w:t>
      </w:r>
    </w:p>
    <w:p>
      <w:pPr>
        <w:spacing w:after="0" w:line="208" w:lineRule="exact"/>
        <w:rPr>
          <w:sz w:val="20"/>
          <w:szCs w:val="20"/>
          <w:color w:val="auto"/>
        </w:rPr>
      </w:pPr>
    </w:p>
    <w:p>
      <w:pPr>
        <w:ind w:left="1800" w:right="451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332,000</w:t>
      </w:r>
    </w:p>
    <w:p>
      <w:pPr>
        <w:spacing w:after="0" w:line="208" w:lineRule="exact"/>
        <w:rPr>
          <w:rFonts w:ascii="Courier New" w:cs="Courier New" w:eastAsia="Courier New" w:hAnsi="Courier New"/>
          <w:sz w:val="18"/>
          <w:szCs w:val="18"/>
          <w:color w:val="auto"/>
        </w:rPr>
      </w:pPr>
    </w:p>
    <w:p>
      <w:pPr>
        <w:ind w:left="1800" w:right="315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rFonts w:ascii="Courier New" w:cs="Courier New" w:eastAsia="Courier New" w:hAnsi="Courier New"/>
          <w:sz w:val="18"/>
          <w:szCs w:val="18"/>
          <w:color w:val="auto"/>
        </w:rPr>
      </w:pPr>
    </w:p>
    <w:p>
      <w:pPr>
        <w:ind w:left="1800" w:right="2939" w:hanging="739"/>
        <w:spacing w:after="0" w:line="235" w:lineRule="auto"/>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1,070,190</w:t>
      </w:r>
    </w:p>
    <w:p>
      <w:pPr>
        <w:spacing w:after="0" w:line="200" w:lineRule="exact"/>
        <w:rPr>
          <w:sz w:val="20"/>
          <w:szCs w:val="20"/>
          <w:color w:val="auto"/>
        </w:rPr>
      </w:pP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219"/>
          </w:cols>
          <w:pgMar w:left="240" w:top="136" w:right="1440" w:bottom="335" w:gutter="0" w:footer="0" w:header="0"/>
        </w:sectPr>
      </w:pPr>
    </w:p>
    <w:bookmarkStart w:id="2" w:name="page3"/>
    <w:bookmarkEnd w:id="2"/>
    <w:p>
      <w:pPr>
        <w:ind w:right="2319"/>
        <w:spacing w:after="0" w:line="237" w:lineRule="auto"/>
        <w:rPr>
          <w:sz w:val="20"/>
          <w:szCs w:val="20"/>
          <w:color w:val="auto"/>
        </w:rPr>
      </w:pPr>
      <w:r>
        <w:rPr>
          <w:rFonts w:ascii="Courier New" w:cs="Courier New" w:eastAsia="Courier New" w:hAnsi="Courier New"/>
          <w:sz w:val="18"/>
          <w:szCs w:val="18"/>
          <w:color w:val="auto"/>
        </w:rPr>
        <w:t>Neuberger &amp; Berman, LLC is deemed to be a beneficial owner for purpose of Rule 13(d) since it has shared power to make decisions whether to retain or dispose of, and in some cases the sole power to vote, the securities of many unrelated clients. Neuberger &amp;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Principal(s) of Neuberger &amp; Berman, LLC own 26,900 shares. Principal(s) own these shares in their own personal securities accounts. Neuberger &amp; Berman LLC disclaims beneficial ownership of these shares since; these shares were purchased with each principal(s)' personal funds and each principal has exclusive dispositive and voting power over the shares held in their respective accounts.</w:t>
      </w: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With regard to the shares set forth under Item 4.(c)(II), Neuberger &amp; Berman, LLC and Neuberger &amp; Berman Management Inc. are deemed to be beneficial owners for purposes of Rule 13(d) since they both have shared power to make decisions whether to retain or dispose and vote the securities. Neuberger &amp; Berman, LLC and Neuberger &amp; Berman Management Inc. serve as sub-adviser and investment manager, respectively, of Neuberger &amp; Berman's various Mutual Funds which hold such shares in the ordinary course of their business and not with the purpose nor with the effect of changing or influencing the control of the issuer.</w:t>
      </w:r>
    </w:p>
    <w:p>
      <w:pPr>
        <w:spacing w:after="0" w:line="21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 other Neuberger &amp; Berman, LLC advisory client has an interest of more than 5% of the issuer.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It should be further</w:t>
            </w:r>
          </w:p>
        </w:tc>
        <w:tc>
          <w:tcPr>
            <w:tcW w:w="564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noted that the share calculation under item 4.(c)(IV)</w:t>
            </w:r>
          </w:p>
        </w:tc>
      </w:tr>
      <w:tr>
        <w:trPr>
          <w:trHeight w:val="203"/>
        </w:trPr>
        <w:tc>
          <w:tcPr>
            <w:tcW w:w="6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is derived from a total combination of the shares set forth under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4.(c)(I and II). The</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remaining balance of shares, if any,</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for</w:t>
            </w:r>
          </w:p>
        </w:tc>
        <w:tc>
          <w:tcPr>
            <w:tcW w:w="900" w:type="dxa"/>
            <w:vAlign w:val="bottom"/>
          </w:tcPr>
          <w:p>
            <w:pPr>
              <w:spacing w:after="0"/>
              <w:rPr>
                <w:sz w:val="17"/>
                <w:szCs w:val="17"/>
                <w:color w:val="auto"/>
              </w:rPr>
            </w:pP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individual client accounts over which Neuberger &amp; Berman,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LLC has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power to dispose but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vote shares.</w:t>
            </w: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629305103</w:t>
            </w:r>
          </w:p>
        </w:tc>
        <w:tc>
          <w:tcPr>
            <w:tcW w:w="24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13G</w:t>
            </w: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Page 5</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5 Pages</w:t>
            </w:r>
          </w:p>
        </w:tc>
      </w:tr>
    </w:tbl>
    <w:p>
      <w:pPr>
        <w:spacing w:after="0" w:line="207" w:lineRule="exact"/>
        <w:rPr>
          <w:sz w:val="20"/>
          <w:szCs w:val="20"/>
          <w:color w:val="auto"/>
        </w:rPr>
      </w:pPr>
    </w:p>
    <w:p>
      <w:pPr>
        <w:ind w:left="1800" w:right="2419" w:hanging="1790"/>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C. Carl Randolph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Principal/General Counsel</w:t>
      </w:r>
    </w:p>
    <w:p>
      <w:pPr>
        <w:ind w:left="54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40"/>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lowerLetter"/>
      <w:start w:val="3"/>
    </w:lvl>
    <w:lvl w:ilvl="1">
      <w:lvlJc w:val="left"/>
      <w:lvlText w:val="(%2)"/>
      <w:numFmt w:val="upperLetter"/>
      <w:start w:val="9"/>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2019-12-14T02:34:21Z</dcterms:created>
  <dcterms:modified xsi:type="dcterms:W3CDTF">2019-12-14T02:34:21Z</dcterms:modified>
</cp:coreProperties>
</file>