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____________________</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May 19,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3272790</wp:posOffset>
            </wp:positionH>
            <wp:positionV relativeFrom="paragraph">
              <wp:posOffset>323850</wp:posOffset>
            </wp:positionV>
            <wp:extent cx="720090"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5280"/>
        <w:spacing w:after="0"/>
        <w:rPr>
          <w:sz w:val="20"/>
          <w:szCs w:val="20"/>
          <w:color w:val="auto"/>
        </w:rPr>
      </w:pPr>
      <w:r>
        <w:rPr>
          <w:rFonts w:ascii="Arial" w:cs="Arial" w:eastAsia="Arial" w:hAnsi="Arial"/>
          <w:sz w:val="22"/>
          <w:szCs w:val="22"/>
          <w:b w:val="1"/>
          <w:bCs w:val="1"/>
          <w:u w:val="single" w:color="auto"/>
          <w:color w:val="auto"/>
        </w:rPr>
        <w:t>NN, INC.</w:t>
      </w:r>
    </w:p>
    <w:p>
      <w:pPr>
        <w:spacing w:after="0" w:line="19"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40" w:type="dxa"/>
            <w:vAlign w:val="bottom"/>
            <w:gridSpan w:val="4"/>
          </w:tcPr>
          <w:p>
            <w:pPr>
              <w:ind w:left="1620"/>
              <w:spacing w:after="0"/>
              <w:rPr>
                <w:sz w:val="20"/>
                <w:szCs w:val="20"/>
                <w:color w:val="auto"/>
              </w:rPr>
            </w:pPr>
            <w:r>
              <w:rPr>
                <w:rFonts w:ascii="Arial" w:cs="Arial" w:eastAsia="Arial" w:hAnsi="Arial"/>
                <w:sz w:val="18"/>
                <w:szCs w:val="18"/>
                <w:color w:val="auto"/>
                <w:w w:val="97"/>
              </w:rPr>
              <w:t>(Exact name of registrant as specified in its charter)</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2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900" w:type="dxa"/>
            <w:vAlign w:val="bottom"/>
          </w:tcPr>
          <w:p>
            <w:pPr>
              <w:spacing w:after="0"/>
              <w:rPr>
                <w:sz w:val="24"/>
                <w:szCs w:val="24"/>
                <w:color w:val="auto"/>
              </w:rPr>
            </w:pPr>
          </w:p>
        </w:tc>
        <w:tc>
          <w:tcPr>
            <w:tcW w:w="290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9"/>
        </w:trPr>
        <w:tc>
          <w:tcPr>
            <w:tcW w:w="3640" w:type="dxa"/>
            <w:vAlign w:val="bottom"/>
            <w:gridSpan w:val="4"/>
          </w:tcPr>
          <w:p>
            <w:pPr>
              <w:jc w:val="center"/>
              <w:ind w:right="1410"/>
              <w:spacing w:after="0"/>
              <w:rPr>
                <w:sz w:val="20"/>
                <w:szCs w:val="20"/>
                <w:color w:val="auto"/>
              </w:rPr>
            </w:pPr>
            <w:r>
              <w:rPr>
                <w:rFonts w:ascii="Arial" w:cs="Arial" w:eastAsia="Arial" w:hAnsi="Arial"/>
                <w:sz w:val="18"/>
                <w:szCs w:val="18"/>
                <w:color w:val="auto"/>
                <w:w w:val="91"/>
              </w:rPr>
              <w:t>(State or Other Jurisdiction of</w:t>
            </w:r>
          </w:p>
        </w:tc>
        <w:tc>
          <w:tcPr>
            <w:tcW w:w="342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(Commission File Number)</w:t>
            </w:r>
          </w:p>
        </w:tc>
        <w:tc>
          <w:tcPr>
            <w:tcW w:w="2900" w:type="dxa"/>
            <w:vAlign w:val="bottom"/>
            <w:gridSpan w:val="5"/>
          </w:tcPr>
          <w:p>
            <w:pPr>
              <w:jc w:val="center"/>
              <w:ind w:left="21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0" w:type="dxa"/>
            <w:vAlign w:val="bottom"/>
          </w:tcPr>
          <w:p>
            <w:pPr>
              <w:spacing w:after="0"/>
              <w:rPr>
                <w:sz w:val="20"/>
                <w:szCs w:val="20"/>
                <w:color w:val="auto"/>
              </w:rPr>
            </w:pPr>
          </w:p>
        </w:tc>
        <w:tc>
          <w:tcPr>
            <w:tcW w:w="3620" w:type="dxa"/>
            <w:vAlign w:val="bottom"/>
            <w:gridSpan w:val="3"/>
          </w:tcPr>
          <w:p>
            <w:pPr>
              <w:jc w:val="center"/>
              <w:ind w:right="1450"/>
              <w:spacing w:after="0"/>
              <w:rPr>
                <w:sz w:val="20"/>
                <w:szCs w:val="20"/>
                <w:color w:val="auto"/>
              </w:rPr>
            </w:pPr>
            <w:r>
              <w:rPr>
                <w:rFonts w:ascii="Arial" w:cs="Arial" w:eastAsia="Arial" w:hAnsi="Arial"/>
                <w:sz w:val="18"/>
                <w:szCs w:val="18"/>
                <w:color w:val="auto"/>
                <w:w w:val="93"/>
              </w:rPr>
              <w:t>Incorporation)</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3"/>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900" w:type="dxa"/>
            <w:vAlign w:val="bottom"/>
            <w:gridSpan w:val="5"/>
          </w:tcPr>
          <w:p>
            <w:pPr>
              <w:jc w:val="center"/>
              <w:ind w:right="110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right="-73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861695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594" w:right="8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Annual Meeting of the shareholders of NN, Inc. (the “Company”) was held on May 19, 2011. At the Annual Meeting, the following proposals were considered:</w:t>
      </w:r>
    </w:p>
    <w:p>
      <w:pPr>
        <w:spacing w:after="0" w:line="197" w:lineRule="exact"/>
        <w:rPr>
          <w:sz w:val="20"/>
          <w:szCs w:val="20"/>
          <w:color w:val="auto"/>
        </w:rPr>
      </w:pPr>
    </w:p>
    <w:p>
      <w:pPr>
        <w:ind w:left="1300" w:hanging="29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 directors to serve for a term of three years;</w:t>
      </w:r>
    </w:p>
    <w:p>
      <w:pPr>
        <w:spacing w:after="0" w:line="252" w:lineRule="exact"/>
        <w:rPr>
          <w:rFonts w:ascii="Arial" w:cs="Arial" w:eastAsia="Arial" w:hAnsi="Arial"/>
          <w:sz w:val="18"/>
          <w:szCs w:val="18"/>
          <w:color w:val="auto"/>
        </w:rPr>
      </w:pPr>
    </w:p>
    <w:p>
      <w:pPr>
        <w:ind w:left="1300" w:hanging="29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approval of the Company’s 2011 Stock Incentive Plan;</w:t>
      </w:r>
    </w:p>
    <w:p>
      <w:pPr>
        <w:spacing w:after="0" w:line="252" w:lineRule="exact"/>
        <w:rPr>
          <w:rFonts w:ascii="Arial" w:cs="Arial" w:eastAsia="Arial" w:hAnsi="Arial"/>
          <w:sz w:val="18"/>
          <w:szCs w:val="18"/>
          <w:color w:val="auto"/>
        </w:rPr>
      </w:pPr>
    </w:p>
    <w:p>
      <w:pPr>
        <w:ind w:left="1300" w:hanging="29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resolution on the compensation of our named executive officers;</w:t>
      </w:r>
    </w:p>
    <w:p>
      <w:pPr>
        <w:spacing w:after="0" w:line="252" w:lineRule="exact"/>
        <w:rPr>
          <w:rFonts w:ascii="Arial" w:cs="Arial" w:eastAsia="Arial" w:hAnsi="Arial"/>
          <w:sz w:val="18"/>
          <w:szCs w:val="18"/>
          <w:color w:val="auto"/>
        </w:rPr>
      </w:pPr>
    </w:p>
    <w:p>
      <w:pPr>
        <w:ind w:left="1300" w:right="3840" w:hanging="29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vote on the frequency of future advisory votes on the compensation of our named executive officers; and</w:t>
      </w:r>
    </w:p>
    <w:p>
      <w:pPr>
        <w:spacing w:after="0" w:line="197" w:lineRule="exact"/>
        <w:rPr>
          <w:rFonts w:ascii="Arial" w:cs="Arial" w:eastAsia="Arial" w:hAnsi="Arial"/>
          <w:sz w:val="18"/>
          <w:szCs w:val="18"/>
          <w:color w:val="auto"/>
        </w:rPr>
      </w:pPr>
    </w:p>
    <w:p>
      <w:pPr>
        <w:ind w:left="1300" w:right="3460" w:hanging="295"/>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ratification of the selection of PricewaterhouseCoopers LLP as the Company’s registered independent public accounting firm for the fiscal year ending December 31, 2011.</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Two Class I directors were elected, and the aggregate votes cast for or withheld, and the broker non-votes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744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For</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Withheld</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Non-Votes</w:t>
            </w: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G. Ronald Morris</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11,392,766</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1,068,326</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2,147,970</w:t>
            </w:r>
          </w:p>
        </w:tc>
        <w:tc>
          <w:tcPr>
            <w:tcW w:w="20" w:type="dxa"/>
            <w:vAlign w:val="bottom"/>
          </w:tcPr>
          <w:p>
            <w:pPr>
              <w:spacing w:after="0"/>
              <w:rPr>
                <w:sz w:val="17"/>
                <w:szCs w:val="17"/>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Steven T. Warshaw</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11,399,766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1,061,326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2,147,970</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2011 Stock Incentive Plan was approved, and the aggregate votes cast for or against, as well as the abstentions and broker non-votes,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6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8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40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432"/>
        </w:trPr>
        <w:tc>
          <w:tcPr>
            <w:tcW w:w="1860" w:type="dxa"/>
            <w:vAlign w:val="bottom"/>
          </w:tcPr>
          <w:p>
            <w:pPr>
              <w:jc w:val="right"/>
              <w:ind w:right="430"/>
              <w:spacing w:after="0"/>
              <w:rPr>
                <w:sz w:val="20"/>
                <w:szCs w:val="20"/>
                <w:color w:val="auto"/>
              </w:rPr>
            </w:pPr>
            <w:r>
              <w:rPr>
                <w:rFonts w:ascii="Arial" w:cs="Arial" w:eastAsia="Arial" w:hAnsi="Arial"/>
                <w:sz w:val="18"/>
                <w:szCs w:val="18"/>
                <w:color w:val="auto"/>
              </w:rPr>
              <w:t>10,781,808</w:t>
            </w:r>
          </w:p>
        </w:tc>
        <w:tc>
          <w:tcPr>
            <w:tcW w:w="2980" w:type="dxa"/>
            <w:vAlign w:val="bottom"/>
            <w:gridSpan w:val="2"/>
          </w:tcPr>
          <w:p>
            <w:pPr>
              <w:jc w:val="right"/>
              <w:ind w:right="910"/>
              <w:spacing w:after="0"/>
              <w:rPr>
                <w:sz w:val="20"/>
                <w:szCs w:val="20"/>
                <w:color w:val="auto"/>
              </w:rPr>
            </w:pPr>
            <w:r>
              <w:rPr>
                <w:rFonts w:ascii="Arial" w:cs="Arial" w:eastAsia="Arial" w:hAnsi="Arial"/>
                <w:sz w:val="18"/>
                <w:szCs w:val="18"/>
                <w:color w:val="auto"/>
              </w:rPr>
              <w:t>1,669,610</w:t>
            </w:r>
          </w:p>
        </w:tc>
        <w:tc>
          <w:tcPr>
            <w:tcW w:w="3280" w:type="dxa"/>
            <w:vAlign w:val="bottom"/>
            <w:gridSpan w:val="2"/>
          </w:tcPr>
          <w:p>
            <w:pPr>
              <w:jc w:val="right"/>
              <w:ind w:right="1210"/>
              <w:spacing w:after="0"/>
              <w:rPr>
                <w:sz w:val="20"/>
                <w:szCs w:val="20"/>
                <w:color w:val="auto"/>
              </w:rPr>
            </w:pPr>
            <w:r>
              <w:rPr>
                <w:rFonts w:ascii="Arial" w:cs="Arial" w:eastAsia="Arial" w:hAnsi="Arial"/>
                <w:sz w:val="18"/>
                <w:szCs w:val="18"/>
                <w:color w:val="auto"/>
              </w:rPr>
              <w:t>9,674</w:t>
            </w:r>
          </w:p>
        </w:tc>
        <w:tc>
          <w:tcPr>
            <w:tcW w:w="330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2,147,970</w:t>
            </w:r>
          </w:p>
        </w:tc>
      </w:tr>
      <w:tr>
        <w:trPr>
          <w:trHeight w:val="459"/>
        </w:trPr>
        <w:tc>
          <w:tcPr>
            <w:tcW w:w="186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advisory resolution on the compensation of our named executive officers was approved, and the aggregate votes cast for or against, as well as the abstentions and broker non-votes,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r>
      <w:tr>
        <w:trPr>
          <w:trHeight w:val="24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40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4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4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432"/>
        </w:trPr>
        <w:tc>
          <w:tcPr>
            <w:tcW w:w="1840" w:type="dxa"/>
            <w:vAlign w:val="bottom"/>
          </w:tcPr>
          <w:p>
            <w:pPr>
              <w:jc w:val="right"/>
              <w:ind w:right="430"/>
              <w:spacing w:after="0"/>
              <w:rPr>
                <w:sz w:val="20"/>
                <w:szCs w:val="20"/>
                <w:color w:val="auto"/>
              </w:rPr>
            </w:pPr>
            <w:r>
              <w:rPr>
                <w:rFonts w:ascii="Arial" w:cs="Arial" w:eastAsia="Arial" w:hAnsi="Arial"/>
                <w:sz w:val="18"/>
                <w:szCs w:val="18"/>
                <w:color w:val="auto"/>
              </w:rPr>
              <w:t>12,284,170</w:t>
            </w:r>
          </w:p>
        </w:tc>
        <w:tc>
          <w:tcPr>
            <w:tcW w:w="2940" w:type="dxa"/>
            <w:vAlign w:val="bottom"/>
            <w:gridSpan w:val="2"/>
          </w:tcPr>
          <w:p>
            <w:pPr>
              <w:jc w:val="right"/>
              <w:ind w:right="930"/>
              <w:spacing w:after="0"/>
              <w:rPr>
                <w:sz w:val="20"/>
                <w:szCs w:val="20"/>
                <w:color w:val="auto"/>
              </w:rPr>
            </w:pPr>
            <w:r>
              <w:rPr>
                <w:rFonts w:ascii="Arial" w:cs="Arial" w:eastAsia="Arial" w:hAnsi="Arial"/>
                <w:sz w:val="18"/>
                <w:szCs w:val="18"/>
                <w:color w:val="auto"/>
              </w:rPr>
              <w:t>77,061</w:t>
            </w:r>
          </w:p>
        </w:tc>
        <w:tc>
          <w:tcPr>
            <w:tcW w:w="3380" w:type="dxa"/>
            <w:vAlign w:val="bottom"/>
            <w:gridSpan w:val="2"/>
          </w:tcPr>
          <w:p>
            <w:pPr>
              <w:jc w:val="right"/>
              <w:ind w:right="1130"/>
              <w:spacing w:after="0"/>
              <w:rPr>
                <w:sz w:val="20"/>
                <w:szCs w:val="20"/>
                <w:color w:val="auto"/>
              </w:rPr>
            </w:pPr>
            <w:r>
              <w:rPr>
                <w:rFonts w:ascii="Arial" w:cs="Arial" w:eastAsia="Arial" w:hAnsi="Arial"/>
                <w:sz w:val="18"/>
                <w:szCs w:val="18"/>
                <w:color w:val="auto"/>
              </w:rPr>
              <w:t>99,861</w:t>
            </w:r>
          </w:p>
        </w:tc>
        <w:tc>
          <w:tcPr>
            <w:tcW w:w="326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2,147,970</w:t>
            </w:r>
          </w:p>
        </w:tc>
      </w:tr>
      <w:tr>
        <w:trPr>
          <w:trHeight w:val="1631"/>
        </w:trPr>
        <w:tc>
          <w:tcPr>
            <w:tcW w:w="18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4</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shareholders voted, by an advisory vote, to hold future advisory votes on the compensation of our names executive officers every year. The votes on this matter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One Year</w:t>
            </w:r>
          </w:p>
        </w:tc>
        <w:tc>
          <w:tcPr>
            <w:tcW w:w="4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Two Years</w:t>
            </w:r>
          </w:p>
        </w:tc>
        <w:tc>
          <w:tcPr>
            <w:tcW w:w="26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Three Years</w:t>
            </w:r>
          </w:p>
        </w:tc>
        <w:tc>
          <w:tcPr>
            <w:tcW w:w="26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r>
      <w:tr>
        <w:trPr>
          <w:trHeight w:val="432"/>
        </w:trPr>
        <w:tc>
          <w:tcPr>
            <w:tcW w:w="2140" w:type="dxa"/>
            <w:vAlign w:val="bottom"/>
          </w:tcPr>
          <w:p>
            <w:pPr>
              <w:ind w:left="720"/>
              <w:spacing w:after="0"/>
              <w:rPr>
                <w:sz w:val="20"/>
                <w:szCs w:val="20"/>
                <w:color w:val="auto"/>
              </w:rPr>
            </w:pPr>
            <w:r>
              <w:rPr>
                <w:rFonts w:ascii="Arial" w:cs="Arial" w:eastAsia="Arial" w:hAnsi="Arial"/>
                <w:sz w:val="18"/>
                <w:szCs w:val="18"/>
                <w:color w:val="auto"/>
              </w:rPr>
              <w:t>8,547,415</w:t>
            </w:r>
          </w:p>
        </w:tc>
        <w:tc>
          <w:tcPr>
            <w:tcW w:w="2560" w:type="dxa"/>
            <w:vAlign w:val="bottom"/>
            <w:gridSpan w:val="2"/>
          </w:tcPr>
          <w:p>
            <w:pPr>
              <w:jc w:val="right"/>
              <w:ind w:right="690"/>
              <w:spacing w:after="0"/>
              <w:rPr>
                <w:sz w:val="20"/>
                <w:szCs w:val="20"/>
                <w:color w:val="auto"/>
              </w:rPr>
            </w:pPr>
            <w:r>
              <w:rPr>
                <w:rFonts w:ascii="Arial" w:cs="Arial" w:eastAsia="Arial" w:hAnsi="Arial"/>
                <w:sz w:val="18"/>
                <w:szCs w:val="18"/>
                <w:color w:val="auto"/>
              </w:rPr>
              <w:t>907,994</w:t>
            </w:r>
          </w:p>
        </w:tc>
        <w:tc>
          <w:tcPr>
            <w:tcW w:w="3280" w:type="dxa"/>
            <w:vAlign w:val="bottom"/>
            <w:gridSpan w:val="2"/>
          </w:tcPr>
          <w:p>
            <w:pPr>
              <w:jc w:val="right"/>
              <w:ind w:right="1050"/>
              <w:spacing w:after="0"/>
              <w:rPr>
                <w:sz w:val="20"/>
                <w:szCs w:val="20"/>
                <w:color w:val="auto"/>
              </w:rPr>
            </w:pPr>
            <w:r>
              <w:rPr>
                <w:rFonts w:ascii="Arial" w:cs="Arial" w:eastAsia="Arial" w:hAnsi="Arial"/>
                <w:sz w:val="18"/>
                <w:szCs w:val="18"/>
                <w:color w:val="auto"/>
              </w:rPr>
              <w:t>2,917,291</w:t>
            </w:r>
          </w:p>
        </w:tc>
        <w:tc>
          <w:tcPr>
            <w:tcW w:w="3440" w:type="dxa"/>
            <w:vAlign w:val="bottom"/>
            <w:gridSpan w:val="2"/>
          </w:tcPr>
          <w:p>
            <w:pPr>
              <w:jc w:val="right"/>
              <w:ind w:right="1250"/>
              <w:spacing w:after="0"/>
              <w:rPr>
                <w:sz w:val="20"/>
                <w:szCs w:val="20"/>
                <w:color w:val="auto"/>
              </w:rPr>
            </w:pPr>
            <w:r>
              <w:rPr>
                <w:rFonts w:ascii="Arial" w:cs="Arial" w:eastAsia="Arial" w:hAnsi="Arial"/>
                <w:sz w:val="18"/>
                <w:szCs w:val="18"/>
                <w:color w:val="auto"/>
              </w:rPr>
              <w:t>88,392</w:t>
            </w:r>
          </w:p>
        </w:tc>
      </w:tr>
      <w:tr>
        <w:trPr>
          <w:trHeight w:val="459"/>
        </w:trPr>
        <w:tc>
          <w:tcPr>
            <w:tcW w:w="2140" w:type="dxa"/>
            <w:vAlign w:val="bottom"/>
          </w:tcPr>
          <w:p>
            <w:pPr>
              <w:spacing w:after="0"/>
              <w:rPr>
                <w:sz w:val="20"/>
                <w:szCs w:val="20"/>
                <w:color w:val="auto"/>
              </w:rPr>
            </w:pPr>
            <w:r>
              <w:rPr>
                <w:rFonts w:ascii="Arial" w:cs="Arial" w:eastAsia="Arial" w:hAnsi="Arial"/>
                <w:sz w:val="18"/>
                <w:szCs w:val="18"/>
                <w:b w:val="1"/>
                <w:bCs w:val="1"/>
                <w:color w:val="auto"/>
              </w:rPr>
              <w:t>Proposal 5</w:t>
            </w: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selection of PricewaterhouseCoopers LLP as the Company’s registered independent public accounting firm for the fiscal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was ratified, and the aggregate votes cast for or against and the abstentions, were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700" w:type="dxa"/>
            <w:vAlign w:val="bottom"/>
          </w:tcPr>
          <w:p>
            <w:pPr>
              <w:spacing w:after="0"/>
              <w:rPr>
                <w:sz w:val="20"/>
                <w:szCs w:val="20"/>
                <w:color w:val="auto"/>
              </w:rPr>
            </w:pPr>
          </w:p>
        </w:tc>
        <w:tc>
          <w:tcPr>
            <w:tcW w:w="35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Against</w:t>
            </w:r>
          </w:p>
        </w:tc>
        <w:tc>
          <w:tcPr>
            <w:tcW w:w="840" w:type="dxa"/>
            <w:vAlign w:val="bottom"/>
          </w:tcPr>
          <w:p>
            <w:pPr>
              <w:spacing w:after="0"/>
              <w:rPr>
                <w:sz w:val="20"/>
                <w:szCs w:val="20"/>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r>
      <w:tr>
        <w:trPr>
          <w:trHeight w:val="432"/>
        </w:trPr>
        <w:tc>
          <w:tcPr>
            <w:tcW w:w="2400" w:type="dxa"/>
            <w:vAlign w:val="bottom"/>
          </w:tcPr>
          <w:p>
            <w:pPr>
              <w:jc w:val="right"/>
              <w:ind w:right="710"/>
              <w:spacing w:after="0"/>
              <w:rPr>
                <w:sz w:val="20"/>
                <w:szCs w:val="20"/>
                <w:color w:val="auto"/>
              </w:rPr>
            </w:pPr>
            <w:r>
              <w:rPr>
                <w:rFonts w:ascii="Arial" w:cs="Arial" w:eastAsia="Arial" w:hAnsi="Arial"/>
                <w:sz w:val="18"/>
                <w:szCs w:val="18"/>
                <w:color w:val="auto"/>
              </w:rPr>
              <w:t>14,148,802</w:t>
            </w:r>
          </w:p>
        </w:tc>
        <w:tc>
          <w:tcPr>
            <w:tcW w:w="4220" w:type="dxa"/>
            <w:vAlign w:val="bottom"/>
            <w:gridSpan w:val="2"/>
          </w:tcPr>
          <w:p>
            <w:pPr>
              <w:ind w:left="2180"/>
              <w:spacing w:after="0"/>
              <w:rPr>
                <w:sz w:val="20"/>
                <w:szCs w:val="20"/>
                <w:color w:val="auto"/>
              </w:rPr>
            </w:pPr>
            <w:r>
              <w:rPr>
                <w:rFonts w:ascii="Arial" w:cs="Arial" w:eastAsia="Arial" w:hAnsi="Arial"/>
                <w:sz w:val="18"/>
                <w:szCs w:val="18"/>
                <w:color w:val="auto"/>
              </w:rPr>
              <w:t>452,876</w:t>
            </w:r>
          </w:p>
        </w:tc>
        <w:tc>
          <w:tcPr>
            <w:tcW w:w="4800" w:type="dxa"/>
            <w:vAlign w:val="bottom"/>
            <w:gridSpan w:val="2"/>
          </w:tcPr>
          <w:p>
            <w:pPr>
              <w:jc w:val="right"/>
              <w:ind w:right="1690"/>
              <w:spacing w:after="0"/>
              <w:rPr>
                <w:sz w:val="20"/>
                <w:szCs w:val="20"/>
                <w:color w:val="auto"/>
              </w:rPr>
            </w:pPr>
            <w:r>
              <w:rPr>
                <w:rFonts w:ascii="Arial" w:cs="Arial" w:eastAsia="Arial" w:hAnsi="Arial"/>
                <w:sz w:val="18"/>
                <w:szCs w:val="18"/>
                <w:color w:val="auto"/>
              </w:rPr>
              <w:t>7,384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Frequency of Future Advisory Votes on Executive Compensation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voting results for Proposal 4 above for which shareholders approved to hold an annual advisory vote on the compensation of our named executive officers (“say on pay”), the Board has elected at this time to hold future say on pay advisory votes on an annual basis, until the next shareholder vote on say on pay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19, 2011</w:t>
      </w:r>
    </w:p>
    <w:p>
      <w:pPr>
        <w:spacing w:after="0" w:line="25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William C. Kelly, Jr.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Vice President and Chief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Administrative Officer</w:t>
      </w:r>
    </w:p>
    <w:sectPr>
      <w:pgSz w:w="11900" w:h="16838" w:orient="portrait"/>
      <w:cols w:equalWidth="0" w:num="1">
        <w:col w:w="11220"/>
      </w:cols>
      <w:pgMar w:left="2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2019-12-10T13:28:14Z</dcterms:created>
  <dcterms:modified xsi:type="dcterms:W3CDTF">2019-12-10T13:28:14Z</dcterms:modified>
</cp:coreProperties>
</file>