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112395</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3289935</wp:posOffset>
            </wp:positionH>
            <wp:positionV relativeFrom="paragraph">
              <wp:posOffset>74295</wp:posOffset>
            </wp:positionV>
            <wp:extent cx="67754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7754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7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FORM 8-K</w:t>
      </w:r>
    </w:p>
    <w:p>
      <w:pPr>
        <w:spacing w:after="0" w:line="24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 PURSUANT TO</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13 OR 15(d) OF THE</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200" w:lineRule="exact"/>
        <w:rPr>
          <w:sz w:val="24"/>
          <w:szCs w:val="24"/>
          <w:color w:val="auto"/>
        </w:rPr>
      </w:pPr>
    </w:p>
    <w:p>
      <w:pPr>
        <w:spacing w:after="0" w:line="27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Date of Report (Date of earliest event reported): August 6, 2013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3315335</wp:posOffset>
            </wp:positionH>
            <wp:positionV relativeFrom="paragraph">
              <wp:posOffset>17145</wp:posOffset>
            </wp:positionV>
            <wp:extent cx="626110" cy="6261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26110" cy="62611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u w:val="single" w:color="auto"/>
          <w:color w:val="auto"/>
        </w:rPr>
        <w:t>NN, INC.</w:t>
      </w:r>
    </w:p>
    <w:p>
      <w:pPr>
        <w:spacing w:after="0" w:line="44" w:lineRule="exact"/>
        <w:rPr>
          <w:sz w:val="24"/>
          <w:szCs w:val="24"/>
          <w:color w:val="auto"/>
        </w:rPr>
      </w:pPr>
    </w:p>
    <w:tbl>
      <w:tblPr>
        <w:tblLayout w:type="fixed"/>
        <w:tblInd w:w="220" w:type="dxa"/>
        <w:tblCellMar>
          <w:top w:w="0" w:type="dxa"/>
          <w:left w:w="0" w:type="dxa"/>
          <w:bottom w:w="0" w:type="dxa"/>
          <w:right w:w="0" w:type="dxa"/>
        </w:tblCellMar>
      </w:tblPr>
      <w:tr>
        <w:trPr>
          <w:trHeight w:val="234"/>
        </w:trPr>
        <w:tc>
          <w:tcPr>
            <w:tcW w:w="13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16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tc>
        <w:tc>
          <w:tcPr>
            <w:tcW w:w="1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399"/>
        </w:trPr>
        <w:tc>
          <w:tcPr>
            <w:tcW w:w="1380" w:type="dxa"/>
            <w:vAlign w:val="bottom"/>
          </w:tcPr>
          <w:p>
            <w:pPr>
              <w:spacing w:after="0"/>
              <w:rPr>
                <w:sz w:val="24"/>
                <w:szCs w:val="24"/>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Delaware</w:t>
            </w:r>
          </w:p>
        </w:tc>
        <w:tc>
          <w:tcPr>
            <w:tcW w:w="1560" w:type="dxa"/>
            <w:vAlign w:val="bottom"/>
            <w:gridSpan w:val="2"/>
          </w:tcPr>
          <w:p>
            <w:pPr>
              <w:spacing w:after="0"/>
              <w:rPr>
                <w:sz w:val="24"/>
                <w:szCs w:val="24"/>
                <w:color w:val="auto"/>
              </w:rPr>
            </w:pPr>
          </w:p>
        </w:tc>
        <w:tc>
          <w:tcPr>
            <w:tcW w:w="2580" w:type="dxa"/>
            <w:vAlign w:val="bottom"/>
            <w:gridSpan w:val="4"/>
          </w:tcPr>
          <w:p>
            <w:pPr>
              <w:jc w:val="right"/>
              <w:ind w:right="320"/>
              <w:spacing w:after="0"/>
              <w:rPr>
                <w:sz w:val="20"/>
                <w:szCs w:val="20"/>
                <w:color w:val="auto"/>
              </w:rPr>
            </w:pPr>
            <w:r>
              <w:rPr>
                <w:rFonts w:ascii="Times New Roman" w:cs="Times New Roman" w:eastAsia="Times New Roman" w:hAnsi="Times New Roman"/>
                <w:sz w:val="18"/>
                <w:szCs w:val="18"/>
                <w:color w:val="auto"/>
              </w:rPr>
              <w:t>0-23486</w:t>
            </w:r>
          </w:p>
        </w:tc>
        <w:tc>
          <w:tcPr>
            <w:tcW w:w="1580" w:type="dxa"/>
            <w:vAlign w:val="bottom"/>
          </w:tcPr>
          <w:p>
            <w:pPr>
              <w:spacing w:after="0"/>
              <w:rPr>
                <w:sz w:val="24"/>
                <w:szCs w:val="24"/>
                <w:color w:val="auto"/>
              </w:rPr>
            </w:pPr>
          </w:p>
        </w:tc>
        <w:tc>
          <w:tcPr>
            <w:tcW w:w="2880" w:type="dxa"/>
            <w:vAlign w:val="bottom"/>
            <w:gridSpan w:val="5"/>
          </w:tcPr>
          <w:p>
            <w:pPr>
              <w:jc w:val="right"/>
              <w:ind w:right="880"/>
              <w:spacing w:after="0"/>
              <w:rPr>
                <w:sz w:val="20"/>
                <w:szCs w:val="20"/>
                <w:color w:val="auto"/>
              </w:rPr>
            </w:pPr>
            <w:r>
              <w:rPr>
                <w:rFonts w:ascii="Times New Roman" w:cs="Times New Roman" w:eastAsia="Times New Roman" w:hAnsi="Times New Roman"/>
                <w:sz w:val="18"/>
                <w:szCs w:val="18"/>
                <w:color w:val="auto"/>
              </w:rPr>
              <w:t>62-1096725</w:t>
            </w:r>
          </w:p>
        </w:tc>
      </w:tr>
      <w:tr>
        <w:trPr>
          <w:trHeight w:val="20"/>
        </w:trPr>
        <w:tc>
          <w:tcPr>
            <w:tcW w:w="138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237"/>
        </w:trPr>
        <w:tc>
          <w:tcPr>
            <w:tcW w:w="3640" w:type="dxa"/>
            <w:vAlign w:val="bottom"/>
            <w:gridSpan w:val="4"/>
          </w:tcPr>
          <w:p>
            <w:pPr>
              <w:jc w:val="center"/>
              <w:ind w:right="200"/>
              <w:spacing w:after="0"/>
              <w:rPr>
                <w:sz w:val="20"/>
                <w:szCs w:val="20"/>
                <w:color w:val="auto"/>
              </w:rPr>
            </w:pPr>
            <w:r>
              <w:rPr>
                <w:rFonts w:ascii="Times New Roman" w:cs="Times New Roman" w:eastAsia="Times New Roman" w:hAnsi="Times New Roman"/>
                <w:sz w:val="18"/>
                <w:szCs w:val="18"/>
                <w:color w:val="auto"/>
              </w:rPr>
              <w:t>(State or Other Jurisdiction of Incorporation)</w:t>
            </w:r>
          </w:p>
        </w:tc>
        <w:tc>
          <w:tcPr>
            <w:tcW w:w="4160" w:type="dxa"/>
            <w:vAlign w:val="bottom"/>
            <w:gridSpan w:val="5"/>
          </w:tcPr>
          <w:p>
            <w:pPr>
              <w:jc w:val="center"/>
              <w:ind w:right="240"/>
              <w:spacing w:after="0"/>
              <w:rPr>
                <w:sz w:val="20"/>
                <w:szCs w:val="20"/>
                <w:color w:val="auto"/>
              </w:rPr>
            </w:pPr>
            <w:r>
              <w:rPr>
                <w:rFonts w:ascii="Times New Roman" w:cs="Times New Roman" w:eastAsia="Times New Roman" w:hAnsi="Times New Roman"/>
                <w:sz w:val="18"/>
                <w:szCs w:val="18"/>
                <w:color w:val="auto"/>
              </w:rPr>
              <w:t>(Commission File Number)</w:t>
            </w:r>
          </w:p>
        </w:tc>
        <w:tc>
          <w:tcPr>
            <w:tcW w:w="2880" w:type="dxa"/>
            <w:vAlign w:val="bottom"/>
            <w:gridSpan w:val="5"/>
          </w:tcPr>
          <w:p>
            <w:pPr>
              <w:jc w:val="center"/>
              <w:ind w:left="170"/>
              <w:spacing w:after="0"/>
              <w:rPr>
                <w:sz w:val="20"/>
                <w:szCs w:val="20"/>
                <w:color w:val="auto"/>
              </w:rPr>
            </w:pPr>
            <w:r>
              <w:rPr>
                <w:rFonts w:ascii="Times New Roman" w:cs="Times New Roman" w:eastAsia="Times New Roman" w:hAnsi="Times New Roman"/>
                <w:sz w:val="18"/>
                <w:szCs w:val="18"/>
                <w:color w:val="auto"/>
              </w:rPr>
              <w:t>(I.R.S. Employer Identification No.)</w:t>
            </w:r>
          </w:p>
        </w:tc>
      </w:tr>
      <w:tr>
        <w:trPr>
          <w:trHeight w:val="392"/>
        </w:trPr>
        <w:tc>
          <w:tcPr>
            <w:tcW w:w="362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8"/>
              </w:rPr>
              <w:t>2000 Waters Edge Drive, Johnson City, Tennessee</w:t>
            </w:r>
          </w:p>
        </w:tc>
        <w:tc>
          <w:tcPr>
            <w:tcW w:w="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000" w:type="dxa"/>
            <w:vAlign w:val="bottom"/>
            <w:gridSpan w:val="4"/>
          </w:tcPr>
          <w:p>
            <w:pPr>
              <w:jc w:val="right"/>
              <w:ind w:right="300"/>
              <w:spacing w:after="0"/>
              <w:rPr>
                <w:sz w:val="20"/>
                <w:szCs w:val="20"/>
                <w:color w:val="auto"/>
              </w:rPr>
            </w:pPr>
            <w:r>
              <w:rPr>
                <w:rFonts w:ascii="Times New Roman" w:cs="Times New Roman" w:eastAsia="Times New Roman" w:hAnsi="Times New Roman"/>
                <w:sz w:val="18"/>
                <w:szCs w:val="18"/>
                <w:color w:val="auto"/>
              </w:rPr>
              <w:t>37604</w:t>
            </w:r>
          </w:p>
        </w:tc>
        <w:tc>
          <w:tcPr>
            <w:tcW w:w="880" w:type="dxa"/>
            <w:vAlign w:val="bottom"/>
          </w:tcPr>
          <w:p>
            <w:pPr>
              <w:spacing w:after="0"/>
              <w:rPr>
                <w:sz w:val="24"/>
                <w:szCs w:val="24"/>
                <w:color w:val="auto"/>
              </w:rPr>
            </w:pPr>
          </w:p>
        </w:tc>
      </w:tr>
      <w:tr>
        <w:trPr>
          <w:trHeight w:val="20"/>
        </w:trPr>
        <w:tc>
          <w:tcPr>
            <w:tcW w:w="3620" w:type="dxa"/>
            <w:vAlign w:val="bottom"/>
            <w:gridSpan w:val="3"/>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r>
      <w:tr>
        <w:trPr>
          <w:trHeight w:val="237"/>
        </w:trPr>
        <w:tc>
          <w:tcPr>
            <w:tcW w:w="362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2880" w:type="dxa"/>
            <w:vAlign w:val="bottom"/>
            <w:gridSpan w:val="5"/>
          </w:tcPr>
          <w:p>
            <w:pPr>
              <w:jc w:val="center"/>
              <w:spacing w:after="0"/>
              <w:rPr>
                <w:sz w:val="20"/>
                <w:szCs w:val="20"/>
                <w:color w:val="auto"/>
              </w:rPr>
            </w:pPr>
            <w:r>
              <w:rPr>
                <w:rFonts w:ascii="Times New Roman" w:cs="Times New Roman" w:eastAsia="Times New Roman" w:hAnsi="Times New Roman"/>
                <w:sz w:val="18"/>
                <w:szCs w:val="18"/>
                <w:color w:val="auto"/>
              </w:rPr>
              <w:t>(Zip Code)</w:t>
            </w:r>
          </w:p>
        </w:tc>
      </w:tr>
      <w:tr>
        <w:trPr>
          <w:trHeight w:val="392"/>
        </w:trPr>
        <w:tc>
          <w:tcPr>
            <w:tcW w:w="13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5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(423) 743-9151</w:t>
            </w:r>
          </w:p>
        </w:tc>
        <w:tc>
          <w:tcPr>
            <w:tcW w:w="15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0"/>
        </w:trPr>
        <w:tc>
          <w:tcPr>
            <w:tcW w:w="13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120" w:type="dxa"/>
            <w:vAlign w:val="bottom"/>
            <w:gridSpan w:val="3"/>
            <w:shd w:val="clear" w:color="auto" w:fill="000000"/>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237"/>
        </w:trPr>
        <w:tc>
          <w:tcPr>
            <w:tcW w:w="13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160" w:type="dxa"/>
            <w:vAlign w:val="bottom"/>
            <w:gridSpan w:val="5"/>
          </w:tcPr>
          <w:p>
            <w:pPr>
              <w:jc w:val="center"/>
              <w:ind w:right="120"/>
              <w:spacing w:after="0"/>
              <w:rPr>
                <w:sz w:val="20"/>
                <w:szCs w:val="20"/>
                <w:color w:val="auto"/>
              </w:rPr>
            </w:pPr>
            <w:r>
              <w:rPr>
                <w:rFonts w:ascii="Times New Roman" w:cs="Times New Roman" w:eastAsia="Times New Roman" w:hAnsi="Times New Roman"/>
                <w:sz w:val="18"/>
                <w:szCs w:val="18"/>
                <w:color w:val="auto"/>
                <w:w w:val="99"/>
              </w:rPr>
              <w:t>(Registrant's telephone number, including area code)</w:t>
            </w:r>
          </w:p>
        </w:tc>
        <w:tc>
          <w:tcPr>
            <w:tcW w:w="1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80" w:type="dxa"/>
            <w:vAlign w:val="bottom"/>
          </w:tcPr>
          <w:p>
            <w:pPr>
              <w:spacing w:after="0"/>
              <w:rPr>
                <w:sz w:val="20"/>
                <w:szCs w:val="20"/>
                <w:color w:val="auto"/>
              </w:rPr>
            </w:pPr>
          </w:p>
        </w:tc>
      </w:tr>
    </w:tbl>
    <w:p>
      <w:pPr>
        <w:spacing w:after="0" w:line="198" w:lineRule="exact"/>
        <w:rPr>
          <w:sz w:val="24"/>
          <w:szCs w:val="24"/>
          <w:color w:val="auto"/>
        </w:rPr>
      </w:pPr>
    </w:p>
    <w:p>
      <w:pPr>
        <w:jc w:val="center"/>
        <w:ind w:left="340"/>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00" w:lineRule="exact"/>
        <w:rPr>
          <w:sz w:val="24"/>
          <w:szCs w:val="24"/>
          <w:color w:val="auto"/>
        </w:rPr>
      </w:pPr>
    </w:p>
    <w:p>
      <w:pPr>
        <w:spacing w:after="0" w:line="295" w:lineRule="exact"/>
        <w:rPr>
          <w:sz w:val="24"/>
          <w:szCs w:val="24"/>
          <w:color w:val="auto"/>
        </w:rPr>
      </w:pPr>
    </w:p>
    <w:p>
      <w:pPr>
        <w:ind w:right="600"/>
        <w:spacing w:after="0" w:line="282" w:lineRule="auto"/>
        <w:rPr>
          <w:sz w:val="20"/>
          <w:szCs w:val="20"/>
          <w:color w:val="auto"/>
        </w:rPr>
      </w:pPr>
      <w:r>
        <w:rPr>
          <w:rFonts w:ascii="Times New Roman" w:cs="Times New Roman" w:eastAsia="Times New Roman" w:hAnsi="Times New Roman"/>
          <w:sz w:val="18"/>
          <w:szCs w:val="18"/>
          <w:color w:val="auto"/>
        </w:rPr>
        <w:t>Check the appropriate box if the Form 8-K filing is intended to simultaneously satisfy the filing obligation of the registrant under any of the following provisions (see General Instruction A.2. below):</w:t>
      </w:r>
    </w:p>
    <w:p>
      <w:pPr>
        <w:spacing w:after="0" w:line="189" w:lineRule="exact"/>
        <w:rPr>
          <w:sz w:val="24"/>
          <w:szCs w:val="24"/>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52" w:lineRule="exact"/>
        <w:rPr>
          <w:rFonts w:ascii="MS PGothic" w:cs="MS PGothic" w:eastAsia="MS PGothic" w:hAnsi="MS PGothic"/>
          <w:sz w:val="18"/>
          <w:szCs w:val="18"/>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4" w:lineRule="exact"/>
        <w:rPr>
          <w:sz w:val="24"/>
          <w:szCs w:val="24"/>
          <w:color w:val="auto"/>
        </w:rPr>
      </w:pPr>
    </w:p>
    <w:tbl>
      <w:tblPr>
        <w:tblLayout w:type="fixed"/>
        <w:tblInd w:w="0" w:type="dxa"/>
        <w:tblCellMar>
          <w:top w:w="0" w:type="dxa"/>
          <w:left w:w="0" w:type="dxa"/>
          <w:bottom w:w="0" w:type="dxa"/>
          <w:right w:w="0" w:type="dxa"/>
        </w:tblCellMar>
      </w:tblPr>
      <w:tr>
        <w:trPr>
          <w:trHeight w:val="283"/>
        </w:trPr>
        <w:tc>
          <w:tcPr>
            <w:tcW w:w="420" w:type="dxa"/>
            <w:vAlign w:val="bottom"/>
            <w:gridSpan w:val="2"/>
          </w:tcPr>
          <w:p>
            <w:pPr>
              <w:jc w:val="right"/>
              <w:ind w:right="175"/>
              <w:spacing w:after="0" w:line="181" w:lineRule="exact"/>
              <w:rPr>
                <w:sz w:val="20"/>
                <w:szCs w:val="20"/>
                <w:color w:val="auto"/>
              </w:rPr>
            </w:pPr>
            <w:r>
              <w:rPr>
                <w:rFonts w:ascii="MS PGothic" w:cs="MS PGothic" w:eastAsia="MS PGothic" w:hAnsi="MS PGothic"/>
                <w:sz w:val="18"/>
                <w:szCs w:val="18"/>
                <w:color w:val="auto"/>
                <w:w w:val="77"/>
              </w:rPr>
              <w:t>☐</w:t>
            </w:r>
          </w:p>
        </w:tc>
        <w:tc>
          <w:tcPr>
            <w:tcW w:w="80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Pre-commencement communications pursuant to Rule 14d-2(b) under the Exchange Act (17 CFR 240.14d-</w:t>
            </w:r>
          </w:p>
        </w:tc>
        <w:tc>
          <w:tcPr>
            <w:tcW w:w="29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2(b))</w:t>
            </w:r>
          </w:p>
        </w:tc>
        <w:tc>
          <w:tcPr>
            <w:tcW w:w="0" w:type="dxa"/>
            <w:vAlign w:val="bottom"/>
          </w:tcPr>
          <w:p>
            <w:pPr>
              <w:spacing w:after="0"/>
              <w:rPr>
                <w:sz w:val="1"/>
                <w:szCs w:val="1"/>
                <w:color w:val="auto"/>
              </w:rPr>
            </w:pPr>
          </w:p>
        </w:tc>
      </w:tr>
      <w:tr>
        <w:trPr>
          <w:trHeight w:val="314"/>
        </w:trPr>
        <w:tc>
          <w:tcPr>
            <w:tcW w:w="20" w:type="dxa"/>
            <w:vAlign w:val="bottom"/>
          </w:tcPr>
          <w:p>
            <w:pPr>
              <w:spacing w:after="0"/>
              <w:rPr>
                <w:sz w:val="24"/>
                <w:szCs w:val="24"/>
                <w:color w:val="auto"/>
              </w:rPr>
            </w:pPr>
          </w:p>
        </w:tc>
        <w:tc>
          <w:tcPr>
            <w:tcW w:w="400" w:type="dxa"/>
            <w:vAlign w:val="bottom"/>
            <w:vMerge w:val="restart"/>
          </w:tcPr>
          <w:p>
            <w:pPr>
              <w:jc w:val="right"/>
              <w:ind w:right="175"/>
              <w:spacing w:after="0" w:line="171" w:lineRule="exact"/>
              <w:rPr>
                <w:sz w:val="20"/>
                <w:szCs w:val="20"/>
                <w:color w:val="auto"/>
              </w:rPr>
            </w:pPr>
            <w:r>
              <w:rPr>
                <w:rFonts w:ascii="MS PGothic" w:cs="MS PGothic" w:eastAsia="MS PGothic" w:hAnsi="MS PGothic"/>
                <w:sz w:val="17"/>
                <w:szCs w:val="17"/>
                <w:color w:val="auto"/>
                <w:w w:val="70"/>
              </w:rPr>
              <w:t>☐</w:t>
            </w:r>
          </w:p>
        </w:tc>
        <w:tc>
          <w:tcPr>
            <w:tcW w:w="8060" w:type="dxa"/>
            <w:vAlign w:val="bottom"/>
            <w:vMerge w:val="restart"/>
          </w:tcPr>
          <w:p>
            <w:pPr>
              <w:ind w:left="240"/>
              <w:spacing w:after="0"/>
              <w:rPr>
                <w:sz w:val="20"/>
                <w:szCs w:val="20"/>
                <w:color w:val="auto"/>
              </w:rPr>
            </w:pPr>
            <w:r>
              <w:rPr>
                <w:rFonts w:ascii="Times New Roman" w:cs="Times New Roman" w:eastAsia="Times New Roman" w:hAnsi="Times New Roman"/>
                <w:sz w:val="18"/>
                <w:szCs w:val="18"/>
                <w:color w:val="auto"/>
              </w:rPr>
              <w:t>Pre-commencement communications pursuant to Rule 13e-4(c) under the Exchange Act (17 CFR 240.13e-</w:t>
            </w:r>
          </w:p>
        </w:tc>
        <w:tc>
          <w:tcPr>
            <w:tcW w:w="292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4(c))</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1"/>
        </w:trPr>
        <w:tc>
          <w:tcPr>
            <w:tcW w:w="20" w:type="dxa"/>
            <w:vAlign w:val="bottom"/>
            <w:shd w:val="clear" w:color="auto" w:fill="808080"/>
          </w:tcPr>
          <w:p>
            <w:pPr>
              <w:spacing w:after="0"/>
              <w:rPr>
                <w:sz w:val="6"/>
                <w:szCs w:val="6"/>
                <w:color w:val="auto"/>
              </w:rPr>
            </w:pPr>
          </w:p>
        </w:tc>
        <w:tc>
          <w:tcPr>
            <w:tcW w:w="400" w:type="dxa"/>
            <w:vAlign w:val="bottom"/>
            <w:vMerge w:val="continue"/>
          </w:tcPr>
          <w:p>
            <w:pPr>
              <w:spacing w:after="0"/>
              <w:rPr>
                <w:sz w:val="6"/>
                <w:szCs w:val="6"/>
                <w:color w:val="auto"/>
              </w:rPr>
            </w:pPr>
          </w:p>
        </w:tc>
        <w:tc>
          <w:tcPr>
            <w:tcW w:w="8060" w:type="dxa"/>
            <w:vAlign w:val="bottom"/>
            <w:vMerge w:val="continue"/>
          </w:tcPr>
          <w:p>
            <w:pPr>
              <w:spacing w:after="0"/>
              <w:rPr>
                <w:sz w:val="6"/>
                <w:szCs w:val="6"/>
                <w:color w:val="auto"/>
              </w:rPr>
            </w:pPr>
          </w:p>
        </w:tc>
        <w:tc>
          <w:tcPr>
            <w:tcW w:w="2920" w:type="dxa"/>
            <w:vAlign w:val="bottom"/>
            <w:vMerge w:val="continue"/>
          </w:tcPr>
          <w:p>
            <w:pPr>
              <w:spacing w:after="0"/>
              <w:rPr>
                <w:sz w:val="6"/>
                <w:szCs w:val="6"/>
                <w:color w:val="auto"/>
              </w:rPr>
            </w:pPr>
          </w:p>
        </w:tc>
        <w:tc>
          <w:tcPr>
            <w:tcW w:w="20" w:type="dxa"/>
            <w:vAlign w:val="bottom"/>
            <w:shd w:val="clear" w:color="auto" w:fill="808080"/>
          </w:tcPr>
          <w:p>
            <w:pPr>
              <w:spacing w:after="0"/>
              <w:rPr>
                <w:sz w:val="6"/>
                <w:szCs w:val="6"/>
                <w:color w:val="auto"/>
              </w:rPr>
            </w:pPr>
          </w:p>
        </w:tc>
        <w:tc>
          <w:tcPr>
            <w:tcW w:w="0" w:type="dxa"/>
            <w:vAlign w:val="bottom"/>
          </w:tcPr>
          <w:p>
            <w:pPr>
              <w:spacing w:after="0"/>
              <w:rPr>
                <w:sz w:val="1"/>
                <w:szCs w:val="1"/>
                <w:color w:val="auto"/>
              </w:rPr>
            </w:pPr>
          </w:p>
        </w:tc>
      </w:tr>
      <w:tr>
        <w:trPr>
          <w:trHeight w:val="753"/>
        </w:trPr>
        <w:tc>
          <w:tcPr>
            <w:tcW w:w="20" w:type="dxa"/>
            <w:vAlign w:val="bottom"/>
            <w:tcBorders>
              <w:bottom w:val="single" w:sz="8" w:color="808080"/>
            </w:tcBorders>
          </w:tcPr>
          <w:p>
            <w:pPr>
              <w:spacing w:after="0"/>
              <w:rPr>
                <w:sz w:val="24"/>
                <w:szCs w:val="24"/>
                <w:color w:val="auto"/>
              </w:rPr>
            </w:pPr>
          </w:p>
        </w:tc>
        <w:tc>
          <w:tcPr>
            <w:tcW w:w="400" w:type="dxa"/>
            <w:vAlign w:val="bottom"/>
            <w:tcBorders>
              <w:bottom w:val="single" w:sz="8" w:color="808080"/>
            </w:tcBorders>
          </w:tcPr>
          <w:p>
            <w:pPr>
              <w:spacing w:after="0"/>
              <w:rPr>
                <w:sz w:val="24"/>
                <w:szCs w:val="24"/>
                <w:color w:val="auto"/>
              </w:rPr>
            </w:pPr>
          </w:p>
        </w:tc>
        <w:tc>
          <w:tcPr>
            <w:tcW w:w="8060" w:type="dxa"/>
            <w:vAlign w:val="bottom"/>
            <w:tcBorders>
              <w:bottom w:val="single" w:sz="8" w:color="808080"/>
            </w:tcBorders>
          </w:tcPr>
          <w:p>
            <w:pPr>
              <w:spacing w:after="0"/>
              <w:rPr>
                <w:sz w:val="24"/>
                <w:szCs w:val="24"/>
                <w:color w:val="auto"/>
              </w:rPr>
            </w:pPr>
          </w:p>
        </w:tc>
        <w:tc>
          <w:tcPr>
            <w:tcW w:w="292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-535305</wp:posOffset>
            </wp:positionV>
            <wp:extent cx="7250430" cy="450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45085"/>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792" w:right="2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16"/>
        </w:trPr>
        <w:tc>
          <w:tcPr>
            <w:tcW w:w="4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w:t>
            </w:r>
          </w:p>
        </w:tc>
        <w:tc>
          <w:tcPr>
            <w:tcW w:w="10860" w:type="dxa"/>
            <w:vAlign w:val="bottom"/>
            <w:vMerge w:val="restart"/>
          </w:tcPr>
          <w:p>
            <w:pPr>
              <w:ind w:left="100"/>
              <w:spacing w:after="0"/>
              <w:rPr>
                <w:sz w:val="20"/>
                <w:szCs w:val="20"/>
                <w:color w:val="auto"/>
              </w:rPr>
            </w:pPr>
            <w:r>
              <w:rPr>
                <w:rFonts w:ascii="Times New Roman" w:cs="Times New Roman" w:eastAsia="Times New Roman" w:hAnsi="Times New Roman"/>
                <w:sz w:val="18"/>
                <w:szCs w:val="18"/>
                <w:b w:val="1"/>
                <w:bCs w:val="1"/>
                <w:color w:val="auto"/>
              </w:rPr>
              <w:t>RESULTS OF OPERATIONS AND FINANCIAL CONDITION</w:t>
            </w:r>
          </w:p>
        </w:tc>
        <w:tc>
          <w:tcPr>
            <w:tcW w:w="0" w:type="dxa"/>
            <w:vAlign w:val="bottom"/>
          </w:tcPr>
          <w:p>
            <w:pPr>
              <w:spacing w:after="0"/>
              <w:rPr>
                <w:sz w:val="1"/>
                <w:szCs w:val="1"/>
                <w:color w:val="auto"/>
              </w:rPr>
            </w:pPr>
          </w:p>
        </w:tc>
      </w:tr>
      <w:tr>
        <w:trPr>
          <w:trHeight w:val="130"/>
        </w:trPr>
        <w:tc>
          <w:tcPr>
            <w:tcW w:w="4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2.02</w:t>
            </w:r>
          </w:p>
        </w:tc>
        <w:tc>
          <w:tcPr>
            <w:tcW w:w="108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480" w:type="dxa"/>
            <w:vAlign w:val="bottom"/>
            <w:vMerge w:val="continue"/>
          </w:tcPr>
          <w:p>
            <w:pPr>
              <w:spacing w:after="0"/>
              <w:rPr>
                <w:sz w:val="9"/>
                <w:szCs w:val="9"/>
                <w:color w:val="auto"/>
              </w:rPr>
            </w:pPr>
          </w:p>
        </w:tc>
        <w:tc>
          <w:tcPr>
            <w:tcW w:w="108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14"/>
        </w:trPr>
        <w:tc>
          <w:tcPr>
            <w:tcW w:w="480" w:type="dxa"/>
            <w:vAlign w:val="bottom"/>
          </w:tcPr>
          <w:p>
            <w:pPr>
              <w:spacing w:after="0"/>
              <w:rPr>
                <w:sz w:val="24"/>
                <w:szCs w:val="24"/>
                <w:color w:val="auto"/>
              </w:rPr>
            </w:pPr>
          </w:p>
        </w:tc>
        <w:tc>
          <w:tcPr>
            <w:tcW w:w="10860" w:type="dxa"/>
            <w:vAlign w:val="bottom"/>
          </w:tcPr>
          <w:p>
            <w:pPr>
              <w:ind w:left="100"/>
              <w:spacing w:after="0"/>
              <w:rPr>
                <w:sz w:val="20"/>
                <w:szCs w:val="20"/>
                <w:color w:val="auto"/>
              </w:rPr>
            </w:pPr>
            <w:r>
              <w:rPr>
                <w:rFonts w:ascii="Times New Roman" w:cs="Times New Roman" w:eastAsia="Times New Roman" w:hAnsi="Times New Roman"/>
                <w:sz w:val="18"/>
                <w:szCs w:val="18"/>
                <w:color w:val="auto"/>
                <w:w w:val="99"/>
              </w:rPr>
              <w:t>On August 6, 2013, NN, Inc. (the “Company”) issued a press release, announcing the Company’s results of operations and financial condition for the</w:t>
            </w:r>
          </w:p>
        </w:tc>
        <w:tc>
          <w:tcPr>
            <w:tcW w:w="0" w:type="dxa"/>
            <w:vAlign w:val="bottom"/>
          </w:tcPr>
          <w:p>
            <w:pPr>
              <w:spacing w:after="0"/>
              <w:rPr>
                <w:sz w:val="1"/>
                <w:szCs w:val="1"/>
                <w:color w:val="auto"/>
              </w:rPr>
            </w:pPr>
          </w:p>
        </w:tc>
      </w:tr>
      <w:tr>
        <w:trPr>
          <w:trHeight w:val="234"/>
        </w:trPr>
        <w:tc>
          <w:tcPr>
            <w:tcW w:w="480" w:type="dxa"/>
            <w:vAlign w:val="bottom"/>
          </w:tcPr>
          <w:p>
            <w:pPr>
              <w:spacing w:after="0"/>
              <w:rPr>
                <w:sz w:val="20"/>
                <w:szCs w:val="20"/>
                <w:color w:val="auto"/>
              </w:rPr>
            </w:pPr>
          </w:p>
        </w:tc>
        <w:tc>
          <w:tcPr>
            <w:tcW w:w="108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first quarter ended June 30, 2013. The full text of the press release is furnished as Exhibit 99.1 and is incorporated herein by reference.</w:t>
            </w:r>
          </w:p>
        </w:tc>
        <w:tc>
          <w:tcPr>
            <w:tcW w:w="0" w:type="dxa"/>
            <w:vAlign w:val="bottom"/>
          </w:tcPr>
          <w:p>
            <w:pPr>
              <w:spacing w:after="0"/>
              <w:rPr>
                <w:sz w:val="1"/>
                <w:szCs w:val="1"/>
                <w:color w:val="auto"/>
              </w:rPr>
            </w:pPr>
          </w:p>
        </w:tc>
      </w:tr>
      <w:tr>
        <w:trPr>
          <w:trHeight w:val="680"/>
        </w:trPr>
        <w:tc>
          <w:tcPr>
            <w:tcW w:w="4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w:t>
            </w:r>
          </w:p>
        </w:tc>
        <w:tc>
          <w:tcPr>
            <w:tcW w:w="10860" w:type="dxa"/>
            <w:vAlign w:val="bottom"/>
            <w:vMerge w:val="restart"/>
          </w:tcPr>
          <w:p>
            <w:pPr>
              <w:ind w:left="100"/>
              <w:spacing w:after="0"/>
              <w:rPr>
                <w:sz w:val="20"/>
                <w:szCs w:val="20"/>
                <w:color w:val="auto"/>
              </w:rPr>
            </w:pPr>
            <w:r>
              <w:rPr>
                <w:rFonts w:ascii="Times New Roman" w:cs="Times New Roman" w:eastAsia="Times New Roman" w:hAnsi="Times New Roman"/>
                <w:sz w:val="18"/>
                <w:szCs w:val="18"/>
                <w:b w:val="1"/>
                <w:bCs w:val="1"/>
                <w:color w:val="auto"/>
              </w:rPr>
              <w:t>FINANCIAL STATEMENTS AND EXHIBITS</w:t>
            </w:r>
          </w:p>
        </w:tc>
        <w:tc>
          <w:tcPr>
            <w:tcW w:w="0" w:type="dxa"/>
            <w:vAlign w:val="bottom"/>
          </w:tcPr>
          <w:p>
            <w:pPr>
              <w:spacing w:after="0"/>
              <w:rPr>
                <w:sz w:val="1"/>
                <w:szCs w:val="1"/>
                <w:color w:val="auto"/>
              </w:rPr>
            </w:pPr>
          </w:p>
        </w:tc>
      </w:tr>
      <w:tr>
        <w:trPr>
          <w:trHeight w:val="130"/>
        </w:trPr>
        <w:tc>
          <w:tcPr>
            <w:tcW w:w="4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9.01</w:t>
            </w:r>
          </w:p>
        </w:tc>
        <w:tc>
          <w:tcPr>
            <w:tcW w:w="108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480" w:type="dxa"/>
            <w:vAlign w:val="bottom"/>
            <w:vMerge w:val="continue"/>
          </w:tcPr>
          <w:p>
            <w:pPr>
              <w:spacing w:after="0"/>
              <w:rPr>
                <w:sz w:val="9"/>
                <w:szCs w:val="9"/>
                <w:color w:val="auto"/>
              </w:rPr>
            </w:pPr>
          </w:p>
        </w:tc>
        <w:tc>
          <w:tcPr>
            <w:tcW w:w="108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36"/>
          <w:szCs w:val="36"/>
          <w:b w:val="1"/>
          <w:bCs w:val="1"/>
          <w:u w:val="single" w:color="auto"/>
          <w:color w:val="auto"/>
          <w:vertAlign w:val="superscript"/>
        </w:rPr>
        <w:t>Exhibit</w:t>
      </w:r>
      <w:r>
        <w:rPr>
          <w:rFonts w:ascii="Times New Roman" w:cs="Times New Roman" w:eastAsia="Times New Roman" w:hAnsi="Times New Roman"/>
          <w:sz w:val="18"/>
          <w:szCs w:val="18"/>
          <w:b w:val="1"/>
          <w:bCs w:val="1"/>
          <w:u w:val="single" w:color="auto"/>
          <w:color w:val="auto"/>
        </w:rPr>
        <w:t>Description</w:t>
      </w: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No</w:t>
      </w:r>
      <w:r>
        <w:rPr>
          <w:rFonts w:ascii="Times New Roman" w:cs="Times New Roman" w:eastAsia="Times New Roman" w:hAnsi="Times New Roman"/>
          <w:sz w:val="18"/>
          <w:szCs w:val="18"/>
          <w:u w:val="single" w:color="auto"/>
          <w:color w:val="auto"/>
        </w:rPr>
        <w:t>.</w:t>
      </w:r>
    </w:p>
    <w:p>
      <w:pPr>
        <w:spacing w:after="0" w:line="205"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8"/>
          <w:szCs w:val="18"/>
          <w:color w:val="auto"/>
        </w:rPr>
        <w:t>Press Release of NN, Inc. dated August 6,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873125</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752" w:right="319" w:bottom="1440" w:gutter="0" w:footer="0" w:header="0"/>
        </w:sectPr>
      </w:pPr>
    </w:p>
    <w:bookmarkStart w:id="2" w:name="page3"/>
    <w:bookmarkEnd w:id="2"/>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5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August 6, 2013</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NN, Inc.</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r>
        <w:rPr>
          <w:rFonts w:ascii="Times New Roman" w:cs="Times New Roman" w:eastAsia="Times New Roman" w:hAnsi="Times New Roman"/>
          <w:sz w:val="18"/>
          <w:szCs w:val="18"/>
          <w:u w:val="single" w:color="auto"/>
          <w:color w:val="auto"/>
        </w:rPr>
        <w:t>/s/ William C. Kelly, Jr.</w:t>
      </w:r>
    </w:p>
    <w:p>
      <w:pPr>
        <w:spacing w:after="0" w:line="27" w:lineRule="exact"/>
        <w:rPr>
          <w:sz w:val="20"/>
          <w:szCs w:val="20"/>
          <w:color w:val="auto"/>
        </w:rPr>
      </w:pPr>
    </w:p>
    <w:p>
      <w:pPr>
        <w:spacing w:after="0"/>
        <w:tabs>
          <w:tab w:leader="none" w:pos="680" w:val="left"/>
        </w:tabs>
        <w:rPr>
          <w:sz w:val="20"/>
          <w:szCs w:val="20"/>
          <w:color w:val="auto"/>
        </w:rPr>
      </w:pPr>
      <w:r>
        <w:rPr>
          <w:rFonts w:ascii="Times New Roman" w:cs="Times New Roman" w:eastAsia="Times New Roman" w:hAnsi="Times New Roman"/>
          <w:sz w:val="18"/>
          <w:szCs w:val="18"/>
          <w:color w:val="auto"/>
        </w:rPr>
        <w:t>Name:</w:t>
        <w:tab/>
        <w:t>William C. Kelly, Jr.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 Vice President and Chief Administrative Officer</w:t>
      </w:r>
    </w:p>
    <w:p>
      <w:pPr>
        <w:sectPr>
          <w:pgSz w:w="11900" w:h="16838" w:orient="portrait"/>
          <w:cols w:equalWidth="0" w:num="1">
            <w:col w:w="11220"/>
          </w:cols>
          <w:pgMar w:left="240" w:top="509" w:right="439" w:bottom="1440" w:gutter="0" w:footer="0" w:header="0"/>
        </w:sectPr>
      </w:pPr>
    </w:p>
    <w:bookmarkStart w:id="3" w:name="page4"/>
    <w:bookmarkEnd w:id="3"/>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29"/>
          <w:szCs w:val="29"/>
          <w:color w:val="auto"/>
        </w:rPr>
        <w:t>F I N A N C I A L</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RELATIONS BOARD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FOR FURTHER INFORMATION:</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AT THE COMPANY</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Will Kelly</w:t>
      </w:r>
    </w:p>
    <w:p>
      <w:pPr>
        <w:spacing w:after="0" w:line="7" w:lineRule="exact"/>
        <w:rPr>
          <w:sz w:val="20"/>
          <w:szCs w:val="20"/>
          <w:color w:val="auto"/>
        </w:rPr>
      </w:pPr>
    </w:p>
    <w:p>
      <w:pPr>
        <w:ind w:right="1060"/>
        <w:spacing w:after="0" w:line="261" w:lineRule="auto"/>
        <w:rPr>
          <w:sz w:val="20"/>
          <w:szCs w:val="20"/>
          <w:color w:val="auto"/>
        </w:rPr>
      </w:pPr>
      <w:r>
        <w:rPr>
          <w:rFonts w:ascii="Times New Roman" w:cs="Times New Roman" w:eastAsia="Times New Roman" w:hAnsi="Times New Roman"/>
          <w:sz w:val="18"/>
          <w:szCs w:val="18"/>
          <w:color w:val="auto"/>
        </w:rPr>
        <w:t>Vice President and Chief Administrative Officer (423) 743-9151</w:t>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Times New Roman" w:cs="Times New Roman" w:eastAsia="Times New Roman" w:hAnsi="Times New Roman"/>
          <w:sz w:val="22"/>
          <w:szCs w:val="22"/>
          <w:b w:val="1"/>
          <w:bCs w:val="1"/>
          <w:color w:val="auto"/>
        </w:rPr>
        <w:t>EXHIBIT 99.1</w:t>
      </w:r>
    </w:p>
    <w:p>
      <w:pPr>
        <w:spacing w:after="0" w:line="200" w:lineRule="exact"/>
        <w:rPr>
          <w:sz w:val="20"/>
          <w:szCs w:val="20"/>
          <w:color w:val="auto"/>
        </w:rPr>
      </w:pPr>
    </w:p>
    <w:p>
      <w:pPr>
        <w:spacing w:after="0" w:line="24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61"/>
          <w:szCs w:val="61"/>
          <w:color w:val="auto"/>
        </w:rPr>
        <w:t>n e w s</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 NN,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2000 Waters Edge Drive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Johnson City, TN 37604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AT FINANCIAL RELATIONS BOARD</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Marilynn Meek</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(General info)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(212) 827-3773</w:t>
      </w:r>
    </w:p>
    <w:p>
      <w:pPr>
        <w:spacing w:after="0" w:line="198" w:lineRule="exact"/>
        <w:rPr>
          <w:sz w:val="20"/>
          <w:szCs w:val="20"/>
          <w:color w:val="auto"/>
        </w:rPr>
      </w:pPr>
    </w:p>
    <w:p>
      <w:pPr>
        <w:sectPr>
          <w:pgSz w:w="11900" w:h="16838" w:orient="portrait"/>
          <w:cols w:equalWidth="0" w:num="2">
            <w:col w:w="4540" w:space="720"/>
            <w:col w:w="6160"/>
          </w:cols>
          <w:pgMar w:left="240" w:top="108" w:right="239" w:bottom="1440" w:gutter="0" w:footer="0" w:header="0"/>
        </w:sectPr>
      </w:pPr>
    </w:p>
    <w:p>
      <w:pPr>
        <w:spacing w:after="0"/>
        <w:rPr>
          <w:sz w:val="20"/>
          <w:szCs w:val="20"/>
          <w:color w:val="auto"/>
        </w:rPr>
      </w:pPr>
      <w:r>
        <w:rPr>
          <w:rFonts w:ascii="Times New Roman" w:cs="Times New Roman" w:eastAsia="Times New Roman" w:hAnsi="Times New Roman"/>
          <w:sz w:val="20"/>
          <w:szCs w:val="20"/>
          <w:b w:val="1"/>
          <w:bCs w:val="1"/>
          <w:color w:val="auto"/>
        </w:rPr>
        <w:t>FOR IMMEDIATE RELEASE</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August 6, 2013</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NN, INC. REPORTS SECOND QUARTER AND SIX MONTHS 2013 RESULTS</w:t>
      </w:r>
    </w:p>
    <w:p>
      <w:pPr>
        <w:spacing w:after="0" w:line="252" w:lineRule="exact"/>
        <w:rPr>
          <w:sz w:val="20"/>
          <w:szCs w:val="20"/>
          <w:color w:val="auto"/>
        </w:rPr>
      </w:pPr>
    </w:p>
    <w:p>
      <w:pPr>
        <w:ind w:right="4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Johnson City, Tenn, August 6, 2013 – </w:t>
      </w:r>
      <w:r>
        <w:rPr>
          <w:rFonts w:ascii="Times New Roman" w:cs="Times New Roman" w:eastAsia="Times New Roman" w:hAnsi="Times New Roman"/>
          <w:sz w:val="18"/>
          <w:szCs w:val="18"/>
          <w:color w:val="auto"/>
        </w:rPr>
        <w:t>NN, Inc. (NASDAQ: NNBR) today reported its financial results for the period ended June 30, 2013. Net sales for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second quarter of 2013 decreased $2.5 million, or 2.5% to $96.3 million, compared to net sales of $98.8 million for the second quarter of 2012. The Company made the strategic decision to discontinue the production and sale of certain non-strategic, low profit products in the Precision Metal and Plastic and Rubber Segments. This decision accounted for the majority if the $2.5 million in sales reduction.</w:t>
      </w:r>
    </w:p>
    <w:p>
      <w:pPr>
        <w:spacing w:after="0" w:line="208"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Net income for the second quarter of 2013 was $4.8 million, or $0.28 per diluted share, compared to $7.0 million, or $0.41 per diluted share for the same period last year. The reduction of $2.2 million was mainly due to the recording of approximately $1.0 million more of non-operating foreign exchange gains in the second quarter of 2012 compared to the second quarter of 2013 and the recording of approximately $1.3 million in higher taxes in the second quarter of 2013 compared to the second quarter of 2012. The higher taxes are the result of the use of an effective tax rate of 36% for the second quarter of 2013 compared to an effective rate of 16% for the second quarter of 2012. This difference is due to the utilization of net operating loss valuation allowances in 2012 that completely offset U.S. based taxable income for the quarter. These allowances were reversed as of December 31, 2012.</w:t>
      </w:r>
    </w:p>
    <w:p>
      <w:pPr>
        <w:spacing w:after="0" w:line="215"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Net sales for the first six months of 2013 decreased $13.2 million, or 6.5% to $190.1 million, compared to net sales of $203.3 million for the first six months of 2012. A decrease of $13.3 million was attributable to lower demand for the Company’s products, mainly due to European automotive end markets and slowing Asian economic growth. The negative impact of price and mix of approximately $1.1 million was offset by the favorable effects of foreign exchange of approximately $1.2 million.</w:t>
      </w:r>
    </w:p>
    <w:p>
      <w:pPr>
        <w:spacing w:after="0" w:line="207"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Net income for the first six months of 2013 was $7.6 million, or $0.45 per diluted share, compared to net income of $12.9 million, or $0.76 per diluted share, for the comparable period last year. The reduction of $5.3 million was mainly due to the effect of lower sales which accounted for approximately $3.1 million of the reduction, the recording of approximately $1.0 million more in non-operating losses in the first six months of 2013 compared to the first six months of 2012, and the recording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381000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08" w:right="239" w:bottom="1440" w:gutter="0" w:footer="0" w:header="0"/>
          <w:type w:val="continuous"/>
        </w:sectPr>
      </w:pPr>
    </w:p>
    <w:bookmarkStart w:id="4" w:name="page5"/>
    <w:bookmarkEnd w:id="4"/>
    <w:p>
      <w:pPr>
        <w:ind w:right="100"/>
        <w:spacing w:after="0" w:line="261" w:lineRule="auto"/>
        <w:rPr>
          <w:sz w:val="20"/>
          <w:szCs w:val="20"/>
          <w:color w:val="auto"/>
        </w:rPr>
      </w:pPr>
      <w:r>
        <w:rPr>
          <w:rFonts w:ascii="Times New Roman" w:cs="Times New Roman" w:eastAsia="Times New Roman" w:hAnsi="Times New Roman"/>
          <w:sz w:val="18"/>
          <w:szCs w:val="18"/>
          <w:color w:val="auto"/>
        </w:rPr>
        <w:t>approximately $1.2 million in higher taxes in the first six months of 2013 compared to the first six months of 2012. The higher taxes are the result of the use of an effective tax rate of 35% for the first six months of 2013 compared to an effective rate of 18% for the first six months of 2012. This rate difference is due to the utilization of net operating loss valuation allowances in 2012 that completely offset U.S. based taxable income for the quarter. These allowances were reversed as of December 31, 2012.</w:t>
      </w:r>
    </w:p>
    <w:p>
      <w:pPr>
        <w:spacing w:after="0" w:line="207" w:lineRule="exact"/>
        <w:rPr>
          <w:sz w:val="20"/>
          <w:szCs w:val="20"/>
          <w:color w:val="auto"/>
        </w:rPr>
      </w:pPr>
    </w:p>
    <w:p>
      <w:pPr>
        <w:jc w:val="both"/>
        <w:ind w:right="600"/>
        <w:spacing w:after="0" w:line="266" w:lineRule="auto"/>
        <w:rPr>
          <w:sz w:val="20"/>
          <w:szCs w:val="20"/>
          <w:color w:val="auto"/>
        </w:rPr>
      </w:pPr>
      <w:r>
        <w:rPr>
          <w:rFonts w:ascii="Times New Roman" w:cs="Times New Roman" w:eastAsia="Times New Roman" w:hAnsi="Times New Roman"/>
          <w:sz w:val="18"/>
          <w:szCs w:val="18"/>
          <w:color w:val="auto"/>
        </w:rPr>
        <w:t>As a percentage of net sales, cost of goods sold in the second quarter of 2013 of 78.7% decreased slightly as compared to 78.8% for last year’s second quarter. Cost of products sold for the first six months of 2013 of 79.0% decreased slightly as compared to 79.1% for the same period last year. These decreases reflect ongoing cost reduction programs and operational initiatives.</w:t>
      </w:r>
    </w:p>
    <w:p>
      <w:pPr>
        <w:spacing w:after="0" w:line="203" w:lineRule="exact"/>
        <w:rPr>
          <w:sz w:val="20"/>
          <w:szCs w:val="20"/>
          <w:color w:val="auto"/>
        </w:rPr>
      </w:pPr>
    </w:p>
    <w:p>
      <w:pPr>
        <w:jc w:val="both"/>
        <w:ind w:right="320"/>
        <w:spacing w:after="0" w:line="266" w:lineRule="auto"/>
        <w:rPr>
          <w:sz w:val="20"/>
          <w:szCs w:val="20"/>
          <w:color w:val="auto"/>
        </w:rPr>
      </w:pPr>
      <w:r>
        <w:rPr>
          <w:rFonts w:ascii="Times New Roman" w:cs="Times New Roman" w:eastAsia="Times New Roman" w:hAnsi="Times New Roman"/>
          <w:sz w:val="18"/>
          <w:szCs w:val="18"/>
          <w:color w:val="auto"/>
        </w:rPr>
        <w:t>Debt, net of cash, was $46.5 million at June 30, 2013, a decrease of $4.0 million compared to $50.5 million at December 31, 2012. As of June 30, 2013, approximately $4.9 million, or 29% of the planned capital budget of $17.0 million for the year had been utilized. Typically, capital expenditures are more weighted to the second half of the year.</w:t>
      </w:r>
    </w:p>
    <w:p>
      <w:pPr>
        <w:spacing w:after="0" w:line="20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Richard D. Holder, President and Chief Executive Officer commented, “We began to experience positive revenue momentum during the second quarter of this year due to a slight demand increase in the European heavy truck market and our ability to better penetrate the markets of existing customers in Europe. Our second quarter sales increased $2.5 million over sales for the first quarter of this year. Although we are encouraged by this development, the protracted general global economic uncertainty causes us to remain cautious regarding the second half of the year. Therefore, we are holding our estimates for the second half and full year at this time.</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“Compared to the same period last year, weak economic conditions in Europe and Asia continued to negatively impact demand in the second</w:t>
      </w:r>
    </w:p>
    <w:p>
      <w:pPr>
        <w:spacing w:after="0" w:line="27"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quarter. Additionally, we made the strategic decision to shed non-core, non-strategic low profit products and customer platforms. This action, while having a short-term negative impact on sales, will position us for growth and allow us to be a more profitable organization going forward.”</w:t>
      </w:r>
    </w:p>
    <w:p>
      <w:pPr>
        <w:spacing w:after="0" w:line="207"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Mr. Holder concluded, “During the first half of the year, we continued to pursue the initiatives we began three years ago of improved operating performance, cost structure enhancements and the strengthening of our balance sheet. When the European automotive market returns we will be better positioned to deliver added profit to the bottom line. During the second quarter, we began the process of revising and enhancing our current business strategy. This strategy will include, among other initiatives, plans to more aggressively pursue acquisitive and organic growth opportunities in our core and adjacent markets. We look forward to sharing details of this strategy in the fourth quarter of this year.”</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right="300"/>
        <w:spacing w:after="0" w:line="266" w:lineRule="auto"/>
        <w:rPr>
          <w:sz w:val="20"/>
          <w:szCs w:val="20"/>
          <w:color w:val="auto"/>
        </w:rPr>
      </w:pPr>
      <w:r>
        <w:rPr>
          <w:rFonts w:ascii="Times New Roman" w:cs="Times New Roman" w:eastAsia="Times New Roman" w:hAnsi="Times New Roman"/>
          <w:sz w:val="18"/>
          <w:szCs w:val="18"/>
          <w:color w:val="auto"/>
        </w:rPr>
        <w:t>NN, Inc. manufacturers and supplies high precision metal bearing components, industrial plastic and rubber products and precision metal components to a variety of markets on a global basis. Headquartered in Johnson City, Tennessee, NN has 10 manufacturing plants in the United States, Western Europe, Eastern Europe and China. NN, Inc. had sales of US $370 million in 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549910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86" w:right="239" w:bottom="1440" w:gutter="0" w:footer="0" w:header="0"/>
        </w:sectPr>
      </w:pPr>
    </w:p>
    <w:bookmarkStart w:id="5" w:name="page6"/>
    <w:bookmarkEnd w:id="5"/>
    <w:p>
      <w:pPr>
        <w:spacing w:after="0" w:line="253" w:lineRule="auto"/>
        <w:rPr>
          <w:sz w:val="20"/>
          <w:szCs w:val="20"/>
          <w:color w:val="auto"/>
        </w:rPr>
      </w:pPr>
      <w:r>
        <w:rPr>
          <w:rFonts w:ascii="Times New Roman" w:cs="Times New Roman" w:eastAsia="Times New Roman" w:hAnsi="Times New Roman"/>
          <w:sz w:val="18"/>
          <w:szCs w:val="18"/>
          <w:i w:val="1"/>
          <w:iCs w:val="1"/>
          <w:color w:val="auto"/>
        </w:rPr>
        <w:t>Except for specific historical information, many of the matters discussed in this press release may express or imply projections of revenues or expenditures, statements of plans and objectives or future operations or statements of future economic performance. These, and similar statements, are forward-looking statements concerning matters that involve risks, uncertainties and other factors which may cause the actual performance of NN, Inc. and its subsidiaries to differ materially from those expressed or implied by this discussion. All forward-looking information is provided by the Company pursuant to the safe harbor established under the Private Securities Litigation Reform Act of 1995 and should be evaluated in the context of these factors. Forward-looking statements generally can be identified by the use of forward-looking terminology such as “assumptions”, “target”, “guidance”, “outlook”, “plans”, “projection”, “may”, “will”, “would”, “expect”, “intend”, “estimate”, “anticipate”, “believe”, “potential” or “continue” (or the negative or other derivatives of each of these terms) or similar terminology. Factors which could materially affect actual results include, but are not limited to: general economic conditions and economic conditions in the industrial sector, inventory levels, regulatory compliance costs and the Company's ability to manage these costs, start-up costs for new operations, debt reduction, competitive influences, risks that current customers will commence or increase captive production, risks of capacity underutilization, quality issues, availability and price of raw materials, currency and other risks associated with international trade, the Company’s dependence on certain major customers, the successful implementation of the global growth plan including development of new products and consummation of potential acquisitions and other risk factors and cautionary statements listed from time to time in the Company’s periodic reports filed with the Securities and Exchange Commission, including, but not limited to, the Company’s Annual Report on Form 10-K for the fiscal year ended December 31, 2012.</w:t>
      </w:r>
    </w:p>
    <w:p>
      <w:pPr>
        <w:spacing w:after="0" w:line="21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i w:val="1"/>
          <w:iCs w:val="1"/>
          <w:color w:val="auto"/>
        </w:rPr>
        <w:t>Financial Tables Follow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582930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268" w:right="25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NN, Inc.</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Consolidated Statements of Income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160" w:type="dxa"/>
            <w:vAlign w:val="bottom"/>
          </w:tcPr>
          <w:p>
            <w:pPr>
              <w:spacing w:after="0"/>
              <w:rPr>
                <w:sz w:val="18"/>
                <w:szCs w:val="18"/>
                <w:color w:val="auto"/>
              </w:rPr>
            </w:pPr>
          </w:p>
        </w:tc>
        <w:tc>
          <w:tcPr>
            <w:tcW w:w="2200" w:type="dxa"/>
            <w:vAlign w:val="bottom"/>
            <w:gridSpan w:val="6"/>
          </w:tcPr>
          <w:p>
            <w:pPr>
              <w:jc w:val="right"/>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5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100" w:type="dxa"/>
            <w:vAlign w:val="bottom"/>
            <w:gridSpan w:val="6"/>
          </w:tcPr>
          <w:p>
            <w:pPr>
              <w:jc w:val="right"/>
              <w:ind w:right="1420"/>
              <w:spacing w:after="0"/>
              <w:rPr>
                <w:sz w:val="20"/>
                <w:szCs w:val="20"/>
                <w:color w:val="auto"/>
              </w:rPr>
            </w:pPr>
            <w:r>
              <w:rPr>
                <w:rFonts w:ascii="Times New Roman" w:cs="Times New Roman" w:eastAsia="Times New Roman" w:hAnsi="Times New Roman"/>
                <w:sz w:val="18"/>
                <w:szCs w:val="18"/>
                <w:b w:val="1"/>
                <w:bCs w:val="1"/>
                <w:color w:val="auto"/>
              </w:rPr>
              <w:t>Six Months Ended</w:t>
            </w:r>
          </w:p>
        </w:tc>
      </w:tr>
      <w:tr>
        <w:trPr>
          <w:trHeight w:val="220"/>
        </w:trPr>
        <w:tc>
          <w:tcPr>
            <w:tcW w:w="4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100" w:type="dxa"/>
            <w:vAlign w:val="bottom"/>
            <w:gridSpan w:val="4"/>
          </w:tcPr>
          <w:p>
            <w:pPr>
              <w:ind w:left="30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3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58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41"/>
        </w:trPr>
        <w:tc>
          <w:tcPr>
            <w:tcW w:w="4160" w:type="dxa"/>
            <w:vAlign w:val="bottom"/>
          </w:tcPr>
          <w:p>
            <w:pPr>
              <w:spacing w:after="0"/>
              <w:rPr>
                <w:sz w:val="20"/>
                <w:szCs w:val="20"/>
                <w:color w:val="auto"/>
              </w:rPr>
            </w:pPr>
          </w:p>
        </w:tc>
        <w:tc>
          <w:tcPr>
            <w:tcW w:w="1260" w:type="dxa"/>
            <w:vAlign w:val="bottom"/>
            <w:gridSpan w:val="2"/>
          </w:tcPr>
          <w:p>
            <w:pPr>
              <w:jc w:val="right"/>
              <w:ind w:right="350"/>
              <w:spacing w:after="0"/>
              <w:rPr>
                <w:sz w:val="20"/>
                <w:szCs w:val="20"/>
                <w:color w:val="auto"/>
              </w:rPr>
            </w:pPr>
            <w:r>
              <w:rPr>
                <w:rFonts w:ascii="Times New Roman" w:cs="Times New Roman" w:eastAsia="Times New Roman" w:hAnsi="Times New Roman"/>
                <w:sz w:val="18"/>
                <w:szCs w:val="18"/>
                <w:color w:val="auto"/>
              </w:rPr>
              <w:t>2013</w:t>
            </w: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gridSpan w:val="2"/>
          </w:tcPr>
          <w:p>
            <w:pPr>
              <w:jc w:val="right"/>
              <w:ind w:right="290"/>
              <w:spacing w:after="0"/>
              <w:rPr>
                <w:sz w:val="20"/>
                <w:szCs w:val="20"/>
                <w:color w:val="auto"/>
              </w:rPr>
            </w:pPr>
            <w:r>
              <w:rPr>
                <w:rFonts w:ascii="Times New Roman" w:cs="Times New Roman" w:eastAsia="Times New Roman" w:hAnsi="Times New Roman"/>
                <w:sz w:val="18"/>
                <w:szCs w:val="18"/>
                <w:color w:val="auto"/>
              </w:rPr>
              <w:t>2012</w:t>
            </w:r>
          </w:p>
        </w:tc>
        <w:tc>
          <w:tcPr>
            <w:tcW w:w="720" w:type="dxa"/>
            <w:vAlign w:val="bottom"/>
          </w:tcPr>
          <w:p>
            <w:pPr>
              <w:spacing w:after="0"/>
              <w:rPr>
                <w:sz w:val="20"/>
                <w:szCs w:val="20"/>
                <w:color w:val="auto"/>
              </w:rPr>
            </w:pPr>
          </w:p>
        </w:tc>
        <w:tc>
          <w:tcPr>
            <w:tcW w:w="1240" w:type="dxa"/>
            <w:vAlign w:val="bottom"/>
            <w:gridSpan w:val="2"/>
          </w:tcPr>
          <w:p>
            <w:pPr>
              <w:jc w:val="right"/>
              <w:ind w:right="350"/>
              <w:spacing w:after="0"/>
              <w:rPr>
                <w:sz w:val="20"/>
                <w:szCs w:val="20"/>
                <w:color w:val="auto"/>
              </w:rPr>
            </w:pPr>
            <w:r>
              <w:rPr>
                <w:rFonts w:ascii="Times New Roman" w:cs="Times New Roman" w:eastAsia="Times New Roman" w:hAnsi="Times New Roman"/>
                <w:sz w:val="18"/>
                <w:szCs w:val="18"/>
                <w:color w:val="auto"/>
              </w:rPr>
              <w:t>2013</w:t>
            </w:r>
          </w:p>
        </w:tc>
        <w:tc>
          <w:tcPr>
            <w:tcW w:w="80" w:type="dxa"/>
            <w:vAlign w:val="bottom"/>
          </w:tcPr>
          <w:p>
            <w:pPr>
              <w:spacing w:after="0"/>
              <w:rPr>
                <w:sz w:val="20"/>
                <w:szCs w:val="20"/>
                <w:color w:val="auto"/>
              </w:rPr>
            </w:pPr>
          </w:p>
        </w:tc>
        <w:tc>
          <w:tcPr>
            <w:tcW w:w="1460" w:type="dxa"/>
            <w:vAlign w:val="bottom"/>
            <w:gridSpan w:val="3"/>
          </w:tcPr>
          <w:p>
            <w:pPr>
              <w:jc w:val="right"/>
              <w:ind w:right="290"/>
              <w:spacing w:after="0"/>
              <w:rPr>
                <w:sz w:val="20"/>
                <w:szCs w:val="20"/>
                <w:color w:val="auto"/>
              </w:rPr>
            </w:pPr>
            <w:r>
              <w:rPr>
                <w:rFonts w:ascii="Times New Roman" w:cs="Times New Roman" w:eastAsia="Times New Roman" w:hAnsi="Times New Roman"/>
                <w:sz w:val="18"/>
                <w:szCs w:val="18"/>
                <w:color w:val="auto"/>
              </w:rPr>
              <w:t>2012</w:t>
            </w:r>
          </w:p>
        </w:tc>
        <w:tc>
          <w:tcPr>
            <w:tcW w:w="1040" w:type="dxa"/>
            <w:vAlign w:val="bottom"/>
          </w:tcPr>
          <w:p>
            <w:pPr>
              <w:spacing w:after="0"/>
              <w:rPr>
                <w:sz w:val="20"/>
                <w:szCs w:val="20"/>
                <w:color w:val="auto"/>
              </w:rPr>
            </w:pPr>
          </w:p>
        </w:tc>
      </w:tr>
      <w:tr>
        <w:trPr>
          <w:trHeight w:val="198"/>
        </w:trPr>
        <w:tc>
          <w:tcPr>
            <w:tcW w:w="41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Net sales</w:t>
            </w:r>
          </w:p>
        </w:tc>
        <w:tc>
          <w:tcPr>
            <w:tcW w:w="740" w:type="dxa"/>
            <w:vAlign w:val="bottom"/>
            <w:tcBorders>
              <w:top w:val="single" w:sz="8" w:color="auto"/>
            </w:tcBorders>
          </w:tcPr>
          <w:p>
            <w:pPr>
              <w:jc w:val="right"/>
              <w:spacing w:after="0" w:line="198" w:lineRule="exact"/>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top w:val="single" w:sz="8" w:color="auto"/>
            </w:tcBorders>
          </w:tcPr>
          <w:p>
            <w:pPr>
              <w:jc w:val="right"/>
              <w:spacing w:after="0" w:line="198" w:lineRule="exact"/>
              <w:rPr>
                <w:sz w:val="20"/>
                <w:szCs w:val="20"/>
                <w:color w:val="auto"/>
              </w:rPr>
            </w:pPr>
            <w:r>
              <w:rPr>
                <w:rFonts w:ascii="Times New Roman" w:cs="Times New Roman" w:eastAsia="Times New Roman" w:hAnsi="Times New Roman"/>
                <w:sz w:val="18"/>
                <w:szCs w:val="18"/>
                <w:color w:val="auto"/>
              </w:rPr>
              <w:t>96,305</w:t>
            </w: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360" w:type="dxa"/>
            <w:vAlign w:val="bottom"/>
            <w:tcBorders>
              <w:top w:val="single" w:sz="8" w:color="auto"/>
            </w:tcBorders>
          </w:tcPr>
          <w:p>
            <w:pPr>
              <w:jc w:val="right"/>
              <w:spacing w:after="0" w:line="198" w:lineRule="exact"/>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top w:val="single" w:sz="8" w:color="auto"/>
            </w:tcBorders>
          </w:tcPr>
          <w:p>
            <w:pPr>
              <w:jc w:val="right"/>
              <w:spacing w:after="0" w:line="198" w:lineRule="exact"/>
              <w:rPr>
                <w:sz w:val="20"/>
                <w:szCs w:val="20"/>
                <w:color w:val="auto"/>
              </w:rPr>
            </w:pPr>
            <w:r>
              <w:rPr>
                <w:rFonts w:ascii="Times New Roman" w:cs="Times New Roman" w:eastAsia="Times New Roman" w:hAnsi="Times New Roman"/>
                <w:sz w:val="18"/>
                <w:szCs w:val="18"/>
                <w:color w:val="auto"/>
              </w:rPr>
              <w:t>98,824</w:t>
            </w:r>
          </w:p>
        </w:tc>
        <w:tc>
          <w:tcPr>
            <w:tcW w:w="720" w:type="dxa"/>
            <w:vAlign w:val="bottom"/>
          </w:tcPr>
          <w:p>
            <w:pPr>
              <w:spacing w:after="0"/>
              <w:rPr>
                <w:sz w:val="17"/>
                <w:szCs w:val="17"/>
                <w:color w:val="auto"/>
              </w:rPr>
            </w:pPr>
          </w:p>
        </w:tc>
        <w:tc>
          <w:tcPr>
            <w:tcW w:w="1240" w:type="dxa"/>
            <w:vAlign w:val="bottom"/>
            <w:tcBorders>
              <w:top w:val="single" w:sz="8" w:color="auto"/>
            </w:tcBorders>
            <w:gridSpan w:val="2"/>
          </w:tcPr>
          <w:p>
            <w:pPr>
              <w:jc w:val="right"/>
              <w:spacing w:after="0" w:line="198" w:lineRule="exact"/>
              <w:rPr>
                <w:sz w:val="20"/>
                <w:szCs w:val="20"/>
                <w:color w:val="auto"/>
              </w:rPr>
            </w:pPr>
            <w:r>
              <w:rPr>
                <w:rFonts w:ascii="Times New Roman" w:cs="Times New Roman" w:eastAsia="Times New Roman" w:hAnsi="Times New Roman"/>
                <w:sz w:val="18"/>
                <w:szCs w:val="18"/>
                <w:color w:val="auto"/>
              </w:rPr>
              <w:t>$ 190,102</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60" w:type="dxa"/>
            <w:vAlign w:val="bottom"/>
            <w:tcBorders>
              <w:top w:val="single" w:sz="8" w:color="auto"/>
            </w:tcBorders>
          </w:tcPr>
          <w:p>
            <w:pPr>
              <w:jc w:val="right"/>
              <w:ind w:right="10"/>
              <w:spacing w:after="0" w:line="198" w:lineRule="exact"/>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top w:val="single" w:sz="8" w:color="auto"/>
            </w:tcBorders>
          </w:tcPr>
          <w:p>
            <w:pPr>
              <w:jc w:val="right"/>
              <w:spacing w:after="0" w:line="198" w:lineRule="exact"/>
              <w:rPr>
                <w:sz w:val="20"/>
                <w:szCs w:val="20"/>
                <w:color w:val="auto"/>
              </w:rPr>
            </w:pPr>
            <w:r>
              <w:rPr>
                <w:rFonts w:ascii="Times New Roman" w:cs="Times New Roman" w:eastAsia="Times New Roman" w:hAnsi="Times New Roman"/>
                <w:sz w:val="18"/>
                <w:szCs w:val="18"/>
                <w:color w:val="auto"/>
                <w:w w:val="95"/>
              </w:rPr>
              <w:t>203,343</w:t>
            </w:r>
          </w:p>
        </w:tc>
        <w:tc>
          <w:tcPr>
            <w:tcW w:w="1040" w:type="dxa"/>
            <w:vAlign w:val="bottom"/>
          </w:tcPr>
          <w:p>
            <w:pPr>
              <w:spacing w:after="0"/>
              <w:rPr>
                <w:sz w:val="17"/>
                <w:szCs w:val="17"/>
                <w:color w:val="auto"/>
              </w:rPr>
            </w:pPr>
          </w:p>
        </w:tc>
      </w:tr>
      <w:tr>
        <w:trPr>
          <w:trHeight w:val="216"/>
        </w:trPr>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Cost of products sold (exclusive of</w:t>
            </w:r>
          </w:p>
        </w:tc>
        <w:tc>
          <w:tcPr>
            <w:tcW w:w="7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6"/>
        </w:trPr>
        <w:tc>
          <w:tcPr>
            <w:tcW w:w="41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depreciation shown separately below)</w:t>
            </w:r>
          </w:p>
        </w:tc>
        <w:tc>
          <w:tcPr>
            <w:tcW w:w="740" w:type="dxa"/>
            <w:vAlign w:val="bottom"/>
          </w:tcPr>
          <w:p>
            <w:pPr>
              <w:spacing w:after="0"/>
              <w:rPr>
                <w:sz w:val="18"/>
                <w:szCs w:val="18"/>
                <w:color w:val="auto"/>
              </w:rPr>
            </w:pPr>
          </w:p>
        </w:tc>
        <w:tc>
          <w:tcPr>
            <w:tcW w:w="5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75,751</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gridSpan w:val="2"/>
          </w:tcPr>
          <w:p>
            <w:pPr>
              <w:jc w:val="right"/>
              <w:ind w:right="720"/>
              <w:spacing w:after="0"/>
              <w:rPr>
                <w:sz w:val="20"/>
                <w:szCs w:val="20"/>
                <w:color w:val="auto"/>
              </w:rPr>
            </w:pPr>
            <w:r>
              <w:rPr>
                <w:rFonts w:ascii="Times New Roman" w:cs="Times New Roman" w:eastAsia="Times New Roman" w:hAnsi="Times New Roman"/>
                <w:sz w:val="18"/>
                <w:szCs w:val="18"/>
                <w:color w:val="auto"/>
              </w:rPr>
              <w:t>77,848</w:t>
            </w:r>
          </w:p>
        </w:tc>
        <w:tc>
          <w:tcPr>
            <w:tcW w:w="132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150,268</w:t>
            </w:r>
          </w:p>
        </w:tc>
        <w:tc>
          <w:tcPr>
            <w:tcW w:w="3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20" w:type="dxa"/>
            <w:vAlign w:val="bottom"/>
            <w:gridSpan w:val="2"/>
          </w:tcPr>
          <w:p>
            <w:pPr>
              <w:jc w:val="right"/>
              <w:ind w:right="1040"/>
              <w:spacing w:after="0"/>
              <w:rPr>
                <w:sz w:val="20"/>
                <w:szCs w:val="20"/>
                <w:color w:val="auto"/>
              </w:rPr>
            </w:pPr>
            <w:r>
              <w:rPr>
                <w:rFonts w:ascii="Times New Roman" w:cs="Times New Roman" w:eastAsia="Times New Roman" w:hAnsi="Times New Roman"/>
                <w:sz w:val="18"/>
                <w:szCs w:val="18"/>
                <w:color w:val="auto"/>
                <w:w w:val="95"/>
              </w:rPr>
              <w:t>160,817</w:t>
            </w:r>
          </w:p>
        </w:tc>
      </w:tr>
      <w:tr>
        <w:trPr>
          <w:trHeight w:val="216"/>
        </w:trPr>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740" w:type="dxa"/>
            <w:vAlign w:val="bottom"/>
          </w:tcPr>
          <w:p>
            <w:pPr>
              <w:spacing w:after="0"/>
              <w:rPr>
                <w:sz w:val="18"/>
                <w:szCs w:val="18"/>
                <w:color w:val="auto"/>
              </w:rPr>
            </w:pPr>
          </w:p>
        </w:tc>
        <w:tc>
          <w:tcPr>
            <w:tcW w:w="5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8,339</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8,312</w:t>
            </w:r>
          </w:p>
        </w:tc>
        <w:tc>
          <w:tcPr>
            <w:tcW w:w="7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17,445</w:t>
            </w:r>
          </w:p>
        </w:tc>
        <w:tc>
          <w:tcPr>
            <w:tcW w:w="3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20" w:type="dxa"/>
            <w:vAlign w:val="bottom"/>
            <w:gridSpan w:val="2"/>
          </w:tcPr>
          <w:p>
            <w:pPr>
              <w:jc w:val="right"/>
              <w:ind w:right="1040"/>
              <w:spacing w:after="0"/>
              <w:rPr>
                <w:sz w:val="20"/>
                <w:szCs w:val="20"/>
                <w:color w:val="auto"/>
              </w:rPr>
            </w:pPr>
            <w:r>
              <w:rPr>
                <w:rFonts w:ascii="Times New Roman" w:cs="Times New Roman" w:eastAsia="Times New Roman" w:hAnsi="Times New Roman"/>
                <w:sz w:val="18"/>
                <w:szCs w:val="18"/>
                <w:color w:val="auto"/>
              </w:rPr>
              <w:t>16,379</w:t>
            </w:r>
          </w:p>
        </w:tc>
      </w:tr>
      <w:tr>
        <w:trPr>
          <w:trHeight w:val="216"/>
        </w:trPr>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740" w:type="dxa"/>
            <w:vAlign w:val="bottom"/>
          </w:tcPr>
          <w:p>
            <w:pPr>
              <w:spacing w:after="0"/>
              <w:rPr>
                <w:sz w:val="18"/>
                <w:szCs w:val="18"/>
                <w:color w:val="auto"/>
              </w:rPr>
            </w:pPr>
          </w:p>
        </w:tc>
        <w:tc>
          <w:tcPr>
            <w:tcW w:w="5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4,294</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4,389</w:t>
            </w:r>
          </w:p>
        </w:tc>
        <w:tc>
          <w:tcPr>
            <w:tcW w:w="7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8,825</w:t>
            </w:r>
          </w:p>
        </w:tc>
        <w:tc>
          <w:tcPr>
            <w:tcW w:w="3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20" w:type="dxa"/>
            <w:vAlign w:val="bottom"/>
            <w:gridSpan w:val="2"/>
          </w:tcPr>
          <w:p>
            <w:pPr>
              <w:jc w:val="right"/>
              <w:ind w:right="1040"/>
              <w:spacing w:after="0"/>
              <w:rPr>
                <w:sz w:val="20"/>
                <w:szCs w:val="20"/>
                <w:color w:val="auto"/>
              </w:rPr>
            </w:pPr>
            <w:r>
              <w:rPr>
                <w:rFonts w:ascii="Times New Roman" w:cs="Times New Roman" w:eastAsia="Times New Roman" w:hAnsi="Times New Roman"/>
                <w:sz w:val="18"/>
                <w:szCs w:val="18"/>
                <w:color w:val="auto"/>
              </w:rPr>
              <w:t>8,846</w:t>
            </w:r>
          </w:p>
        </w:tc>
      </w:tr>
      <w:tr>
        <w:trPr>
          <w:trHeight w:val="241"/>
        </w:trPr>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Loss (gain) on disposal of assets</w:t>
            </w:r>
          </w:p>
        </w:tc>
        <w:tc>
          <w:tcPr>
            <w:tcW w:w="740" w:type="dxa"/>
            <w:vAlign w:val="bottom"/>
          </w:tcPr>
          <w:p>
            <w:pPr>
              <w:spacing w:after="0"/>
              <w:rPr>
                <w:sz w:val="20"/>
                <w:szCs w:val="20"/>
                <w:color w:val="auto"/>
              </w:rPr>
            </w:pPr>
          </w:p>
        </w:tc>
        <w:tc>
          <w:tcPr>
            <w:tcW w:w="5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w:t>
            </w:r>
          </w:p>
        </w:tc>
        <w:tc>
          <w:tcPr>
            <w:tcW w:w="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w:t>
            </w:r>
          </w:p>
        </w:tc>
        <w:tc>
          <w:tcPr>
            <w:tcW w:w="3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620" w:type="dxa"/>
            <w:vAlign w:val="bottom"/>
            <w:gridSpan w:val="2"/>
          </w:tcPr>
          <w:p>
            <w:pPr>
              <w:jc w:val="right"/>
              <w:ind w:right="1040"/>
              <w:spacing w:after="0"/>
              <w:rPr>
                <w:sz w:val="20"/>
                <w:szCs w:val="20"/>
                <w:color w:val="auto"/>
              </w:rPr>
            </w:pPr>
            <w:r>
              <w:rPr>
                <w:rFonts w:ascii="Times New Roman" w:cs="Times New Roman" w:eastAsia="Times New Roman" w:hAnsi="Times New Roman"/>
                <w:sz w:val="18"/>
                <w:szCs w:val="18"/>
                <w:color w:val="auto"/>
              </w:rPr>
              <w:t>(8)</w:t>
            </w:r>
          </w:p>
        </w:tc>
      </w:tr>
      <w:tr>
        <w:trPr>
          <w:trHeight w:val="234"/>
        </w:trPr>
        <w:tc>
          <w:tcPr>
            <w:tcW w:w="41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Income from operations</w:t>
            </w:r>
          </w:p>
        </w:tc>
        <w:tc>
          <w:tcPr>
            <w:tcW w:w="740" w:type="dxa"/>
            <w:vAlign w:val="bottom"/>
            <w:tcBorders>
              <w:top w:val="single" w:sz="8" w:color="auto"/>
            </w:tcBorders>
          </w:tcPr>
          <w:p>
            <w:pPr>
              <w:spacing w:after="0"/>
              <w:rPr>
                <w:sz w:val="20"/>
                <w:szCs w:val="20"/>
                <w:color w:val="auto"/>
              </w:rPr>
            </w:pPr>
          </w:p>
        </w:tc>
        <w:tc>
          <w:tcPr>
            <w:tcW w:w="540" w:type="dxa"/>
            <w:vAlign w:val="bottom"/>
            <w:tcBorders>
              <w:top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7,920</w:t>
            </w:r>
          </w:p>
        </w:tc>
        <w:tc>
          <w:tcPr>
            <w:tcW w:w="3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8,275</w:t>
            </w:r>
          </w:p>
        </w:tc>
        <w:tc>
          <w:tcPr>
            <w:tcW w:w="720" w:type="dxa"/>
            <w:vAlign w:val="bottom"/>
          </w:tcPr>
          <w:p>
            <w:pPr>
              <w:spacing w:after="0"/>
              <w:rPr>
                <w:sz w:val="20"/>
                <w:szCs w:val="20"/>
                <w:color w:val="auto"/>
              </w:rPr>
            </w:pPr>
          </w:p>
        </w:tc>
        <w:tc>
          <w:tcPr>
            <w:tcW w:w="720" w:type="dxa"/>
            <w:vAlign w:val="bottom"/>
            <w:tcBorders>
              <w:top w:val="single" w:sz="8" w:color="auto"/>
            </w:tcBorders>
          </w:tcPr>
          <w:p>
            <w:pPr>
              <w:spacing w:after="0"/>
              <w:rPr>
                <w:sz w:val="20"/>
                <w:szCs w:val="20"/>
                <w:color w:val="auto"/>
              </w:rPr>
            </w:pP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13,559</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60" w:type="dxa"/>
            <w:vAlign w:val="bottom"/>
            <w:tcBorders>
              <w:top w:val="single" w:sz="8" w:color="auto"/>
            </w:tcBorders>
          </w:tcPr>
          <w:p>
            <w:pPr>
              <w:spacing w:after="0"/>
              <w:rPr>
                <w:sz w:val="20"/>
                <w:szCs w:val="20"/>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17,309</w:t>
            </w:r>
          </w:p>
        </w:tc>
        <w:tc>
          <w:tcPr>
            <w:tcW w:w="1040" w:type="dxa"/>
            <w:vAlign w:val="bottom"/>
          </w:tcPr>
          <w:p>
            <w:pPr>
              <w:spacing w:after="0"/>
              <w:rPr>
                <w:sz w:val="20"/>
                <w:szCs w:val="20"/>
                <w:color w:val="auto"/>
              </w:rPr>
            </w:pPr>
          </w:p>
        </w:tc>
      </w:tr>
      <w:tr>
        <w:trPr>
          <w:trHeight w:val="396"/>
        </w:trPr>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740" w:type="dxa"/>
            <w:vAlign w:val="bottom"/>
          </w:tcPr>
          <w:p>
            <w:pPr>
              <w:spacing w:after="0"/>
              <w:rPr>
                <w:sz w:val="24"/>
                <w:szCs w:val="24"/>
                <w:color w:val="auto"/>
              </w:rPr>
            </w:pPr>
          </w:p>
        </w:tc>
        <w:tc>
          <w:tcPr>
            <w:tcW w:w="5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709</w:t>
            </w: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40" w:type="dxa"/>
            <w:vAlign w:val="bottom"/>
            <w:gridSpan w:val="2"/>
          </w:tcPr>
          <w:p>
            <w:pPr>
              <w:jc w:val="right"/>
              <w:ind w:right="720"/>
              <w:spacing w:after="0"/>
              <w:rPr>
                <w:sz w:val="20"/>
                <w:szCs w:val="20"/>
                <w:color w:val="auto"/>
              </w:rPr>
            </w:pPr>
            <w:r>
              <w:rPr>
                <w:rFonts w:ascii="Times New Roman" w:cs="Times New Roman" w:eastAsia="Times New Roman" w:hAnsi="Times New Roman"/>
                <w:sz w:val="18"/>
                <w:szCs w:val="18"/>
                <w:color w:val="auto"/>
              </w:rPr>
              <w:t>1,116</w:t>
            </w:r>
          </w:p>
        </w:tc>
        <w:tc>
          <w:tcPr>
            <w:tcW w:w="720" w:type="dxa"/>
            <w:vAlign w:val="bottom"/>
          </w:tcPr>
          <w:p>
            <w:pPr>
              <w:spacing w:after="0"/>
              <w:rPr>
                <w:sz w:val="24"/>
                <w:szCs w:val="24"/>
                <w:color w:val="auto"/>
              </w:rPr>
            </w:pPr>
          </w:p>
        </w:tc>
        <w:tc>
          <w:tcPr>
            <w:tcW w:w="6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1,494</w:t>
            </w:r>
          </w:p>
        </w:tc>
        <w:tc>
          <w:tcPr>
            <w:tcW w:w="3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20" w:type="dxa"/>
            <w:vAlign w:val="bottom"/>
            <w:gridSpan w:val="2"/>
          </w:tcPr>
          <w:p>
            <w:pPr>
              <w:jc w:val="right"/>
              <w:ind w:right="1040"/>
              <w:spacing w:after="0"/>
              <w:rPr>
                <w:sz w:val="20"/>
                <w:szCs w:val="20"/>
                <w:color w:val="auto"/>
              </w:rPr>
            </w:pPr>
            <w:r>
              <w:rPr>
                <w:rFonts w:ascii="Times New Roman" w:cs="Times New Roman" w:eastAsia="Times New Roman" w:hAnsi="Times New Roman"/>
                <w:sz w:val="18"/>
                <w:szCs w:val="18"/>
                <w:color w:val="auto"/>
              </w:rPr>
              <w:t>2,327</w:t>
            </w:r>
          </w:p>
        </w:tc>
      </w:tr>
      <w:tr>
        <w:trPr>
          <w:trHeight w:val="241"/>
        </w:trPr>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Other expense (income), net</w:t>
            </w:r>
          </w:p>
        </w:tc>
        <w:tc>
          <w:tcPr>
            <w:tcW w:w="740" w:type="dxa"/>
            <w:vAlign w:val="bottom"/>
          </w:tcPr>
          <w:p>
            <w:pPr>
              <w:spacing w:after="0"/>
              <w:rPr>
                <w:sz w:val="20"/>
                <w:szCs w:val="20"/>
                <w:color w:val="auto"/>
              </w:rPr>
            </w:pPr>
          </w:p>
        </w:tc>
        <w:tc>
          <w:tcPr>
            <w:tcW w:w="5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(214)</w:t>
            </w:r>
          </w:p>
        </w:tc>
        <w:tc>
          <w:tcPr>
            <w:tcW w:w="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(1,239)</w:t>
            </w:r>
          </w:p>
        </w:tc>
        <w:tc>
          <w:tcPr>
            <w:tcW w:w="7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365</w:t>
            </w:r>
          </w:p>
        </w:tc>
        <w:tc>
          <w:tcPr>
            <w:tcW w:w="3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620" w:type="dxa"/>
            <w:vAlign w:val="bottom"/>
            <w:gridSpan w:val="2"/>
          </w:tcPr>
          <w:p>
            <w:pPr>
              <w:jc w:val="right"/>
              <w:ind w:right="1040"/>
              <w:spacing w:after="0"/>
              <w:rPr>
                <w:sz w:val="20"/>
                <w:szCs w:val="20"/>
                <w:color w:val="auto"/>
              </w:rPr>
            </w:pPr>
            <w:r>
              <w:rPr>
                <w:rFonts w:ascii="Times New Roman" w:cs="Times New Roman" w:eastAsia="Times New Roman" w:hAnsi="Times New Roman"/>
                <w:sz w:val="18"/>
                <w:szCs w:val="18"/>
                <w:color w:val="auto"/>
              </w:rPr>
              <w:t>(800)</w:t>
            </w:r>
          </w:p>
        </w:tc>
      </w:tr>
      <w:tr>
        <w:trPr>
          <w:trHeight w:val="198"/>
        </w:trPr>
        <w:tc>
          <w:tcPr>
            <w:tcW w:w="41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Income before provision for income taxes</w:t>
            </w:r>
          </w:p>
        </w:tc>
        <w:tc>
          <w:tcPr>
            <w:tcW w:w="740" w:type="dxa"/>
            <w:vAlign w:val="bottom"/>
            <w:tcBorders>
              <w:top w:val="single" w:sz="8" w:color="auto"/>
            </w:tcBorders>
          </w:tcPr>
          <w:p>
            <w:pPr>
              <w:spacing w:after="0"/>
              <w:rPr>
                <w:sz w:val="17"/>
                <w:szCs w:val="17"/>
                <w:color w:val="auto"/>
              </w:rPr>
            </w:pPr>
          </w:p>
        </w:tc>
        <w:tc>
          <w:tcPr>
            <w:tcW w:w="540" w:type="dxa"/>
            <w:vAlign w:val="bottom"/>
            <w:tcBorders>
              <w:top w:val="single" w:sz="8" w:color="auto"/>
            </w:tcBorders>
            <w:gridSpan w:val="2"/>
          </w:tcPr>
          <w:p>
            <w:pPr>
              <w:jc w:val="right"/>
              <w:ind w:right="20"/>
              <w:spacing w:after="0" w:line="198" w:lineRule="exact"/>
              <w:rPr>
                <w:sz w:val="20"/>
                <w:szCs w:val="20"/>
                <w:color w:val="auto"/>
              </w:rPr>
            </w:pPr>
            <w:r>
              <w:rPr>
                <w:rFonts w:ascii="Times New Roman" w:cs="Times New Roman" w:eastAsia="Times New Roman" w:hAnsi="Times New Roman"/>
                <w:sz w:val="18"/>
                <w:szCs w:val="18"/>
                <w:color w:val="auto"/>
              </w:rPr>
              <w:t>7,425</w:t>
            </w:r>
          </w:p>
        </w:tc>
        <w:tc>
          <w:tcPr>
            <w:tcW w:w="30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520" w:type="dxa"/>
            <w:vAlign w:val="bottom"/>
            <w:tcBorders>
              <w:top w:val="single" w:sz="8" w:color="auto"/>
            </w:tcBorders>
          </w:tcPr>
          <w:p>
            <w:pPr>
              <w:jc w:val="right"/>
              <w:spacing w:after="0" w:line="198" w:lineRule="exact"/>
              <w:rPr>
                <w:sz w:val="20"/>
                <w:szCs w:val="20"/>
                <w:color w:val="auto"/>
              </w:rPr>
            </w:pPr>
            <w:r>
              <w:rPr>
                <w:rFonts w:ascii="Times New Roman" w:cs="Times New Roman" w:eastAsia="Times New Roman" w:hAnsi="Times New Roman"/>
                <w:sz w:val="18"/>
                <w:szCs w:val="18"/>
                <w:color w:val="auto"/>
              </w:rPr>
              <w:t>8,398</w:t>
            </w:r>
          </w:p>
        </w:tc>
        <w:tc>
          <w:tcPr>
            <w:tcW w:w="720" w:type="dxa"/>
            <w:vAlign w:val="bottom"/>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520" w:type="dxa"/>
            <w:vAlign w:val="bottom"/>
            <w:tcBorders>
              <w:top w:val="single" w:sz="8" w:color="auto"/>
            </w:tcBorders>
          </w:tcPr>
          <w:p>
            <w:pPr>
              <w:jc w:val="right"/>
              <w:spacing w:after="0" w:line="198" w:lineRule="exact"/>
              <w:rPr>
                <w:sz w:val="20"/>
                <w:szCs w:val="20"/>
                <w:color w:val="auto"/>
              </w:rPr>
            </w:pPr>
            <w:r>
              <w:rPr>
                <w:rFonts w:ascii="Times New Roman" w:cs="Times New Roman" w:eastAsia="Times New Roman" w:hAnsi="Times New Roman"/>
                <w:sz w:val="18"/>
                <w:szCs w:val="18"/>
                <w:color w:val="auto"/>
              </w:rPr>
              <w:t>11,700</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jc w:val="right"/>
              <w:spacing w:after="0" w:line="198" w:lineRule="exact"/>
              <w:rPr>
                <w:sz w:val="20"/>
                <w:szCs w:val="20"/>
                <w:color w:val="auto"/>
              </w:rPr>
            </w:pPr>
            <w:r>
              <w:rPr>
                <w:rFonts w:ascii="Times New Roman" w:cs="Times New Roman" w:eastAsia="Times New Roman" w:hAnsi="Times New Roman"/>
                <w:sz w:val="18"/>
                <w:szCs w:val="18"/>
                <w:color w:val="auto"/>
              </w:rPr>
              <w:t>15,782</w:t>
            </w:r>
          </w:p>
        </w:tc>
        <w:tc>
          <w:tcPr>
            <w:tcW w:w="1040" w:type="dxa"/>
            <w:vAlign w:val="bottom"/>
          </w:tcPr>
          <w:p>
            <w:pPr>
              <w:spacing w:after="0"/>
              <w:rPr>
                <w:sz w:val="17"/>
                <w:szCs w:val="17"/>
                <w:color w:val="auto"/>
              </w:rPr>
            </w:pPr>
          </w:p>
        </w:tc>
      </w:tr>
      <w:tr>
        <w:trPr>
          <w:trHeight w:val="241"/>
        </w:trPr>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740" w:type="dxa"/>
            <w:vAlign w:val="bottom"/>
          </w:tcPr>
          <w:p>
            <w:pPr>
              <w:spacing w:after="0"/>
              <w:rPr>
                <w:sz w:val="20"/>
                <w:szCs w:val="20"/>
                <w:color w:val="auto"/>
              </w:rPr>
            </w:pPr>
          </w:p>
        </w:tc>
        <w:tc>
          <w:tcPr>
            <w:tcW w:w="5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2,655</w:t>
            </w:r>
          </w:p>
        </w:tc>
        <w:tc>
          <w:tcPr>
            <w:tcW w:w="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1,360</w:t>
            </w:r>
          </w:p>
        </w:tc>
        <w:tc>
          <w:tcPr>
            <w:tcW w:w="7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4,059</w:t>
            </w:r>
          </w:p>
        </w:tc>
        <w:tc>
          <w:tcPr>
            <w:tcW w:w="3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620" w:type="dxa"/>
            <w:vAlign w:val="bottom"/>
            <w:gridSpan w:val="2"/>
          </w:tcPr>
          <w:p>
            <w:pPr>
              <w:jc w:val="right"/>
              <w:ind w:right="1040"/>
              <w:spacing w:after="0"/>
              <w:rPr>
                <w:sz w:val="20"/>
                <w:szCs w:val="20"/>
                <w:color w:val="auto"/>
              </w:rPr>
            </w:pPr>
            <w:r>
              <w:rPr>
                <w:rFonts w:ascii="Times New Roman" w:cs="Times New Roman" w:eastAsia="Times New Roman" w:hAnsi="Times New Roman"/>
                <w:sz w:val="18"/>
                <w:szCs w:val="18"/>
                <w:color w:val="auto"/>
              </w:rPr>
              <w:t>2,835</w:t>
            </w:r>
          </w:p>
        </w:tc>
      </w:tr>
      <w:tr>
        <w:trPr>
          <w:trHeight w:val="216"/>
        </w:trPr>
        <w:tc>
          <w:tcPr>
            <w:tcW w:w="41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Net income</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4,770</w:t>
            </w:r>
          </w:p>
        </w:tc>
        <w:tc>
          <w:tcPr>
            <w:tcW w:w="300" w:type="dxa"/>
            <w:vAlign w:val="bottom"/>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7,038</w:t>
            </w:r>
          </w:p>
        </w:tc>
        <w:tc>
          <w:tcPr>
            <w:tcW w:w="720" w:type="dxa"/>
            <w:vAlign w:val="bottom"/>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7,641</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12,947</w:t>
            </w:r>
          </w:p>
        </w:tc>
        <w:tc>
          <w:tcPr>
            <w:tcW w:w="1040" w:type="dxa"/>
            <w:vAlign w:val="bottom"/>
          </w:tcPr>
          <w:p>
            <w:pPr>
              <w:spacing w:after="0"/>
              <w:rPr>
                <w:sz w:val="18"/>
                <w:szCs w:val="18"/>
                <w:color w:val="auto"/>
              </w:rPr>
            </w:pPr>
          </w:p>
        </w:tc>
      </w:tr>
      <w:tr>
        <w:trPr>
          <w:trHeight w:val="21"/>
        </w:trPr>
        <w:tc>
          <w:tcPr>
            <w:tcW w:w="416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426"/>
        </w:trPr>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Diluted income per common share</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0.28</w:t>
            </w: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720"/>
              <w:spacing w:after="0"/>
              <w:rPr>
                <w:sz w:val="20"/>
                <w:szCs w:val="20"/>
                <w:color w:val="auto"/>
              </w:rPr>
            </w:pPr>
            <w:r>
              <w:rPr>
                <w:rFonts w:ascii="Times New Roman" w:cs="Times New Roman" w:eastAsia="Times New Roman" w:hAnsi="Times New Roman"/>
                <w:sz w:val="18"/>
                <w:szCs w:val="18"/>
                <w:color w:val="auto"/>
              </w:rPr>
              <w:t>0.41</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0.45</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gridSpan w:val="2"/>
          </w:tcPr>
          <w:p>
            <w:pPr>
              <w:jc w:val="right"/>
              <w:ind w:right="1040"/>
              <w:spacing w:after="0"/>
              <w:rPr>
                <w:sz w:val="20"/>
                <w:szCs w:val="20"/>
                <w:color w:val="auto"/>
              </w:rPr>
            </w:pPr>
            <w:r>
              <w:rPr>
                <w:rFonts w:ascii="Times New Roman" w:cs="Times New Roman" w:eastAsia="Times New Roman" w:hAnsi="Times New Roman"/>
                <w:sz w:val="18"/>
                <w:szCs w:val="18"/>
                <w:color w:val="auto"/>
              </w:rPr>
              <w:t>0.76</w:t>
            </w:r>
          </w:p>
        </w:tc>
      </w:tr>
      <w:tr>
        <w:trPr>
          <w:trHeight w:val="21"/>
        </w:trPr>
        <w:tc>
          <w:tcPr>
            <w:tcW w:w="416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426"/>
        </w:trPr>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diluted shares</w:t>
            </w:r>
          </w:p>
        </w:tc>
        <w:tc>
          <w:tcPr>
            <w:tcW w:w="740" w:type="dxa"/>
            <w:vAlign w:val="bottom"/>
          </w:tcPr>
          <w:p>
            <w:pPr>
              <w:spacing w:after="0"/>
              <w:rPr>
                <w:sz w:val="24"/>
                <w:szCs w:val="24"/>
                <w:color w:val="auto"/>
              </w:rPr>
            </w:pPr>
          </w:p>
        </w:tc>
        <w:tc>
          <w:tcPr>
            <w:tcW w:w="5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17,172</w:t>
            </w: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40" w:type="dxa"/>
            <w:vAlign w:val="bottom"/>
            <w:gridSpan w:val="2"/>
          </w:tcPr>
          <w:p>
            <w:pPr>
              <w:jc w:val="right"/>
              <w:ind w:right="720"/>
              <w:spacing w:after="0"/>
              <w:rPr>
                <w:sz w:val="20"/>
                <w:szCs w:val="20"/>
                <w:color w:val="auto"/>
              </w:rPr>
            </w:pPr>
            <w:r>
              <w:rPr>
                <w:rFonts w:ascii="Times New Roman" w:cs="Times New Roman" w:eastAsia="Times New Roman" w:hAnsi="Times New Roman"/>
                <w:sz w:val="18"/>
                <w:szCs w:val="18"/>
                <w:color w:val="auto"/>
              </w:rPr>
              <w:t>17,139</w:t>
            </w:r>
          </w:p>
        </w:tc>
        <w:tc>
          <w:tcPr>
            <w:tcW w:w="72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17,115</w:t>
            </w: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20" w:type="dxa"/>
            <w:vAlign w:val="bottom"/>
            <w:gridSpan w:val="2"/>
          </w:tcPr>
          <w:p>
            <w:pPr>
              <w:jc w:val="right"/>
              <w:ind w:right="1040"/>
              <w:spacing w:after="0"/>
              <w:rPr>
                <w:sz w:val="20"/>
                <w:szCs w:val="20"/>
                <w:color w:val="auto"/>
              </w:rPr>
            </w:pPr>
            <w:r>
              <w:rPr>
                <w:rFonts w:ascii="Times New Roman" w:cs="Times New Roman" w:eastAsia="Times New Roman" w:hAnsi="Times New Roman"/>
                <w:sz w:val="18"/>
                <w:szCs w:val="18"/>
                <w:color w:val="auto"/>
              </w:rPr>
              <w:t>17,097</w:t>
            </w:r>
          </w:p>
        </w:tc>
      </w:tr>
      <w:tr>
        <w:trPr>
          <w:trHeight w:val="21"/>
        </w:trPr>
        <w:tc>
          <w:tcPr>
            <w:tcW w:w="416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895"/>
        </w:trPr>
        <w:tc>
          <w:tcPr>
            <w:tcW w:w="4160" w:type="dxa"/>
            <w:vAlign w:val="bottom"/>
            <w:tcBorders>
              <w:bottom w:val="single" w:sz="8" w:color="808080"/>
            </w:tcBorders>
          </w:tcPr>
          <w:p>
            <w:pPr>
              <w:spacing w:after="0"/>
              <w:rPr>
                <w:sz w:val="24"/>
                <w:szCs w:val="24"/>
                <w:color w:val="auto"/>
              </w:rPr>
            </w:pPr>
          </w:p>
        </w:tc>
        <w:tc>
          <w:tcPr>
            <w:tcW w:w="740" w:type="dxa"/>
            <w:vAlign w:val="bottom"/>
            <w:tcBorders>
              <w:bottom w:val="single" w:sz="8" w:color="808080"/>
            </w:tcBorders>
          </w:tcPr>
          <w:p>
            <w:pPr>
              <w:spacing w:after="0"/>
              <w:rPr>
                <w:sz w:val="24"/>
                <w:szCs w:val="24"/>
                <w:color w:val="auto"/>
              </w:rPr>
            </w:pPr>
          </w:p>
        </w:tc>
        <w:tc>
          <w:tcPr>
            <w:tcW w:w="52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c>
          <w:tcPr>
            <w:tcW w:w="300" w:type="dxa"/>
            <w:vAlign w:val="bottom"/>
            <w:tcBorders>
              <w:bottom w:val="single" w:sz="8" w:color="808080"/>
            </w:tcBorders>
          </w:tcPr>
          <w:p>
            <w:pPr>
              <w:spacing w:after="0"/>
              <w:rPr>
                <w:sz w:val="24"/>
                <w:szCs w:val="24"/>
                <w:color w:val="auto"/>
              </w:rPr>
            </w:pPr>
          </w:p>
        </w:tc>
        <w:tc>
          <w:tcPr>
            <w:tcW w:w="260" w:type="dxa"/>
            <w:vAlign w:val="bottom"/>
            <w:tcBorders>
              <w:bottom w:val="single" w:sz="8" w:color="808080"/>
            </w:tcBorders>
          </w:tcPr>
          <w:p>
            <w:pPr>
              <w:spacing w:after="0"/>
              <w:rPr>
                <w:sz w:val="24"/>
                <w:szCs w:val="24"/>
                <w:color w:val="auto"/>
              </w:rPr>
            </w:pPr>
          </w:p>
        </w:tc>
        <w:tc>
          <w:tcPr>
            <w:tcW w:w="360" w:type="dxa"/>
            <w:vAlign w:val="bottom"/>
            <w:tcBorders>
              <w:bottom w:val="single" w:sz="8" w:color="808080"/>
            </w:tcBorders>
          </w:tcPr>
          <w:p>
            <w:pPr>
              <w:spacing w:after="0"/>
              <w:rPr>
                <w:sz w:val="24"/>
                <w:szCs w:val="24"/>
                <w:color w:val="auto"/>
              </w:rPr>
            </w:pPr>
          </w:p>
        </w:tc>
        <w:tc>
          <w:tcPr>
            <w:tcW w:w="520" w:type="dxa"/>
            <w:vAlign w:val="bottom"/>
            <w:tcBorders>
              <w:bottom w:val="single" w:sz="8" w:color="808080"/>
            </w:tcBorders>
          </w:tcPr>
          <w:p>
            <w:pPr>
              <w:spacing w:after="0"/>
              <w:rPr>
                <w:sz w:val="24"/>
                <w:szCs w:val="24"/>
                <w:color w:val="auto"/>
              </w:rPr>
            </w:pPr>
          </w:p>
        </w:tc>
        <w:tc>
          <w:tcPr>
            <w:tcW w:w="720" w:type="dxa"/>
            <w:vAlign w:val="bottom"/>
            <w:tcBorders>
              <w:bottom w:val="single" w:sz="8" w:color="808080"/>
            </w:tcBorders>
          </w:tcPr>
          <w:p>
            <w:pPr>
              <w:spacing w:after="0"/>
              <w:rPr>
                <w:sz w:val="24"/>
                <w:szCs w:val="24"/>
                <w:color w:val="auto"/>
              </w:rPr>
            </w:pPr>
          </w:p>
        </w:tc>
        <w:tc>
          <w:tcPr>
            <w:tcW w:w="720" w:type="dxa"/>
            <w:vAlign w:val="bottom"/>
            <w:tcBorders>
              <w:bottom w:val="single" w:sz="8" w:color="808080"/>
            </w:tcBorders>
          </w:tcPr>
          <w:p>
            <w:pPr>
              <w:spacing w:after="0"/>
              <w:rPr>
                <w:sz w:val="24"/>
                <w:szCs w:val="24"/>
                <w:color w:val="auto"/>
              </w:rPr>
            </w:pPr>
          </w:p>
        </w:tc>
        <w:tc>
          <w:tcPr>
            <w:tcW w:w="520" w:type="dxa"/>
            <w:vAlign w:val="bottom"/>
            <w:tcBorders>
              <w:bottom w:val="single" w:sz="8" w:color="808080"/>
            </w:tcBorders>
          </w:tcPr>
          <w:p>
            <w:pPr>
              <w:spacing w:after="0"/>
              <w:rPr>
                <w:sz w:val="24"/>
                <w:szCs w:val="24"/>
                <w:color w:val="auto"/>
              </w:rPr>
            </w:pPr>
          </w:p>
        </w:tc>
        <w:tc>
          <w:tcPr>
            <w:tcW w:w="80" w:type="dxa"/>
            <w:vAlign w:val="bottom"/>
            <w:tcBorders>
              <w:bottom w:val="single" w:sz="8" w:color="808080"/>
            </w:tcBorders>
          </w:tcPr>
          <w:p>
            <w:pPr>
              <w:spacing w:after="0"/>
              <w:rPr>
                <w:sz w:val="24"/>
                <w:szCs w:val="24"/>
                <w:color w:val="auto"/>
              </w:rPr>
            </w:pPr>
          </w:p>
        </w:tc>
        <w:tc>
          <w:tcPr>
            <w:tcW w:w="320" w:type="dxa"/>
            <w:vAlign w:val="bottom"/>
            <w:tcBorders>
              <w:bottom w:val="single" w:sz="8" w:color="808080"/>
            </w:tcBorders>
          </w:tcPr>
          <w:p>
            <w:pPr>
              <w:spacing w:after="0"/>
              <w:rPr>
                <w:sz w:val="24"/>
                <w:szCs w:val="24"/>
                <w:color w:val="auto"/>
              </w:rPr>
            </w:pPr>
          </w:p>
        </w:tc>
        <w:tc>
          <w:tcPr>
            <w:tcW w:w="560" w:type="dxa"/>
            <w:vAlign w:val="bottom"/>
            <w:tcBorders>
              <w:bottom w:val="single" w:sz="8" w:color="808080"/>
            </w:tcBorders>
          </w:tcPr>
          <w:p>
            <w:pPr>
              <w:spacing w:after="0"/>
              <w:rPr>
                <w:sz w:val="24"/>
                <w:szCs w:val="24"/>
                <w:color w:val="auto"/>
              </w:rPr>
            </w:pPr>
          </w:p>
        </w:tc>
        <w:tc>
          <w:tcPr>
            <w:tcW w:w="580" w:type="dxa"/>
            <w:vAlign w:val="bottom"/>
            <w:tcBorders>
              <w:bottom w:val="single" w:sz="8" w:color="808080"/>
            </w:tcBorders>
          </w:tcPr>
          <w:p>
            <w:pPr>
              <w:spacing w:after="0"/>
              <w:rPr>
                <w:sz w:val="24"/>
                <w:szCs w:val="24"/>
                <w:color w:val="auto"/>
              </w:rPr>
            </w:pPr>
          </w:p>
        </w:tc>
        <w:tc>
          <w:tcPr>
            <w:tcW w:w="10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752" w:right="2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NN,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020" w:type="dxa"/>
            <w:vAlign w:val="bottom"/>
          </w:tcPr>
          <w:p>
            <w:pPr>
              <w:spacing w:after="0"/>
              <w:rPr>
                <w:sz w:val="18"/>
                <w:szCs w:val="18"/>
                <w:color w:val="auto"/>
              </w:rPr>
            </w:pPr>
          </w:p>
        </w:tc>
        <w:tc>
          <w:tcPr>
            <w:tcW w:w="2400" w:type="dxa"/>
            <w:vAlign w:val="bottom"/>
            <w:gridSpan w:val="3"/>
          </w:tcPr>
          <w:p>
            <w:pPr>
              <w:jc w:val="right"/>
              <w:ind w:right="128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3000" w:type="dxa"/>
            <w:vAlign w:val="bottom"/>
            <w:gridSpan w:val="3"/>
          </w:tcPr>
          <w:p>
            <w:pPr>
              <w:jc w:val="center"/>
              <w:ind w:right="148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0" w:type="dxa"/>
            <w:vAlign w:val="bottom"/>
          </w:tcPr>
          <w:p>
            <w:pPr>
              <w:spacing w:after="0"/>
              <w:rPr>
                <w:sz w:val="1"/>
                <w:szCs w:val="1"/>
                <w:color w:val="auto"/>
              </w:rPr>
            </w:pPr>
          </w:p>
        </w:tc>
      </w:tr>
      <w:tr>
        <w:trPr>
          <w:trHeight w:val="245"/>
        </w:trPr>
        <w:tc>
          <w:tcPr>
            <w:tcW w:w="6020" w:type="dxa"/>
            <w:vAlign w:val="bottom"/>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2013</w:t>
            </w:r>
          </w:p>
        </w:tc>
        <w:tc>
          <w:tcPr>
            <w:tcW w:w="580" w:type="dxa"/>
            <w:vAlign w:val="bottom"/>
            <w:tcBorders>
              <w:bottom w:val="single" w:sz="8" w:color="auto"/>
            </w:tcBorders>
          </w:tcPr>
          <w:p>
            <w:pPr>
              <w:spacing w:after="0"/>
              <w:rPr>
                <w:sz w:val="21"/>
                <w:szCs w:val="21"/>
                <w:color w:val="auto"/>
              </w:rPr>
            </w:pPr>
          </w:p>
        </w:tc>
        <w:tc>
          <w:tcPr>
            <w:tcW w:w="800" w:type="dxa"/>
            <w:vAlign w:val="bottom"/>
          </w:tcPr>
          <w:p>
            <w:pPr>
              <w:spacing w:after="0"/>
              <w:rPr>
                <w:sz w:val="21"/>
                <w:szCs w:val="21"/>
                <w:color w:val="auto"/>
              </w:rPr>
            </w:pPr>
          </w:p>
        </w:tc>
        <w:tc>
          <w:tcPr>
            <w:tcW w:w="152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2012</w:t>
            </w:r>
          </w:p>
        </w:tc>
        <w:tc>
          <w:tcPr>
            <w:tcW w:w="1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8"/>
        </w:trPr>
        <w:tc>
          <w:tcPr>
            <w:tcW w:w="6020" w:type="dxa"/>
            <w:vAlign w:val="bottom"/>
          </w:tcPr>
          <w:p>
            <w:pPr>
              <w:spacing w:after="0" w:line="198" w:lineRule="exact"/>
              <w:rPr>
                <w:sz w:val="20"/>
                <w:szCs w:val="20"/>
                <w:color w:val="auto"/>
              </w:rPr>
            </w:pPr>
            <w:r>
              <w:rPr>
                <w:rFonts w:ascii="Times New Roman" w:cs="Times New Roman" w:eastAsia="Times New Roman" w:hAnsi="Times New Roman"/>
                <w:sz w:val="18"/>
                <w:szCs w:val="18"/>
                <w:b w:val="1"/>
                <w:bCs w:val="1"/>
                <w:color w:val="auto"/>
              </w:rPr>
              <w:t>Assets</w:t>
            </w:r>
          </w:p>
        </w:tc>
        <w:tc>
          <w:tcPr>
            <w:tcW w:w="10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02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0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20" w:type="dxa"/>
            <w:vAlign w:val="bottom"/>
          </w:tcPr>
          <w:p>
            <w:pPr>
              <w:spacing w:after="0"/>
              <w:rPr>
                <w:sz w:val="20"/>
                <w:szCs w:val="20"/>
                <w:color w:val="auto"/>
              </w:rPr>
            </w:pPr>
            <w:r>
              <w:rPr>
                <w:rFonts w:ascii="Times New Roman" w:cs="Times New Roman" w:eastAsia="Times New Roman" w:hAnsi="Times New Roman"/>
                <w:sz w:val="18"/>
                <w:szCs w:val="18"/>
                <w:color w:val="auto"/>
              </w:rPr>
              <w:t>Cash</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ind w:right="800"/>
              <w:spacing w:after="0"/>
              <w:rPr>
                <w:sz w:val="20"/>
                <w:szCs w:val="20"/>
                <w:color w:val="auto"/>
              </w:rPr>
            </w:pPr>
            <w:r>
              <w:rPr>
                <w:rFonts w:ascii="Times New Roman" w:cs="Times New Roman" w:eastAsia="Times New Roman" w:hAnsi="Times New Roman"/>
                <w:sz w:val="18"/>
                <w:szCs w:val="18"/>
                <w:color w:val="auto"/>
              </w:rPr>
              <w:t>5,232</w:t>
            </w:r>
          </w:p>
        </w:tc>
        <w:tc>
          <w:tcPr>
            <w:tcW w:w="8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140" w:type="dxa"/>
            <w:vAlign w:val="bottom"/>
            <w:gridSpan w:val="2"/>
          </w:tcPr>
          <w:p>
            <w:pPr>
              <w:jc w:val="right"/>
              <w:ind w:right="1480"/>
              <w:spacing w:after="0"/>
              <w:rPr>
                <w:sz w:val="20"/>
                <w:szCs w:val="20"/>
                <w:color w:val="auto"/>
              </w:rPr>
            </w:pPr>
            <w:r>
              <w:rPr>
                <w:rFonts w:ascii="Times New Roman" w:cs="Times New Roman" w:eastAsia="Times New Roman" w:hAnsi="Times New Roman"/>
                <w:sz w:val="18"/>
                <w:szCs w:val="18"/>
                <w:color w:val="auto"/>
              </w:rPr>
              <w:t>18,990</w:t>
            </w:r>
          </w:p>
        </w:tc>
        <w:tc>
          <w:tcPr>
            <w:tcW w:w="0" w:type="dxa"/>
            <w:vAlign w:val="bottom"/>
          </w:tcPr>
          <w:p>
            <w:pPr>
              <w:spacing w:after="0"/>
              <w:rPr>
                <w:sz w:val="1"/>
                <w:szCs w:val="1"/>
                <w:color w:val="auto"/>
              </w:rPr>
            </w:pPr>
          </w:p>
        </w:tc>
      </w:tr>
      <w:tr>
        <w:trPr>
          <w:trHeight w:val="216"/>
        </w:trPr>
        <w:tc>
          <w:tcPr>
            <w:tcW w:w="6020" w:type="dxa"/>
            <w:vAlign w:val="bottom"/>
          </w:tcPr>
          <w:p>
            <w:pPr>
              <w:spacing w:after="0"/>
              <w:rPr>
                <w:sz w:val="20"/>
                <w:szCs w:val="20"/>
                <w:color w:val="auto"/>
              </w:rPr>
            </w:pPr>
            <w:r>
              <w:rPr>
                <w:rFonts w:ascii="Times New Roman" w:cs="Times New Roman" w:eastAsia="Times New Roman" w:hAnsi="Times New Roman"/>
                <w:sz w:val="18"/>
                <w:szCs w:val="18"/>
                <w:color w:val="auto"/>
              </w:rPr>
              <w:t>Accounts receivable, net</w:t>
            </w:r>
          </w:p>
        </w:tc>
        <w:tc>
          <w:tcPr>
            <w:tcW w:w="1020" w:type="dxa"/>
            <w:vAlign w:val="bottom"/>
          </w:tcPr>
          <w:p>
            <w:pPr>
              <w:spacing w:after="0"/>
              <w:rPr>
                <w:sz w:val="18"/>
                <w:szCs w:val="18"/>
                <w:color w:val="auto"/>
              </w:rPr>
            </w:pPr>
          </w:p>
        </w:tc>
        <w:tc>
          <w:tcPr>
            <w:tcW w:w="1380" w:type="dxa"/>
            <w:vAlign w:val="bottom"/>
            <w:gridSpan w:val="2"/>
          </w:tcPr>
          <w:p>
            <w:pPr>
              <w:jc w:val="right"/>
              <w:ind w:right="800"/>
              <w:spacing w:after="0"/>
              <w:rPr>
                <w:sz w:val="20"/>
                <w:szCs w:val="20"/>
                <w:color w:val="auto"/>
              </w:rPr>
            </w:pPr>
            <w:r>
              <w:rPr>
                <w:rFonts w:ascii="Times New Roman" w:cs="Times New Roman" w:eastAsia="Times New Roman" w:hAnsi="Times New Roman"/>
                <w:sz w:val="18"/>
                <w:szCs w:val="18"/>
                <w:color w:val="auto"/>
              </w:rPr>
              <w:t>67,521</w:t>
            </w:r>
          </w:p>
        </w:tc>
        <w:tc>
          <w:tcPr>
            <w:tcW w:w="860" w:type="dxa"/>
            <w:vAlign w:val="bottom"/>
          </w:tcPr>
          <w:p>
            <w:pPr>
              <w:spacing w:after="0"/>
              <w:rPr>
                <w:sz w:val="18"/>
                <w:szCs w:val="18"/>
                <w:color w:val="auto"/>
              </w:rPr>
            </w:pPr>
          </w:p>
        </w:tc>
        <w:tc>
          <w:tcPr>
            <w:tcW w:w="2140" w:type="dxa"/>
            <w:vAlign w:val="bottom"/>
            <w:gridSpan w:val="2"/>
          </w:tcPr>
          <w:p>
            <w:pPr>
              <w:jc w:val="right"/>
              <w:ind w:right="1480"/>
              <w:spacing w:after="0"/>
              <w:rPr>
                <w:sz w:val="20"/>
                <w:szCs w:val="20"/>
                <w:color w:val="auto"/>
              </w:rPr>
            </w:pPr>
            <w:r>
              <w:rPr>
                <w:rFonts w:ascii="Times New Roman" w:cs="Times New Roman" w:eastAsia="Times New Roman" w:hAnsi="Times New Roman"/>
                <w:sz w:val="18"/>
                <w:szCs w:val="18"/>
                <w:color w:val="auto"/>
              </w:rPr>
              <w:t>51,628</w:t>
            </w:r>
          </w:p>
        </w:tc>
        <w:tc>
          <w:tcPr>
            <w:tcW w:w="0" w:type="dxa"/>
            <w:vAlign w:val="bottom"/>
          </w:tcPr>
          <w:p>
            <w:pPr>
              <w:spacing w:after="0"/>
              <w:rPr>
                <w:sz w:val="1"/>
                <w:szCs w:val="1"/>
                <w:color w:val="auto"/>
              </w:rPr>
            </w:pPr>
          </w:p>
        </w:tc>
      </w:tr>
      <w:tr>
        <w:trPr>
          <w:trHeight w:val="216"/>
        </w:trPr>
        <w:tc>
          <w:tcPr>
            <w:tcW w:w="6020" w:type="dxa"/>
            <w:vAlign w:val="bottom"/>
          </w:tcPr>
          <w:p>
            <w:pPr>
              <w:spacing w:after="0"/>
              <w:rPr>
                <w:sz w:val="20"/>
                <w:szCs w:val="20"/>
                <w:color w:val="auto"/>
              </w:rPr>
            </w:pPr>
            <w:r>
              <w:rPr>
                <w:rFonts w:ascii="Times New Roman" w:cs="Times New Roman" w:eastAsia="Times New Roman" w:hAnsi="Times New Roman"/>
                <w:sz w:val="18"/>
                <w:szCs w:val="18"/>
                <w:color w:val="auto"/>
              </w:rPr>
              <w:t>Inventories</w:t>
            </w:r>
          </w:p>
        </w:tc>
        <w:tc>
          <w:tcPr>
            <w:tcW w:w="1020" w:type="dxa"/>
            <w:vAlign w:val="bottom"/>
          </w:tcPr>
          <w:p>
            <w:pPr>
              <w:spacing w:after="0"/>
              <w:rPr>
                <w:sz w:val="18"/>
                <w:szCs w:val="18"/>
                <w:color w:val="auto"/>
              </w:rPr>
            </w:pPr>
          </w:p>
        </w:tc>
        <w:tc>
          <w:tcPr>
            <w:tcW w:w="1380" w:type="dxa"/>
            <w:vAlign w:val="bottom"/>
            <w:gridSpan w:val="2"/>
          </w:tcPr>
          <w:p>
            <w:pPr>
              <w:jc w:val="right"/>
              <w:ind w:right="800"/>
              <w:spacing w:after="0"/>
              <w:rPr>
                <w:sz w:val="20"/>
                <w:szCs w:val="20"/>
                <w:color w:val="auto"/>
              </w:rPr>
            </w:pPr>
            <w:r>
              <w:rPr>
                <w:rFonts w:ascii="Times New Roman" w:cs="Times New Roman" w:eastAsia="Times New Roman" w:hAnsi="Times New Roman"/>
                <w:sz w:val="18"/>
                <w:szCs w:val="18"/>
                <w:color w:val="auto"/>
              </w:rPr>
              <w:t>46,581</w:t>
            </w:r>
          </w:p>
        </w:tc>
        <w:tc>
          <w:tcPr>
            <w:tcW w:w="860" w:type="dxa"/>
            <w:vAlign w:val="bottom"/>
          </w:tcPr>
          <w:p>
            <w:pPr>
              <w:spacing w:after="0"/>
              <w:rPr>
                <w:sz w:val="18"/>
                <w:szCs w:val="18"/>
                <w:color w:val="auto"/>
              </w:rPr>
            </w:pPr>
          </w:p>
        </w:tc>
        <w:tc>
          <w:tcPr>
            <w:tcW w:w="2140" w:type="dxa"/>
            <w:vAlign w:val="bottom"/>
            <w:gridSpan w:val="2"/>
          </w:tcPr>
          <w:p>
            <w:pPr>
              <w:jc w:val="right"/>
              <w:ind w:right="1480"/>
              <w:spacing w:after="0"/>
              <w:rPr>
                <w:sz w:val="20"/>
                <w:szCs w:val="20"/>
                <w:color w:val="auto"/>
              </w:rPr>
            </w:pPr>
            <w:r>
              <w:rPr>
                <w:rFonts w:ascii="Times New Roman" w:cs="Times New Roman" w:eastAsia="Times New Roman" w:hAnsi="Times New Roman"/>
                <w:sz w:val="18"/>
                <w:szCs w:val="18"/>
                <w:color w:val="auto"/>
              </w:rPr>
              <w:t>46,150</w:t>
            </w:r>
          </w:p>
        </w:tc>
        <w:tc>
          <w:tcPr>
            <w:tcW w:w="0" w:type="dxa"/>
            <w:vAlign w:val="bottom"/>
          </w:tcPr>
          <w:p>
            <w:pPr>
              <w:spacing w:after="0"/>
              <w:rPr>
                <w:sz w:val="1"/>
                <w:szCs w:val="1"/>
                <w:color w:val="auto"/>
              </w:rPr>
            </w:pPr>
          </w:p>
        </w:tc>
      </w:tr>
      <w:tr>
        <w:trPr>
          <w:trHeight w:val="241"/>
        </w:trPr>
        <w:tc>
          <w:tcPr>
            <w:tcW w:w="6020" w:type="dxa"/>
            <w:vAlign w:val="bottom"/>
          </w:tcPr>
          <w:p>
            <w:pPr>
              <w:spacing w:after="0"/>
              <w:rPr>
                <w:sz w:val="20"/>
                <w:szCs w:val="20"/>
                <w:color w:val="auto"/>
              </w:rPr>
            </w:pPr>
            <w:r>
              <w:rPr>
                <w:rFonts w:ascii="Times New Roman" w:cs="Times New Roman" w:eastAsia="Times New Roman" w:hAnsi="Times New Roman"/>
                <w:sz w:val="18"/>
                <w:szCs w:val="18"/>
                <w:color w:val="auto"/>
              </w:rPr>
              <w:t>Other current assets</w:t>
            </w:r>
          </w:p>
        </w:tc>
        <w:tc>
          <w:tcPr>
            <w:tcW w:w="102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8,603</w:t>
            </w:r>
          </w:p>
        </w:tc>
        <w:tc>
          <w:tcPr>
            <w:tcW w:w="8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140" w:type="dxa"/>
            <w:vAlign w:val="bottom"/>
            <w:gridSpan w:val="2"/>
          </w:tcPr>
          <w:p>
            <w:pPr>
              <w:jc w:val="right"/>
              <w:ind w:right="1480"/>
              <w:spacing w:after="0"/>
              <w:rPr>
                <w:sz w:val="20"/>
                <w:szCs w:val="20"/>
                <w:color w:val="auto"/>
              </w:rPr>
            </w:pPr>
            <w:r>
              <w:rPr>
                <w:rFonts w:ascii="Times New Roman" w:cs="Times New Roman" w:eastAsia="Times New Roman" w:hAnsi="Times New Roman"/>
                <w:sz w:val="18"/>
                <w:szCs w:val="18"/>
                <w:color w:val="auto"/>
              </w:rPr>
              <w:t>10,528</w:t>
            </w:r>
          </w:p>
        </w:tc>
        <w:tc>
          <w:tcPr>
            <w:tcW w:w="0" w:type="dxa"/>
            <w:vAlign w:val="bottom"/>
          </w:tcPr>
          <w:p>
            <w:pPr>
              <w:spacing w:after="0"/>
              <w:rPr>
                <w:sz w:val="1"/>
                <w:szCs w:val="1"/>
                <w:color w:val="auto"/>
              </w:rPr>
            </w:pPr>
          </w:p>
        </w:tc>
      </w:tr>
      <w:tr>
        <w:trPr>
          <w:trHeight w:val="234"/>
        </w:trPr>
        <w:tc>
          <w:tcPr>
            <w:tcW w:w="60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current assets</w:t>
            </w:r>
          </w:p>
        </w:tc>
        <w:tc>
          <w:tcPr>
            <w:tcW w:w="1020" w:type="dxa"/>
            <w:vAlign w:val="bottom"/>
            <w:tcBorders>
              <w:top w:val="single" w:sz="8" w:color="auto"/>
            </w:tcBorders>
          </w:tcPr>
          <w:p>
            <w:pPr>
              <w:spacing w:after="0"/>
              <w:rPr>
                <w:sz w:val="20"/>
                <w:szCs w:val="20"/>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127,937</w:t>
            </w:r>
          </w:p>
        </w:tc>
        <w:tc>
          <w:tcPr>
            <w:tcW w:w="800" w:type="dxa"/>
            <w:vAlign w:val="bottom"/>
          </w:tcPr>
          <w:p>
            <w:pPr>
              <w:spacing w:after="0"/>
              <w:rPr>
                <w:sz w:val="20"/>
                <w:szCs w:val="20"/>
                <w:color w:val="auto"/>
              </w:rPr>
            </w:pPr>
          </w:p>
        </w:tc>
        <w:tc>
          <w:tcPr>
            <w:tcW w:w="86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127,296</w:t>
            </w:r>
          </w:p>
        </w:tc>
        <w:tc>
          <w:tcPr>
            <w:tcW w:w="1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6"/>
        </w:trPr>
        <w:tc>
          <w:tcPr>
            <w:tcW w:w="6020" w:type="dxa"/>
            <w:vAlign w:val="bottom"/>
          </w:tcPr>
          <w:p>
            <w:pPr>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1020" w:type="dxa"/>
            <w:vAlign w:val="bottom"/>
          </w:tcPr>
          <w:p>
            <w:pPr>
              <w:spacing w:after="0"/>
              <w:rPr>
                <w:sz w:val="24"/>
                <w:szCs w:val="24"/>
                <w:color w:val="auto"/>
              </w:rPr>
            </w:pPr>
          </w:p>
        </w:tc>
        <w:tc>
          <w:tcPr>
            <w:tcW w:w="1380" w:type="dxa"/>
            <w:vAlign w:val="bottom"/>
            <w:gridSpan w:val="2"/>
          </w:tcPr>
          <w:p>
            <w:pPr>
              <w:jc w:val="right"/>
              <w:ind w:right="800"/>
              <w:spacing w:after="0"/>
              <w:rPr>
                <w:sz w:val="20"/>
                <w:szCs w:val="20"/>
                <w:color w:val="auto"/>
              </w:rPr>
            </w:pPr>
            <w:r>
              <w:rPr>
                <w:rFonts w:ascii="Times New Roman" w:cs="Times New Roman" w:eastAsia="Times New Roman" w:hAnsi="Times New Roman"/>
                <w:sz w:val="18"/>
                <w:szCs w:val="18"/>
                <w:color w:val="auto"/>
                <w:w w:val="95"/>
              </w:rPr>
              <w:t>115,469</w:t>
            </w:r>
          </w:p>
        </w:tc>
        <w:tc>
          <w:tcPr>
            <w:tcW w:w="860" w:type="dxa"/>
            <w:vAlign w:val="bottom"/>
          </w:tcPr>
          <w:p>
            <w:pPr>
              <w:spacing w:after="0"/>
              <w:rPr>
                <w:sz w:val="24"/>
                <w:szCs w:val="24"/>
                <w:color w:val="auto"/>
              </w:rPr>
            </w:pPr>
          </w:p>
        </w:tc>
        <w:tc>
          <w:tcPr>
            <w:tcW w:w="2140" w:type="dxa"/>
            <w:vAlign w:val="bottom"/>
            <w:gridSpan w:val="2"/>
          </w:tcPr>
          <w:p>
            <w:pPr>
              <w:jc w:val="right"/>
              <w:ind w:right="1480"/>
              <w:spacing w:after="0"/>
              <w:rPr>
                <w:sz w:val="20"/>
                <w:szCs w:val="20"/>
                <w:color w:val="auto"/>
              </w:rPr>
            </w:pPr>
            <w:r>
              <w:rPr>
                <w:rFonts w:ascii="Times New Roman" w:cs="Times New Roman" w:eastAsia="Times New Roman" w:hAnsi="Times New Roman"/>
                <w:sz w:val="18"/>
                <w:szCs w:val="18"/>
                <w:color w:val="auto"/>
              </w:rPr>
              <w:t>119,687</w:t>
            </w:r>
          </w:p>
        </w:tc>
        <w:tc>
          <w:tcPr>
            <w:tcW w:w="0" w:type="dxa"/>
            <w:vAlign w:val="bottom"/>
          </w:tcPr>
          <w:p>
            <w:pPr>
              <w:spacing w:after="0"/>
              <w:rPr>
                <w:sz w:val="1"/>
                <w:szCs w:val="1"/>
                <w:color w:val="auto"/>
              </w:rPr>
            </w:pPr>
          </w:p>
        </w:tc>
      </w:tr>
      <w:tr>
        <w:trPr>
          <w:trHeight w:val="216"/>
        </w:trPr>
        <w:tc>
          <w:tcPr>
            <w:tcW w:w="6020" w:type="dxa"/>
            <w:vAlign w:val="bottom"/>
          </w:tcPr>
          <w:p>
            <w:pPr>
              <w:spacing w:after="0"/>
              <w:rPr>
                <w:sz w:val="20"/>
                <w:szCs w:val="20"/>
                <w:color w:val="auto"/>
              </w:rPr>
            </w:pPr>
            <w:r>
              <w:rPr>
                <w:rFonts w:ascii="Times New Roman" w:cs="Times New Roman" w:eastAsia="Times New Roman" w:hAnsi="Times New Roman"/>
                <w:sz w:val="18"/>
                <w:szCs w:val="18"/>
                <w:color w:val="auto"/>
              </w:rPr>
              <w:t>Goodwill and intangible assets, net</w:t>
            </w:r>
          </w:p>
        </w:tc>
        <w:tc>
          <w:tcPr>
            <w:tcW w:w="10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9,058</w:t>
            </w:r>
          </w:p>
        </w:tc>
        <w:tc>
          <w:tcPr>
            <w:tcW w:w="8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140" w:type="dxa"/>
            <w:vAlign w:val="bottom"/>
            <w:gridSpan w:val="2"/>
          </w:tcPr>
          <w:p>
            <w:pPr>
              <w:jc w:val="right"/>
              <w:ind w:right="1480"/>
              <w:spacing w:after="0"/>
              <w:rPr>
                <w:sz w:val="20"/>
                <w:szCs w:val="20"/>
                <w:color w:val="auto"/>
              </w:rPr>
            </w:pPr>
            <w:r>
              <w:rPr>
                <w:rFonts w:ascii="Times New Roman" w:cs="Times New Roman" w:eastAsia="Times New Roman" w:hAnsi="Times New Roman"/>
                <w:sz w:val="18"/>
                <w:szCs w:val="18"/>
                <w:color w:val="auto"/>
              </w:rPr>
              <w:t>9,154</w:t>
            </w:r>
          </w:p>
        </w:tc>
        <w:tc>
          <w:tcPr>
            <w:tcW w:w="0" w:type="dxa"/>
            <w:vAlign w:val="bottom"/>
          </w:tcPr>
          <w:p>
            <w:pPr>
              <w:spacing w:after="0"/>
              <w:rPr>
                <w:sz w:val="1"/>
                <w:szCs w:val="1"/>
                <w:color w:val="auto"/>
              </w:rPr>
            </w:pPr>
          </w:p>
        </w:tc>
      </w:tr>
      <w:tr>
        <w:trPr>
          <w:trHeight w:val="241"/>
        </w:trPr>
        <w:tc>
          <w:tcPr>
            <w:tcW w:w="6020" w:type="dxa"/>
            <w:vAlign w:val="bottom"/>
          </w:tcPr>
          <w:p>
            <w:pPr>
              <w:spacing w:after="0"/>
              <w:rPr>
                <w:sz w:val="20"/>
                <w:szCs w:val="20"/>
                <w:color w:val="auto"/>
              </w:rPr>
            </w:pPr>
            <w:r>
              <w:rPr>
                <w:rFonts w:ascii="Times New Roman" w:cs="Times New Roman" w:eastAsia="Times New Roman" w:hAnsi="Times New Roman"/>
                <w:sz w:val="18"/>
                <w:szCs w:val="18"/>
                <w:color w:val="auto"/>
              </w:rPr>
              <w:t>Other non-current assets</w:t>
            </w:r>
          </w:p>
        </w:tc>
        <w:tc>
          <w:tcPr>
            <w:tcW w:w="102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8,975</w:t>
            </w:r>
          </w:p>
        </w:tc>
        <w:tc>
          <w:tcPr>
            <w:tcW w:w="8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140" w:type="dxa"/>
            <w:vAlign w:val="bottom"/>
            <w:gridSpan w:val="2"/>
          </w:tcPr>
          <w:p>
            <w:pPr>
              <w:jc w:val="right"/>
              <w:ind w:right="1480"/>
              <w:spacing w:after="0"/>
              <w:rPr>
                <w:sz w:val="20"/>
                <w:szCs w:val="20"/>
                <w:color w:val="auto"/>
              </w:rPr>
            </w:pPr>
            <w:r>
              <w:rPr>
                <w:rFonts w:ascii="Times New Roman" w:cs="Times New Roman" w:eastAsia="Times New Roman" w:hAnsi="Times New Roman"/>
                <w:sz w:val="18"/>
                <w:szCs w:val="18"/>
                <w:color w:val="auto"/>
              </w:rPr>
              <w:t>9,206</w:t>
            </w:r>
          </w:p>
        </w:tc>
        <w:tc>
          <w:tcPr>
            <w:tcW w:w="0" w:type="dxa"/>
            <w:vAlign w:val="bottom"/>
          </w:tcPr>
          <w:p>
            <w:pPr>
              <w:spacing w:after="0"/>
              <w:rPr>
                <w:sz w:val="1"/>
                <w:szCs w:val="1"/>
                <w:color w:val="auto"/>
              </w:rPr>
            </w:pPr>
          </w:p>
        </w:tc>
      </w:tr>
      <w:tr>
        <w:trPr>
          <w:trHeight w:val="216"/>
        </w:trPr>
        <w:tc>
          <w:tcPr>
            <w:tcW w:w="6020" w:type="dxa"/>
            <w:vAlign w:val="bottom"/>
          </w:tcPr>
          <w:p>
            <w:pPr>
              <w:ind w:left="140"/>
              <w:spacing w:after="0" w:line="196" w:lineRule="exact"/>
              <w:rPr>
                <w:sz w:val="20"/>
                <w:szCs w:val="20"/>
                <w:color w:val="auto"/>
              </w:rPr>
            </w:pPr>
            <w:r>
              <w:rPr>
                <w:rFonts w:ascii="Times New Roman" w:cs="Times New Roman" w:eastAsia="Times New Roman" w:hAnsi="Times New Roman"/>
                <w:sz w:val="18"/>
                <w:szCs w:val="18"/>
                <w:color w:val="auto"/>
              </w:rPr>
              <w:t>Total assets</w:t>
            </w:r>
          </w:p>
        </w:tc>
        <w:tc>
          <w:tcPr>
            <w:tcW w:w="1020" w:type="dxa"/>
            <w:vAlign w:val="bottom"/>
            <w:tcBorders>
              <w:top w:val="single" w:sz="8" w:color="auto"/>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top w:val="single" w:sz="8" w:color="auto"/>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w w:val="95"/>
              </w:rPr>
              <w:t>261,439</w:t>
            </w:r>
          </w:p>
        </w:tc>
        <w:tc>
          <w:tcPr>
            <w:tcW w:w="800" w:type="dxa"/>
            <w:vAlign w:val="bottom"/>
          </w:tcPr>
          <w:p>
            <w:pPr>
              <w:spacing w:after="0"/>
              <w:rPr>
                <w:sz w:val="18"/>
                <w:szCs w:val="18"/>
                <w:color w:val="auto"/>
              </w:rPr>
            </w:pPr>
          </w:p>
        </w:tc>
        <w:tc>
          <w:tcPr>
            <w:tcW w:w="860" w:type="dxa"/>
            <w:vAlign w:val="bottom"/>
            <w:tcBorders>
              <w:top w:val="single" w:sz="8" w:color="auto"/>
              <w:bottom w:val="single" w:sz="8" w:color="auto"/>
            </w:tcBorders>
          </w:tcPr>
          <w:p>
            <w:pPr>
              <w:jc w:val="center"/>
              <w:ind w:left="550"/>
              <w:spacing w:after="0" w:line="196" w:lineRule="exact"/>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265,343</w:t>
            </w: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60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10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07"/>
        </w:trPr>
        <w:tc>
          <w:tcPr>
            <w:tcW w:w="6020" w:type="dxa"/>
            <w:vAlign w:val="bottom"/>
            <w:vMerge w:val="continue"/>
          </w:tcPr>
          <w:p>
            <w:pPr>
              <w:spacing w:after="0"/>
              <w:rPr>
                <w:sz w:val="24"/>
                <w:szCs w:val="24"/>
                <w:color w:val="auto"/>
              </w:rPr>
            </w:pPr>
          </w:p>
        </w:tc>
        <w:tc>
          <w:tcPr>
            <w:tcW w:w="10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02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0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20" w:type="dxa"/>
            <w:vAlign w:val="bottom"/>
          </w:tcPr>
          <w:p>
            <w:pPr>
              <w:spacing w:after="0"/>
              <w:rPr>
                <w:sz w:val="20"/>
                <w:szCs w:val="20"/>
                <w:color w:val="auto"/>
              </w:rPr>
            </w:pPr>
            <w:r>
              <w:rPr>
                <w:rFonts w:ascii="Times New Roman" w:cs="Times New Roman" w:eastAsia="Times New Roman" w:hAnsi="Times New Roman"/>
                <w:sz w:val="18"/>
                <w:szCs w:val="18"/>
                <w:color w:val="auto"/>
              </w:rPr>
              <w:t>Accounts payable</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40,023</w:t>
            </w:r>
          </w:p>
        </w:tc>
        <w:tc>
          <w:tcPr>
            <w:tcW w:w="800" w:type="dxa"/>
            <w:vAlign w:val="bottom"/>
          </w:tcPr>
          <w:p>
            <w:pPr>
              <w:spacing w:after="0"/>
              <w:rPr>
                <w:sz w:val="18"/>
                <w:szCs w:val="18"/>
                <w:color w:val="auto"/>
              </w:rPr>
            </w:pPr>
          </w:p>
        </w:tc>
        <w:tc>
          <w:tcPr>
            <w:tcW w:w="860" w:type="dxa"/>
            <w:vAlign w:val="bottom"/>
          </w:tcPr>
          <w:p>
            <w:pPr>
              <w:jc w:val="center"/>
              <w:ind w:left="550"/>
              <w:spacing w:after="0"/>
              <w:rPr>
                <w:sz w:val="20"/>
                <w:szCs w:val="20"/>
                <w:color w:val="auto"/>
              </w:rPr>
            </w:pPr>
            <w:r>
              <w:rPr>
                <w:rFonts w:ascii="Times New Roman" w:cs="Times New Roman" w:eastAsia="Times New Roman" w:hAnsi="Times New Roman"/>
                <w:sz w:val="18"/>
                <w:szCs w:val="18"/>
                <w:color w:val="auto"/>
              </w:rPr>
              <w:t>$</w:t>
            </w:r>
          </w:p>
        </w:tc>
        <w:tc>
          <w:tcPr>
            <w:tcW w:w="2140" w:type="dxa"/>
            <w:vAlign w:val="bottom"/>
            <w:gridSpan w:val="2"/>
          </w:tcPr>
          <w:p>
            <w:pPr>
              <w:jc w:val="right"/>
              <w:ind w:right="1480"/>
              <w:spacing w:after="0"/>
              <w:rPr>
                <w:sz w:val="20"/>
                <w:szCs w:val="20"/>
                <w:color w:val="auto"/>
              </w:rPr>
            </w:pPr>
            <w:r>
              <w:rPr>
                <w:rFonts w:ascii="Times New Roman" w:cs="Times New Roman" w:eastAsia="Times New Roman" w:hAnsi="Times New Roman"/>
                <w:sz w:val="18"/>
                <w:szCs w:val="18"/>
                <w:color w:val="auto"/>
              </w:rPr>
              <w:t>37,000</w:t>
            </w:r>
          </w:p>
        </w:tc>
        <w:tc>
          <w:tcPr>
            <w:tcW w:w="0" w:type="dxa"/>
            <w:vAlign w:val="bottom"/>
          </w:tcPr>
          <w:p>
            <w:pPr>
              <w:spacing w:after="0"/>
              <w:rPr>
                <w:sz w:val="1"/>
                <w:szCs w:val="1"/>
                <w:color w:val="auto"/>
              </w:rPr>
            </w:pPr>
          </w:p>
        </w:tc>
      </w:tr>
      <w:tr>
        <w:trPr>
          <w:trHeight w:val="216"/>
        </w:trPr>
        <w:tc>
          <w:tcPr>
            <w:tcW w:w="6020" w:type="dxa"/>
            <w:vAlign w:val="bottom"/>
          </w:tcPr>
          <w:p>
            <w:pPr>
              <w:spacing w:after="0"/>
              <w:rPr>
                <w:sz w:val="20"/>
                <w:szCs w:val="20"/>
                <w:color w:val="auto"/>
              </w:rPr>
            </w:pPr>
            <w:r>
              <w:rPr>
                <w:rFonts w:ascii="Times New Roman" w:cs="Times New Roman" w:eastAsia="Times New Roman" w:hAnsi="Times New Roman"/>
                <w:sz w:val="18"/>
                <w:szCs w:val="18"/>
                <w:color w:val="auto"/>
              </w:rPr>
              <w:t>Accrued salaries, wages and benefits</w:t>
            </w:r>
          </w:p>
        </w:tc>
        <w:tc>
          <w:tcPr>
            <w:tcW w:w="1020" w:type="dxa"/>
            <w:vAlign w:val="bottom"/>
          </w:tcPr>
          <w:p>
            <w:pPr>
              <w:spacing w:after="0"/>
              <w:rPr>
                <w:sz w:val="18"/>
                <w:szCs w:val="18"/>
                <w:color w:val="auto"/>
              </w:rPr>
            </w:pPr>
          </w:p>
        </w:tc>
        <w:tc>
          <w:tcPr>
            <w:tcW w:w="1380" w:type="dxa"/>
            <w:vAlign w:val="bottom"/>
            <w:gridSpan w:val="2"/>
          </w:tcPr>
          <w:p>
            <w:pPr>
              <w:jc w:val="right"/>
              <w:ind w:right="800"/>
              <w:spacing w:after="0"/>
              <w:rPr>
                <w:sz w:val="20"/>
                <w:szCs w:val="20"/>
                <w:color w:val="auto"/>
              </w:rPr>
            </w:pPr>
            <w:r>
              <w:rPr>
                <w:rFonts w:ascii="Times New Roman" w:cs="Times New Roman" w:eastAsia="Times New Roman" w:hAnsi="Times New Roman"/>
                <w:sz w:val="18"/>
                <w:szCs w:val="18"/>
                <w:color w:val="auto"/>
              </w:rPr>
              <w:t>10,888</w:t>
            </w:r>
          </w:p>
        </w:tc>
        <w:tc>
          <w:tcPr>
            <w:tcW w:w="860" w:type="dxa"/>
            <w:vAlign w:val="bottom"/>
          </w:tcPr>
          <w:p>
            <w:pPr>
              <w:spacing w:after="0"/>
              <w:rPr>
                <w:sz w:val="18"/>
                <w:szCs w:val="18"/>
                <w:color w:val="auto"/>
              </w:rPr>
            </w:pPr>
          </w:p>
        </w:tc>
        <w:tc>
          <w:tcPr>
            <w:tcW w:w="2140" w:type="dxa"/>
            <w:vAlign w:val="bottom"/>
            <w:gridSpan w:val="2"/>
          </w:tcPr>
          <w:p>
            <w:pPr>
              <w:jc w:val="right"/>
              <w:ind w:right="1480"/>
              <w:spacing w:after="0"/>
              <w:rPr>
                <w:sz w:val="20"/>
                <w:szCs w:val="20"/>
                <w:color w:val="auto"/>
              </w:rPr>
            </w:pPr>
            <w:r>
              <w:rPr>
                <w:rFonts w:ascii="Times New Roman" w:cs="Times New Roman" w:eastAsia="Times New Roman" w:hAnsi="Times New Roman"/>
                <w:sz w:val="18"/>
                <w:szCs w:val="18"/>
                <w:color w:val="auto"/>
              </w:rPr>
              <w:t>10,174</w:t>
            </w:r>
          </w:p>
        </w:tc>
        <w:tc>
          <w:tcPr>
            <w:tcW w:w="0" w:type="dxa"/>
            <w:vAlign w:val="bottom"/>
          </w:tcPr>
          <w:p>
            <w:pPr>
              <w:spacing w:after="0"/>
              <w:rPr>
                <w:sz w:val="1"/>
                <w:szCs w:val="1"/>
                <w:color w:val="auto"/>
              </w:rPr>
            </w:pPr>
          </w:p>
        </w:tc>
      </w:tr>
      <w:tr>
        <w:trPr>
          <w:trHeight w:val="216"/>
        </w:trPr>
        <w:tc>
          <w:tcPr>
            <w:tcW w:w="6020" w:type="dxa"/>
            <w:vAlign w:val="bottom"/>
          </w:tcPr>
          <w:p>
            <w:pPr>
              <w:spacing w:after="0"/>
              <w:rPr>
                <w:sz w:val="20"/>
                <w:szCs w:val="20"/>
                <w:color w:val="auto"/>
              </w:rPr>
            </w:pPr>
            <w:r>
              <w:rPr>
                <w:rFonts w:ascii="Times New Roman" w:cs="Times New Roman" w:eastAsia="Times New Roman" w:hAnsi="Times New Roman"/>
                <w:sz w:val="18"/>
                <w:szCs w:val="18"/>
                <w:color w:val="auto"/>
              </w:rPr>
              <w:t>Current maturities of long-term debt</w:t>
            </w:r>
          </w:p>
        </w:tc>
        <w:tc>
          <w:tcPr>
            <w:tcW w:w="10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5,714</w:t>
            </w:r>
          </w:p>
        </w:tc>
        <w:tc>
          <w:tcPr>
            <w:tcW w:w="8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140" w:type="dxa"/>
            <w:vAlign w:val="bottom"/>
            <w:gridSpan w:val="2"/>
          </w:tcPr>
          <w:p>
            <w:pPr>
              <w:jc w:val="right"/>
              <w:ind w:right="1480"/>
              <w:spacing w:after="0"/>
              <w:rPr>
                <w:sz w:val="20"/>
                <w:szCs w:val="20"/>
                <w:color w:val="auto"/>
              </w:rPr>
            </w:pPr>
            <w:r>
              <w:rPr>
                <w:rFonts w:ascii="Times New Roman" w:cs="Times New Roman" w:eastAsia="Times New Roman" w:hAnsi="Times New Roman"/>
                <w:sz w:val="18"/>
                <w:szCs w:val="18"/>
                <w:color w:val="auto"/>
              </w:rPr>
              <w:t>5,801</w:t>
            </w:r>
          </w:p>
        </w:tc>
        <w:tc>
          <w:tcPr>
            <w:tcW w:w="0" w:type="dxa"/>
            <w:vAlign w:val="bottom"/>
          </w:tcPr>
          <w:p>
            <w:pPr>
              <w:spacing w:after="0"/>
              <w:rPr>
                <w:sz w:val="1"/>
                <w:szCs w:val="1"/>
                <w:color w:val="auto"/>
              </w:rPr>
            </w:pPr>
          </w:p>
        </w:tc>
      </w:tr>
      <w:tr>
        <w:trPr>
          <w:trHeight w:val="216"/>
        </w:trPr>
        <w:tc>
          <w:tcPr>
            <w:tcW w:w="6020" w:type="dxa"/>
            <w:vAlign w:val="bottom"/>
          </w:tcPr>
          <w:p>
            <w:pPr>
              <w:spacing w:after="0"/>
              <w:rPr>
                <w:sz w:val="20"/>
                <w:szCs w:val="20"/>
                <w:color w:val="auto"/>
              </w:rPr>
            </w:pPr>
            <w:r>
              <w:rPr>
                <w:rFonts w:ascii="Times New Roman" w:cs="Times New Roman" w:eastAsia="Times New Roman" w:hAnsi="Times New Roman"/>
                <w:sz w:val="18"/>
                <w:szCs w:val="18"/>
                <w:color w:val="auto"/>
              </w:rPr>
              <w:t>Income taxes payable</w:t>
            </w:r>
          </w:p>
        </w:tc>
        <w:tc>
          <w:tcPr>
            <w:tcW w:w="1020" w:type="dxa"/>
            <w:vAlign w:val="bottom"/>
          </w:tcPr>
          <w:p>
            <w:pPr>
              <w:spacing w:after="0"/>
              <w:rPr>
                <w:sz w:val="18"/>
                <w:szCs w:val="18"/>
                <w:color w:val="auto"/>
              </w:rPr>
            </w:pPr>
          </w:p>
        </w:tc>
        <w:tc>
          <w:tcPr>
            <w:tcW w:w="1380" w:type="dxa"/>
            <w:vAlign w:val="bottom"/>
            <w:gridSpan w:val="2"/>
          </w:tcPr>
          <w:p>
            <w:pPr>
              <w:jc w:val="right"/>
              <w:ind w:right="800"/>
              <w:spacing w:after="0"/>
              <w:rPr>
                <w:sz w:val="20"/>
                <w:szCs w:val="20"/>
                <w:color w:val="auto"/>
              </w:rPr>
            </w:pPr>
            <w:r>
              <w:rPr>
                <w:rFonts w:ascii="Times New Roman" w:cs="Times New Roman" w:eastAsia="Times New Roman" w:hAnsi="Times New Roman"/>
                <w:sz w:val="18"/>
                <w:szCs w:val="18"/>
                <w:color w:val="auto"/>
              </w:rPr>
              <w:t>961</w:t>
            </w:r>
          </w:p>
        </w:tc>
        <w:tc>
          <w:tcPr>
            <w:tcW w:w="860" w:type="dxa"/>
            <w:vAlign w:val="bottom"/>
          </w:tcPr>
          <w:p>
            <w:pPr>
              <w:spacing w:after="0"/>
              <w:rPr>
                <w:sz w:val="18"/>
                <w:szCs w:val="18"/>
                <w:color w:val="auto"/>
              </w:rPr>
            </w:pPr>
          </w:p>
        </w:tc>
        <w:tc>
          <w:tcPr>
            <w:tcW w:w="2140" w:type="dxa"/>
            <w:vAlign w:val="bottom"/>
            <w:gridSpan w:val="2"/>
          </w:tcPr>
          <w:p>
            <w:pPr>
              <w:jc w:val="right"/>
              <w:ind w:right="1480"/>
              <w:spacing w:after="0"/>
              <w:rPr>
                <w:sz w:val="20"/>
                <w:szCs w:val="20"/>
                <w:color w:val="auto"/>
              </w:rPr>
            </w:pPr>
            <w:r>
              <w:rPr>
                <w:rFonts w:ascii="Times New Roman" w:cs="Times New Roman" w:eastAsia="Times New Roman" w:hAnsi="Times New Roman"/>
                <w:sz w:val="18"/>
                <w:szCs w:val="18"/>
                <w:color w:val="auto"/>
              </w:rPr>
              <w:t>543</w:t>
            </w:r>
          </w:p>
        </w:tc>
        <w:tc>
          <w:tcPr>
            <w:tcW w:w="0" w:type="dxa"/>
            <w:vAlign w:val="bottom"/>
          </w:tcPr>
          <w:p>
            <w:pPr>
              <w:spacing w:after="0"/>
              <w:rPr>
                <w:sz w:val="1"/>
                <w:szCs w:val="1"/>
                <w:color w:val="auto"/>
              </w:rPr>
            </w:pPr>
          </w:p>
        </w:tc>
      </w:tr>
      <w:tr>
        <w:trPr>
          <w:trHeight w:val="241"/>
        </w:trPr>
        <w:tc>
          <w:tcPr>
            <w:tcW w:w="6020" w:type="dxa"/>
            <w:vAlign w:val="bottom"/>
          </w:tcPr>
          <w:p>
            <w:pPr>
              <w:spacing w:after="0"/>
              <w:rPr>
                <w:sz w:val="20"/>
                <w:szCs w:val="20"/>
                <w:color w:val="auto"/>
              </w:rPr>
            </w:pPr>
            <w:r>
              <w:rPr>
                <w:rFonts w:ascii="Times New Roman" w:cs="Times New Roman" w:eastAsia="Times New Roman" w:hAnsi="Times New Roman"/>
                <w:sz w:val="18"/>
                <w:szCs w:val="18"/>
                <w:color w:val="auto"/>
              </w:rPr>
              <w:t>Other current liabilities</w:t>
            </w:r>
          </w:p>
        </w:tc>
        <w:tc>
          <w:tcPr>
            <w:tcW w:w="102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6,966</w:t>
            </w:r>
          </w:p>
        </w:tc>
        <w:tc>
          <w:tcPr>
            <w:tcW w:w="8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140" w:type="dxa"/>
            <w:vAlign w:val="bottom"/>
            <w:gridSpan w:val="2"/>
          </w:tcPr>
          <w:p>
            <w:pPr>
              <w:jc w:val="right"/>
              <w:ind w:right="1480"/>
              <w:spacing w:after="0"/>
              <w:rPr>
                <w:sz w:val="20"/>
                <w:szCs w:val="20"/>
                <w:color w:val="auto"/>
              </w:rPr>
            </w:pPr>
            <w:r>
              <w:rPr>
                <w:rFonts w:ascii="Times New Roman" w:cs="Times New Roman" w:eastAsia="Times New Roman" w:hAnsi="Times New Roman"/>
                <w:sz w:val="18"/>
                <w:szCs w:val="18"/>
                <w:color w:val="auto"/>
              </w:rPr>
              <w:t>5,240</w:t>
            </w:r>
          </w:p>
        </w:tc>
        <w:tc>
          <w:tcPr>
            <w:tcW w:w="0" w:type="dxa"/>
            <w:vAlign w:val="bottom"/>
          </w:tcPr>
          <w:p>
            <w:pPr>
              <w:spacing w:after="0"/>
              <w:rPr>
                <w:sz w:val="1"/>
                <w:szCs w:val="1"/>
                <w:color w:val="auto"/>
              </w:rPr>
            </w:pPr>
          </w:p>
        </w:tc>
      </w:tr>
      <w:tr>
        <w:trPr>
          <w:trHeight w:val="234"/>
        </w:trPr>
        <w:tc>
          <w:tcPr>
            <w:tcW w:w="60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020" w:type="dxa"/>
            <w:vAlign w:val="bottom"/>
            <w:tcBorders>
              <w:top w:val="single" w:sz="8" w:color="auto"/>
            </w:tcBorders>
          </w:tcPr>
          <w:p>
            <w:pPr>
              <w:spacing w:after="0"/>
              <w:rPr>
                <w:sz w:val="20"/>
                <w:szCs w:val="20"/>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64,552</w:t>
            </w:r>
          </w:p>
        </w:tc>
        <w:tc>
          <w:tcPr>
            <w:tcW w:w="800" w:type="dxa"/>
            <w:vAlign w:val="bottom"/>
          </w:tcPr>
          <w:p>
            <w:pPr>
              <w:spacing w:after="0"/>
              <w:rPr>
                <w:sz w:val="20"/>
                <w:szCs w:val="20"/>
                <w:color w:val="auto"/>
              </w:rPr>
            </w:pPr>
          </w:p>
        </w:tc>
        <w:tc>
          <w:tcPr>
            <w:tcW w:w="86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58,758</w:t>
            </w:r>
          </w:p>
        </w:tc>
        <w:tc>
          <w:tcPr>
            <w:tcW w:w="1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6"/>
        </w:trPr>
        <w:tc>
          <w:tcPr>
            <w:tcW w:w="6020" w:type="dxa"/>
            <w:vAlign w:val="bottom"/>
          </w:tcPr>
          <w:p>
            <w:pPr>
              <w:spacing w:after="0"/>
              <w:rPr>
                <w:sz w:val="20"/>
                <w:szCs w:val="20"/>
                <w:color w:val="auto"/>
              </w:rPr>
            </w:pPr>
            <w:r>
              <w:rPr>
                <w:rFonts w:ascii="Times New Roman" w:cs="Times New Roman" w:eastAsia="Times New Roman" w:hAnsi="Times New Roman"/>
                <w:sz w:val="18"/>
                <w:szCs w:val="18"/>
                <w:color w:val="auto"/>
              </w:rPr>
              <w:t>Non-current deferred tax liabilities</w:t>
            </w:r>
          </w:p>
        </w:tc>
        <w:tc>
          <w:tcPr>
            <w:tcW w:w="102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3,804</w:t>
            </w:r>
          </w:p>
        </w:tc>
        <w:tc>
          <w:tcPr>
            <w:tcW w:w="8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140" w:type="dxa"/>
            <w:vAlign w:val="bottom"/>
            <w:gridSpan w:val="2"/>
          </w:tcPr>
          <w:p>
            <w:pPr>
              <w:jc w:val="right"/>
              <w:ind w:right="1480"/>
              <w:spacing w:after="0"/>
              <w:rPr>
                <w:sz w:val="20"/>
                <w:szCs w:val="20"/>
                <w:color w:val="auto"/>
              </w:rPr>
            </w:pPr>
            <w:r>
              <w:rPr>
                <w:rFonts w:ascii="Times New Roman" w:cs="Times New Roman" w:eastAsia="Times New Roman" w:hAnsi="Times New Roman"/>
                <w:sz w:val="18"/>
                <w:szCs w:val="18"/>
                <w:color w:val="auto"/>
              </w:rPr>
              <w:t>3,850</w:t>
            </w:r>
          </w:p>
        </w:tc>
        <w:tc>
          <w:tcPr>
            <w:tcW w:w="0" w:type="dxa"/>
            <w:vAlign w:val="bottom"/>
          </w:tcPr>
          <w:p>
            <w:pPr>
              <w:spacing w:after="0"/>
              <w:rPr>
                <w:sz w:val="1"/>
                <w:szCs w:val="1"/>
                <w:color w:val="auto"/>
              </w:rPr>
            </w:pPr>
          </w:p>
        </w:tc>
      </w:tr>
      <w:tr>
        <w:trPr>
          <w:trHeight w:val="216"/>
        </w:trPr>
        <w:tc>
          <w:tcPr>
            <w:tcW w:w="6020" w:type="dxa"/>
            <w:vAlign w:val="bottom"/>
          </w:tcPr>
          <w:p>
            <w:pPr>
              <w:spacing w:after="0"/>
              <w:rPr>
                <w:sz w:val="20"/>
                <w:szCs w:val="20"/>
                <w:color w:val="auto"/>
              </w:rPr>
            </w:pPr>
            <w:r>
              <w:rPr>
                <w:rFonts w:ascii="Times New Roman" w:cs="Times New Roman" w:eastAsia="Times New Roman" w:hAnsi="Times New Roman"/>
                <w:sz w:val="18"/>
                <w:szCs w:val="18"/>
                <w:color w:val="auto"/>
              </w:rPr>
              <w:t>Long-term debt, net of current portion</w:t>
            </w:r>
          </w:p>
        </w:tc>
        <w:tc>
          <w:tcPr>
            <w:tcW w:w="1020" w:type="dxa"/>
            <w:vAlign w:val="bottom"/>
          </w:tcPr>
          <w:p>
            <w:pPr>
              <w:spacing w:after="0"/>
              <w:rPr>
                <w:sz w:val="18"/>
                <w:szCs w:val="18"/>
                <w:color w:val="auto"/>
              </w:rPr>
            </w:pPr>
          </w:p>
        </w:tc>
        <w:tc>
          <w:tcPr>
            <w:tcW w:w="1380" w:type="dxa"/>
            <w:vAlign w:val="bottom"/>
            <w:gridSpan w:val="2"/>
          </w:tcPr>
          <w:p>
            <w:pPr>
              <w:jc w:val="right"/>
              <w:ind w:right="800"/>
              <w:spacing w:after="0"/>
              <w:rPr>
                <w:sz w:val="20"/>
                <w:szCs w:val="20"/>
                <w:color w:val="auto"/>
              </w:rPr>
            </w:pPr>
            <w:r>
              <w:rPr>
                <w:rFonts w:ascii="Times New Roman" w:cs="Times New Roman" w:eastAsia="Times New Roman" w:hAnsi="Times New Roman"/>
                <w:sz w:val="18"/>
                <w:szCs w:val="18"/>
                <w:color w:val="auto"/>
              </w:rPr>
              <w:t>46,000</w:t>
            </w:r>
          </w:p>
        </w:tc>
        <w:tc>
          <w:tcPr>
            <w:tcW w:w="860" w:type="dxa"/>
            <w:vAlign w:val="bottom"/>
          </w:tcPr>
          <w:p>
            <w:pPr>
              <w:spacing w:after="0"/>
              <w:rPr>
                <w:sz w:val="18"/>
                <w:szCs w:val="18"/>
                <w:color w:val="auto"/>
              </w:rPr>
            </w:pPr>
          </w:p>
        </w:tc>
        <w:tc>
          <w:tcPr>
            <w:tcW w:w="2140" w:type="dxa"/>
            <w:vAlign w:val="bottom"/>
            <w:gridSpan w:val="2"/>
          </w:tcPr>
          <w:p>
            <w:pPr>
              <w:jc w:val="right"/>
              <w:ind w:right="1480"/>
              <w:spacing w:after="0"/>
              <w:rPr>
                <w:sz w:val="20"/>
                <w:szCs w:val="20"/>
                <w:color w:val="auto"/>
              </w:rPr>
            </w:pPr>
            <w:r>
              <w:rPr>
                <w:rFonts w:ascii="Times New Roman" w:cs="Times New Roman" w:eastAsia="Times New Roman" w:hAnsi="Times New Roman"/>
                <w:sz w:val="18"/>
                <w:szCs w:val="18"/>
                <w:color w:val="auto"/>
              </w:rPr>
              <w:t>63,715</w:t>
            </w:r>
          </w:p>
        </w:tc>
        <w:tc>
          <w:tcPr>
            <w:tcW w:w="0" w:type="dxa"/>
            <w:vAlign w:val="bottom"/>
          </w:tcPr>
          <w:p>
            <w:pPr>
              <w:spacing w:after="0"/>
              <w:rPr>
                <w:sz w:val="1"/>
                <w:szCs w:val="1"/>
                <w:color w:val="auto"/>
              </w:rPr>
            </w:pPr>
          </w:p>
        </w:tc>
      </w:tr>
      <w:tr>
        <w:trPr>
          <w:trHeight w:val="241"/>
        </w:trPr>
        <w:tc>
          <w:tcPr>
            <w:tcW w:w="6020" w:type="dxa"/>
            <w:vAlign w:val="bottom"/>
          </w:tcPr>
          <w:p>
            <w:pPr>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102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11,056</w:t>
            </w:r>
          </w:p>
        </w:tc>
        <w:tc>
          <w:tcPr>
            <w:tcW w:w="8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140" w:type="dxa"/>
            <w:vAlign w:val="bottom"/>
            <w:gridSpan w:val="2"/>
          </w:tcPr>
          <w:p>
            <w:pPr>
              <w:jc w:val="right"/>
              <w:ind w:right="1480"/>
              <w:spacing w:after="0"/>
              <w:rPr>
                <w:sz w:val="20"/>
                <w:szCs w:val="20"/>
                <w:color w:val="auto"/>
              </w:rPr>
            </w:pPr>
            <w:r>
              <w:rPr>
                <w:rFonts w:ascii="Times New Roman" w:cs="Times New Roman" w:eastAsia="Times New Roman" w:hAnsi="Times New Roman"/>
                <w:sz w:val="18"/>
                <w:szCs w:val="18"/>
                <w:color w:val="auto"/>
              </w:rPr>
              <w:t>10,460</w:t>
            </w:r>
          </w:p>
        </w:tc>
        <w:tc>
          <w:tcPr>
            <w:tcW w:w="0" w:type="dxa"/>
            <w:vAlign w:val="bottom"/>
          </w:tcPr>
          <w:p>
            <w:pPr>
              <w:spacing w:after="0"/>
              <w:rPr>
                <w:sz w:val="1"/>
                <w:szCs w:val="1"/>
                <w:color w:val="auto"/>
              </w:rPr>
            </w:pPr>
          </w:p>
        </w:tc>
      </w:tr>
      <w:tr>
        <w:trPr>
          <w:trHeight w:val="234"/>
        </w:trPr>
        <w:tc>
          <w:tcPr>
            <w:tcW w:w="6020" w:type="dxa"/>
            <w:vAlign w:val="bottom"/>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1020" w:type="dxa"/>
            <w:vAlign w:val="bottom"/>
            <w:tcBorders>
              <w:top w:val="single" w:sz="8" w:color="auto"/>
            </w:tcBorders>
          </w:tcPr>
          <w:p>
            <w:pPr>
              <w:spacing w:after="0"/>
              <w:rPr>
                <w:sz w:val="20"/>
                <w:szCs w:val="20"/>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125,412</w:t>
            </w:r>
          </w:p>
        </w:tc>
        <w:tc>
          <w:tcPr>
            <w:tcW w:w="800" w:type="dxa"/>
            <w:vAlign w:val="bottom"/>
          </w:tcPr>
          <w:p>
            <w:pPr>
              <w:spacing w:after="0"/>
              <w:rPr>
                <w:sz w:val="20"/>
                <w:szCs w:val="20"/>
                <w:color w:val="auto"/>
              </w:rPr>
            </w:pPr>
          </w:p>
        </w:tc>
        <w:tc>
          <w:tcPr>
            <w:tcW w:w="86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136,783</w:t>
            </w:r>
          </w:p>
        </w:tc>
        <w:tc>
          <w:tcPr>
            <w:tcW w:w="1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1"/>
        </w:trPr>
        <w:tc>
          <w:tcPr>
            <w:tcW w:w="6020" w:type="dxa"/>
            <w:vAlign w:val="bottom"/>
          </w:tcPr>
          <w:p>
            <w:pPr>
              <w:spacing w:after="0"/>
              <w:rPr>
                <w:sz w:val="20"/>
                <w:szCs w:val="20"/>
                <w:color w:val="auto"/>
              </w:rPr>
            </w:pPr>
            <w:r>
              <w:rPr>
                <w:rFonts w:ascii="Times New Roman" w:cs="Times New Roman" w:eastAsia="Times New Roman" w:hAnsi="Times New Roman"/>
                <w:sz w:val="18"/>
                <w:szCs w:val="18"/>
                <w:color w:val="auto"/>
              </w:rPr>
              <w:t>Total stockholders’ equity</w:t>
            </w:r>
          </w:p>
        </w:tc>
        <w:tc>
          <w:tcPr>
            <w:tcW w:w="102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136,027</w:t>
            </w:r>
          </w:p>
        </w:tc>
        <w:tc>
          <w:tcPr>
            <w:tcW w:w="800" w:type="dxa"/>
            <w:vAlign w:val="bottom"/>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128,560</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020" w:type="dxa"/>
            <w:vAlign w:val="bottom"/>
          </w:tcPr>
          <w:p>
            <w:pPr>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261,439</w:t>
            </w:r>
          </w:p>
        </w:tc>
        <w:tc>
          <w:tcPr>
            <w:tcW w:w="800" w:type="dxa"/>
            <w:vAlign w:val="bottom"/>
          </w:tcPr>
          <w:p>
            <w:pPr>
              <w:spacing w:after="0"/>
              <w:rPr>
                <w:sz w:val="24"/>
                <w:szCs w:val="24"/>
                <w:color w:val="auto"/>
              </w:rPr>
            </w:pPr>
          </w:p>
        </w:tc>
        <w:tc>
          <w:tcPr>
            <w:tcW w:w="860" w:type="dxa"/>
            <w:vAlign w:val="bottom"/>
          </w:tcPr>
          <w:p>
            <w:pPr>
              <w:jc w:val="center"/>
              <w:ind w:left="550"/>
              <w:spacing w:after="0"/>
              <w:rPr>
                <w:sz w:val="20"/>
                <w:szCs w:val="20"/>
                <w:color w:val="auto"/>
              </w:rPr>
            </w:pPr>
            <w:r>
              <w:rPr>
                <w:rFonts w:ascii="Times New Roman" w:cs="Times New Roman" w:eastAsia="Times New Roman" w:hAnsi="Times New Roman"/>
                <w:sz w:val="18"/>
                <w:szCs w:val="18"/>
                <w:color w:val="auto"/>
              </w:rPr>
              <w:t>$</w:t>
            </w:r>
          </w:p>
        </w:tc>
        <w:tc>
          <w:tcPr>
            <w:tcW w:w="2140" w:type="dxa"/>
            <w:vAlign w:val="bottom"/>
            <w:gridSpan w:val="2"/>
          </w:tcPr>
          <w:p>
            <w:pPr>
              <w:jc w:val="right"/>
              <w:ind w:right="1480"/>
              <w:spacing w:after="0"/>
              <w:rPr>
                <w:sz w:val="20"/>
                <w:szCs w:val="20"/>
                <w:color w:val="auto"/>
              </w:rPr>
            </w:pPr>
            <w:r>
              <w:rPr>
                <w:rFonts w:ascii="Times New Roman" w:cs="Times New Roman" w:eastAsia="Times New Roman" w:hAnsi="Times New Roman"/>
                <w:sz w:val="18"/>
                <w:szCs w:val="18"/>
                <w:color w:val="auto"/>
              </w:rPr>
              <w:t>265,343</w:t>
            </w:r>
          </w:p>
        </w:tc>
        <w:tc>
          <w:tcPr>
            <w:tcW w:w="0" w:type="dxa"/>
            <w:vAlign w:val="bottom"/>
          </w:tcPr>
          <w:p>
            <w:pPr>
              <w:spacing w:after="0"/>
              <w:rPr>
                <w:sz w:val="1"/>
                <w:szCs w:val="1"/>
                <w:color w:val="auto"/>
              </w:rPr>
            </w:pPr>
          </w:p>
        </w:tc>
      </w:tr>
      <w:tr>
        <w:trPr>
          <w:trHeight w:val="21"/>
        </w:trPr>
        <w:tc>
          <w:tcPr>
            <w:tcW w:w="602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24"/>
        </w:trPr>
        <w:tc>
          <w:tcPr>
            <w:tcW w:w="6020" w:type="dxa"/>
            <w:vAlign w:val="bottom"/>
            <w:tcBorders>
              <w:bottom w:val="single" w:sz="8" w:color="808080"/>
            </w:tcBorders>
          </w:tcPr>
          <w:p>
            <w:pPr>
              <w:spacing w:after="0"/>
              <w:rPr>
                <w:sz w:val="24"/>
                <w:szCs w:val="24"/>
                <w:color w:val="auto"/>
              </w:rPr>
            </w:pPr>
          </w:p>
        </w:tc>
        <w:tc>
          <w:tcPr>
            <w:tcW w:w="1020" w:type="dxa"/>
            <w:vAlign w:val="bottom"/>
            <w:tcBorders>
              <w:bottom w:val="single" w:sz="8" w:color="808080"/>
            </w:tcBorders>
          </w:tcPr>
          <w:p>
            <w:pPr>
              <w:spacing w:after="0"/>
              <w:rPr>
                <w:sz w:val="24"/>
                <w:szCs w:val="24"/>
                <w:color w:val="auto"/>
              </w:rPr>
            </w:pPr>
          </w:p>
        </w:tc>
        <w:tc>
          <w:tcPr>
            <w:tcW w:w="5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860" w:type="dxa"/>
            <w:vAlign w:val="bottom"/>
            <w:tcBorders>
              <w:bottom w:val="single" w:sz="8" w:color="808080"/>
            </w:tcBorders>
          </w:tcPr>
          <w:p>
            <w:pPr>
              <w:spacing w:after="0"/>
              <w:rPr>
                <w:sz w:val="24"/>
                <w:szCs w:val="24"/>
                <w:color w:val="auto"/>
              </w:rPr>
            </w:pPr>
          </w:p>
        </w:tc>
        <w:tc>
          <w:tcPr>
            <w:tcW w:w="660" w:type="dxa"/>
            <w:vAlign w:val="bottom"/>
            <w:tcBorders>
              <w:bottom w:val="single" w:sz="8" w:color="808080"/>
            </w:tcBorders>
          </w:tcPr>
          <w:p>
            <w:pPr>
              <w:spacing w:after="0"/>
              <w:rPr>
                <w:sz w:val="24"/>
                <w:szCs w:val="24"/>
                <w:color w:val="auto"/>
              </w:rPr>
            </w:pPr>
          </w:p>
        </w:tc>
        <w:tc>
          <w:tcPr>
            <w:tcW w:w="148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752" w:right="239" w:bottom="1440" w:gutter="0" w:footer="0" w:header="0"/>
        </w:sectPr>
      </w:pPr>
    </w:p>
    <w:bookmarkStart w:id="8" w:name="page9"/>
    <w:bookmarkEnd w:id="8"/>
    <w:p>
      <w:pPr>
        <w:spacing w:after="0" w:line="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NN,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Reconciliation of Non-GAAP to GAAP Financial Measures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120" w:type="dxa"/>
            <w:vAlign w:val="bottom"/>
          </w:tcPr>
          <w:p>
            <w:pPr>
              <w:spacing w:after="0"/>
              <w:rPr>
                <w:sz w:val="18"/>
                <w:szCs w:val="18"/>
                <w:color w:val="auto"/>
              </w:rPr>
            </w:pPr>
          </w:p>
        </w:tc>
        <w:tc>
          <w:tcPr>
            <w:tcW w:w="2360" w:type="dxa"/>
            <w:vAlign w:val="bottom"/>
            <w:gridSpan w:val="5"/>
          </w:tcPr>
          <w:p>
            <w:pPr>
              <w:ind w:left="52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180" w:type="dxa"/>
            <w:vAlign w:val="bottom"/>
            <w:gridSpan w:val="4"/>
          </w:tcPr>
          <w:p>
            <w:pPr>
              <w:ind w:left="48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5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80" w:type="dxa"/>
            <w:vAlign w:val="bottom"/>
            <w:gridSpan w:val="4"/>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June 30, 2013</w:t>
            </w: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580" w:type="dxa"/>
            <w:vAlign w:val="bottom"/>
            <w:gridSpan w:val="3"/>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June 30, 2012</w:t>
            </w: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5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tcPr>
          <w:p>
            <w:pPr>
              <w:jc w:val="center"/>
              <w:ind w:left="230"/>
              <w:spacing w:after="0"/>
              <w:rPr>
                <w:sz w:val="20"/>
                <w:szCs w:val="20"/>
                <w:color w:val="auto"/>
              </w:rPr>
            </w:pPr>
            <w:r>
              <w:rPr>
                <w:rFonts w:ascii="Times New Roman" w:cs="Times New Roman" w:eastAsia="Times New Roman" w:hAnsi="Times New Roman"/>
                <w:sz w:val="18"/>
                <w:szCs w:val="18"/>
                <w:b w:val="1"/>
                <w:bCs w:val="1"/>
                <w:color w:val="auto"/>
                <w:w w:val="98"/>
              </w:rPr>
              <w:t>Diluted</w:t>
            </w: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gridSpan w:val="3"/>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8"/>
              </w:rPr>
              <w:t>Diluted</w:t>
            </w:r>
          </w:p>
        </w:tc>
      </w:tr>
      <w:tr>
        <w:trPr>
          <w:trHeight w:val="216"/>
        </w:trPr>
        <w:tc>
          <w:tcPr>
            <w:tcW w:w="5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20" w:type="dxa"/>
            <w:vAlign w:val="bottom"/>
            <w:gridSpan w:val="3"/>
          </w:tcPr>
          <w:p>
            <w:pPr>
              <w:jc w:val="center"/>
              <w:ind w:right="800"/>
              <w:spacing w:after="0"/>
              <w:rPr>
                <w:sz w:val="20"/>
                <w:szCs w:val="20"/>
                <w:color w:val="auto"/>
              </w:rPr>
            </w:pPr>
            <w:r>
              <w:rPr>
                <w:rFonts w:ascii="Times New Roman" w:cs="Times New Roman" w:eastAsia="Times New Roman" w:hAnsi="Times New Roman"/>
                <w:sz w:val="18"/>
                <w:szCs w:val="18"/>
                <w:b w:val="1"/>
                <w:bCs w:val="1"/>
                <w:color w:val="auto"/>
                <w:w w:val="99"/>
              </w:rPr>
              <w:t>Earnings</w:t>
            </w:r>
          </w:p>
        </w:tc>
        <w:tc>
          <w:tcPr>
            <w:tcW w:w="6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gridSpan w:val="3"/>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w w:val="99"/>
              </w:rPr>
              <w:t>Earnings</w:t>
            </w:r>
          </w:p>
        </w:tc>
      </w:tr>
      <w:tr>
        <w:trPr>
          <w:trHeight w:val="216"/>
        </w:trPr>
        <w:tc>
          <w:tcPr>
            <w:tcW w:w="5120" w:type="dxa"/>
            <w:vAlign w:val="bottom"/>
          </w:tcPr>
          <w:p>
            <w:pPr>
              <w:spacing w:after="0"/>
              <w:rPr>
                <w:sz w:val="18"/>
                <w:szCs w:val="18"/>
                <w:color w:val="auto"/>
              </w:rPr>
            </w:pPr>
          </w:p>
        </w:tc>
        <w:tc>
          <w:tcPr>
            <w:tcW w:w="680" w:type="dxa"/>
            <w:vAlign w:val="bottom"/>
          </w:tcPr>
          <w:p>
            <w:pPr>
              <w:ind w:left="460"/>
              <w:spacing w:after="0"/>
              <w:rPr>
                <w:sz w:val="20"/>
                <w:szCs w:val="20"/>
                <w:color w:val="auto"/>
              </w:rPr>
            </w:pPr>
            <w:r>
              <w:rPr>
                <w:rFonts w:ascii="Times New Roman" w:cs="Times New Roman" w:eastAsia="Times New Roman" w:hAnsi="Times New Roman"/>
                <w:sz w:val="18"/>
                <w:szCs w:val="18"/>
                <w:b w:val="1"/>
                <w:bCs w:val="1"/>
                <w:color w:val="auto"/>
              </w:rPr>
              <w:t>In</w:t>
            </w: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tcPr>
          <w:p>
            <w:pPr>
              <w:jc w:val="center"/>
              <w:ind w:left="230"/>
              <w:spacing w:after="0"/>
              <w:rPr>
                <w:sz w:val="20"/>
                <w:szCs w:val="20"/>
                <w:color w:val="auto"/>
              </w:rPr>
            </w:pPr>
            <w:r>
              <w:rPr>
                <w:rFonts w:ascii="Times New Roman" w:cs="Times New Roman" w:eastAsia="Times New Roman" w:hAnsi="Times New Roman"/>
                <w:sz w:val="18"/>
                <w:szCs w:val="18"/>
                <w:b w:val="1"/>
                <w:bCs w:val="1"/>
                <w:color w:val="auto"/>
              </w:rPr>
              <w:t>Per</w:t>
            </w: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60" w:type="dxa"/>
            <w:vAlign w:val="bottom"/>
            <w:gridSpan w:val="3"/>
          </w:tcPr>
          <w:p>
            <w:pPr>
              <w:ind w:left="480"/>
              <w:spacing w:after="0"/>
              <w:rPr>
                <w:sz w:val="20"/>
                <w:szCs w:val="20"/>
                <w:color w:val="auto"/>
              </w:rPr>
            </w:pPr>
            <w:r>
              <w:rPr>
                <w:rFonts w:ascii="Times New Roman" w:cs="Times New Roman" w:eastAsia="Times New Roman" w:hAnsi="Times New Roman"/>
                <w:sz w:val="18"/>
                <w:szCs w:val="18"/>
                <w:b w:val="1"/>
                <w:bCs w:val="1"/>
                <w:color w:val="auto"/>
              </w:rPr>
              <w:t>In</w:t>
            </w:r>
          </w:p>
        </w:tc>
        <w:tc>
          <w:tcPr>
            <w:tcW w:w="720" w:type="dxa"/>
            <w:vAlign w:val="bottom"/>
          </w:tcPr>
          <w:p>
            <w:pPr>
              <w:jc w:val="center"/>
              <w:ind w:left="350"/>
              <w:spacing w:after="0"/>
              <w:rPr>
                <w:sz w:val="20"/>
                <w:szCs w:val="20"/>
                <w:color w:val="auto"/>
              </w:rPr>
            </w:pPr>
            <w:r>
              <w:rPr>
                <w:rFonts w:ascii="Times New Roman" w:cs="Times New Roman" w:eastAsia="Times New Roman" w:hAnsi="Times New Roman"/>
                <w:sz w:val="18"/>
                <w:szCs w:val="18"/>
                <w:b w:val="1"/>
                <w:bCs w:val="1"/>
                <w:color w:val="auto"/>
              </w:rPr>
              <w:t>Per</w:t>
            </w: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45"/>
        </w:trPr>
        <w:tc>
          <w:tcPr>
            <w:tcW w:w="5120" w:type="dxa"/>
            <w:vAlign w:val="bottom"/>
          </w:tcPr>
          <w:p>
            <w:pPr>
              <w:spacing w:after="0"/>
              <w:rPr>
                <w:sz w:val="21"/>
                <w:szCs w:val="21"/>
                <w:color w:val="auto"/>
              </w:rPr>
            </w:pPr>
          </w:p>
        </w:tc>
        <w:tc>
          <w:tcPr>
            <w:tcW w:w="1440" w:type="dxa"/>
            <w:vAlign w:val="bottom"/>
            <w:gridSpan w:val="4"/>
          </w:tcPr>
          <w:p>
            <w:pPr>
              <w:ind w:left="160"/>
              <w:spacing w:after="0"/>
              <w:rPr>
                <w:sz w:val="20"/>
                <w:szCs w:val="20"/>
                <w:color w:val="auto"/>
              </w:rPr>
            </w:pPr>
            <w:r>
              <w:rPr>
                <w:rFonts w:ascii="Times New Roman" w:cs="Times New Roman" w:eastAsia="Times New Roman" w:hAnsi="Times New Roman"/>
                <w:sz w:val="18"/>
                <w:szCs w:val="18"/>
                <w:b w:val="1"/>
                <w:bCs w:val="1"/>
                <w:color w:val="auto"/>
              </w:rPr>
              <w:t>Thousands</w:t>
            </w:r>
          </w:p>
        </w:tc>
        <w:tc>
          <w:tcPr>
            <w:tcW w:w="920" w:type="dxa"/>
            <w:vAlign w:val="bottom"/>
          </w:tcPr>
          <w:p>
            <w:pPr>
              <w:jc w:val="center"/>
              <w:ind w:left="230"/>
              <w:spacing w:after="0"/>
              <w:rPr>
                <w:sz w:val="20"/>
                <w:szCs w:val="20"/>
                <w:color w:val="auto"/>
              </w:rPr>
            </w:pPr>
            <w:r>
              <w:rPr>
                <w:rFonts w:ascii="Times New Roman" w:cs="Times New Roman" w:eastAsia="Times New Roman" w:hAnsi="Times New Roman"/>
                <w:sz w:val="18"/>
                <w:szCs w:val="18"/>
                <w:b w:val="1"/>
                <w:bCs w:val="1"/>
                <w:color w:val="auto"/>
                <w:w w:val="97"/>
              </w:rPr>
              <w:t>Share</w:t>
            </w:r>
          </w:p>
        </w:tc>
        <w:tc>
          <w:tcPr>
            <w:tcW w:w="3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460" w:type="dxa"/>
            <w:vAlign w:val="bottom"/>
            <w:gridSpan w:val="3"/>
          </w:tcPr>
          <w:p>
            <w:pPr>
              <w:ind w:left="160"/>
              <w:spacing w:after="0"/>
              <w:rPr>
                <w:sz w:val="20"/>
                <w:szCs w:val="20"/>
                <w:color w:val="auto"/>
              </w:rPr>
            </w:pPr>
            <w:r>
              <w:rPr>
                <w:rFonts w:ascii="Times New Roman" w:cs="Times New Roman" w:eastAsia="Times New Roman" w:hAnsi="Times New Roman"/>
                <w:sz w:val="18"/>
                <w:szCs w:val="18"/>
                <w:b w:val="1"/>
                <w:bCs w:val="1"/>
                <w:color w:val="auto"/>
              </w:rPr>
              <w:t>Thousands</w:t>
            </w:r>
          </w:p>
        </w:tc>
        <w:tc>
          <w:tcPr>
            <w:tcW w:w="1180" w:type="dxa"/>
            <w:vAlign w:val="bottom"/>
            <w:gridSpan w:val="3"/>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7"/>
              </w:rPr>
              <w:t>Share</w:t>
            </w:r>
          </w:p>
        </w:tc>
      </w:tr>
      <w:tr>
        <w:trPr>
          <w:trHeight w:val="198"/>
        </w:trPr>
        <w:tc>
          <w:tcPr>
            <w:tcW w:w="51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Net income</w:t>
            </w:r>
          </w:p>
        </w:tc>
        <w:tc>
          <w:tcPr>
            <w:tcW w:w="680" w:type="dxa"/>
            <w:vAlign w:val="bottom"/>
            <w:tcBorders>
              <w:top w:val="single" w:sz="8" w:color="auto"/>
            </w:tcBorders>
          </w:tcPr>
          <w:p>
            <w:pPr>
              <w:ind w:left="480"/>
              <w:spacing w:after="0" w:line="198" w:lineRule="exact"/>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top w:val="single" w:sz="8" w:color="auto"/>
            </w:tcBorders>
          </w:tcPr>
          <w:p>
            <w:pPr>
              <w:jc w:val="right"/>
              <w:spacing w:after="0" w:line="198" w:lineRule="exact"/>
              <w:rPr>
                <w:sz w:val="20"/>
                <w:szCs w:val="20"/>
                <w:color w:val="auto"/>
              </w:rPr>
            </w:pPr>
            <w:r>
              <w:rPr>
                <w:rFonts w:ascii="Times New Roman" w:cs="Times New Roman" w:eastAsia="Times New Roman" w:hAnsi="Times New Roman"/>
                <w:sz w:val="18"/>
                <w:szCs w:val="18"/>
                <w:color w:val="auto"/>
              </w:rPr>
              <w:t>4,770</w:t>
            </w: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20" w:type="dxa"/>
            <w:vAlign w:val="bottom"/>
            <w:tcBorders>
              <w:top w:val="single" w:sz="8" w:color="auto"/>
            </w:tcBorders>
          </w:tcPr>
          <w:p>
            <w:pPr>
              <w:jc w:val="right"/>
              <w:ind w:right="90"/>
              <w:spacing w:after="0" w:line="198" w:lineRule="exact"/>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top w:val="single" w:sz="8" w:color="auto"/>
            </w:tcBorders>
          </w:tcPr>
          <w:p>
            <w:pPr>
              <w:jc w:val="right"/>
              <w:spacing w:after="0" w:line="198" w:lineRule="exact"/>
              <w:rPr>
                <w:sz w:val="20"/>
                <w:szCs w:val="20"/>
                <w:color w:val="auto"/>
              </w:rPr>
            </w:pPr>
            <w:r>
              <w:rPr>
                <w:rFonts w:ascii="Times New Roman" w:cs="Times New Roman" w:eastAsia="Times New Roman" w:hAnsi="Times New Roman"/>
                <w:sz w:val="18"/>
                <w:szCs w:val="18"/>
                <w:color w:val="auto"/>
                <w:w w:val="95"/>
              </w:rPr>
              <w:t>0.28</w:t>
            </w:r>
          </w:p>
        </w:tc>
        <w:tc>
          <w:tcPr>
            <w:tcW w:w="780" w:type="dxa"/>
            <w:vAlign w:val="bottom"/>
          </w:tcPr>
          <w:p>
            <w:pPr>
              <w:spacing w:after="0"/>
              <w:rPr>
                <w:sz w:val="17"/>
                <w:szCs w:val="17"/>
                <w:color w:val="auto"/>
              </w:rPr>
            </w:pPr>
          </w:p>
        </w:tc>
        <w:tc>
          <w:tcPr>
            <w:tcW w:w="600" w:type="dxa"/>
            <w:vAlign w:val="bottom"/>
            <w:tcBorders>
              <w:top w:val="single" w:sz="8" w:color="auto"/>
            </w:tcBorders>
          </w:tcPr>
          <w:p>
            <w:pPr>
              <w:ind w:left="500"/>
              <w:spacing w:after="0" w:line="198" w:lineRule="exact"/>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top w:val="single" w:sz="8" w:color="auto"/>
            </w:tcBorders>
          </w:tcPr>
          <w:p>
            <w:pPr>
              <w:jc w:val="right"/>
              <w:spacing w:after="0" w:line="198" w:lineRule="exact"/>
              <w:rPr>
                <w:sz w:val="20"/>
                <w:szCs w:val="20"/>
                <w:color w:val="auto"/>
              </w:rPr>
            </w:pPr>
            <w:r>
              <w:rPr>
                <w:rFonts w:ascii="Times New Roman" w:cs="Times New Roman" w:eastAsia="Times New Roman" w:hAnsi="Times New Roman"/>
                <w:sz w:val="18"/>
                <w:szCs w:val="18"/>
                <w:color w:val="auto"/>
              </w:rPr>
              <w:t>7,038</w:t>
            </w:r>
          </w:p>
        </w:tc>
        <w:tc>
          <w:tcPr>
            <w:tcW w:w="320" w:type="dxa"/>
            <w:vAlign w:val="bottom"/>
          </w:tcPr>
          <w:p>
            <w:pPr>
              <w:spacing w:after="0"/>
              <w:rPr>
                <w:sz w:val="17"/>
                <w:szCs w:val="17"/>
                <w:color w:val="auto"/>
              </w:rPr>
            </w:pPr>
          </w:p>
        </w:tc>
        <w:tc>
          <w:tcPr>
            <w:tcW w:w="720" w:type="dxa"/>
            <w:vAlign w:val="bottom"/>
            <w:tcBorders>
              <w:top w:val="single" w:sz="8" w:color="auto"/>
            </w:tcBorders>
          </w:tcPr>
          <w:p>
            <w:pPr>
              <w:jc w:val="right"/>
              <w:spacing w:after="0" w:line="198" w:lineRule="exact"/>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top w:val="single" w:sz="8" w:color="auto"/>
            </w:tcBorders>
          </w:tcPr>
          <w:p>
            <w:pPr>
              <w:jc w:val="right"/>
              <w:spacing w:after="0" w:line="198" w:lineRule="exact"/>
              <w:rPr>
                <w:sz w:val="20"/>
                <w:szCs w:val="20"/>
                <w:color w:val="auto"/>
              </w:rPr>
            </w:pPr>
            <w:r>
              <w:rPr>
                <w:rFonts w:ascii="Times New Roman" w:cs="Times New Roman" w:eastAsia="Times New Roman" w:hAnsi="Times New Roman"/>
                <w:sz w:val="18"/>
                <w:szCs w:val="18"/>
                <w:color w:val="auto"/>
              </w:rPr>
              <w:t>0.41</w:t>
            </w:r>
          </w:p>
        </w:tc>
        <w:tc>
          <w:tcPr>
            <w:tcW w:w="20" w:type="dxa"/>
            <w:vAlign w:val="bottom"/>
          </w:tcPr>
          <w:p>
            <w:pPr>
              <w:spacing w:after="0"/>
              <w:rPr>
                <w:sz w:val="17"/>
                <w:szCs w:val="17"/>
                <w:color w:val="auto"/>
              </w:rPr>
            </w:pPr>
          </w:p>
        </w:tc>
      </w:tr>
      <w:tr>
        <w:trPr>
          <w:trHeight w:val="241"/>
        </w:trPr>
        <w:tc>
          <w:tcPr>
            <w:tcW w:w="5120" w:type="dxa"/>
            <w:vAlign w:val="bottom"/>
          </w:tcPr>
          <w:p>
            <w:pPr>
              <w:spacing w:after="0"/>
              <w:rPr>
                <w:sz w:val="20"/>
                <w:szCs w:val="20"/>
                <w:color w:val="auto"/>
              </w:rPr>
            </w:pPr>
            <w:r>
              <w:rPr>
                <w:rFonts w:ascii="Times New Roman" w:cs="Times New Roman" w:eastAsia="Times New Roman" w:hAnsi="Times New Roman"/>
                <w:sz w:val="18"/>
                <w:szCs w:val="18"/>
                <w:color w:val="auto"/>
              </w:rPr>
              <w:t>After-tax foreign exchange (gain) loss on inter-company loans</w:t>
            </w:r>
          </w:p>
        </w:tc>
        <w:tc>
          <w:tcPr>
            <w:tcW w:w="680" w:type="dxa"/>
            <w:vAlign w:val="bottom"/>
          </w:tcPr>
          <w:p>
            <w:pPr>
              <w:spacing w:after="0"/>
              <w:rPr>
                <w:sz w:val="20"/>
                <w:szCs w:val="20"/>
                <w:color w:val="auto"/>
              </w:rPr>
            </w:pPr>
          </w:p>
        </w:tc>
        <w:tc>
          <w:tcPr>
            <w:tcW w:w="4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(138)</w:t>
            </w:r>
          </w:p>
        </w:tc>
        <w:tc>
          <w:tcPr>
            <w:tcW w:w="300" w:type="dxa"/>
            <w:vAlign w:val="bottom"/>
          </w:tcPr>
          <w:p>
            <w:pPr>
              <w:spacing w:after="0"/>
              <w:rPr>
                <w:sz w:val="20"/>
                <w:szCs w:val="20"/>
                <w:color w:val="auto"/>
              </w:rPr>
            </w:pPr>
          </w:p>
        </w:tc>
        <w:tc>
          <w:tcPr>
            <w:tcW w:w="2020" w:type="dxa"/>
            <w:vAlign w:val="bottom"/>
            <w:gridSpan w:val="3"/>
          </w:tcPr>
          <w:p>
            <w:pPr>
              <w:jc w:val="right"/>
              <w:ind w:right="780"/>
              <w:spacing w:after="0"/>
              <w:rPr>
                <w:sz w:val="20"/>
                <w:szCs w:val="20"/>
                <w:color w:val="auto"/>
              </w:rPr>
            </w:pPr>
            <w:r>
              <w:rPr>
                <w:rFonts w:ascii="Times New Roman" w:cs="Times New Roman" w:eastAsia="Times New Roman" w:hAnsi="Times New Roman"/>
                <w:sz w:val="18"/>
                <w:szCs w:val="18"/>
                <w:color w:val="auto"/>
              </w:rPr>
              <w:t>(0.01)</w:t>
            </w:r>
          </w:p>
        </w:tc>
        <w:tc>
          <w:tcPr>
            <w:tcW w:w="600" w:type="dxa"/>
            <w:vAlign w:val="bottom"/>
          </w:tcPr>
          <w:p>
            <w:pPr>
              <w:spacing w:after="0"/>
              <w:rPr>
                <w:sz w:val="20"/>
                <w:szCs w:val="20"/>
                <w:color w:val="auto"/>
              </w:rPr>
            </w:pPr>
          </w:p>
        </w:tc>
        <w:tc>
          <w:tcPr>
            <w:tcW w:w="8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w w:val="98"/>
              </w:rPr>
              <w:t>(1,109)</w:t>
            </w:r>
          </w:p>
        </w:tc>
        <w:tc>
          <w:tcPr>
            <w:tcW w:w="720" w:type="dxa"/>
            <w:vAlign w:val="bottom"/>
          </w:tcPr>
          <w:p>
            <w:pPr>
              <w:spacing w:after="0"/>
              <w:rPr>
                <w:sz w:val="20"/>
                <w:szCs w:val="20"/>
                <w:color w:val="auto"/>
              </w:rPr>
            </w:pPr>
          </w:p>
        </w:tc>
        <w:tc>
          <w:tcPr>
            <w:tcW w:w="4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w w:val="96"/>
              </w:rPr>
              <w:t>(0.06)</w:t>
            </w:r>
          </w:p>
        </w:tc>
      </w:tr>
      <w:tr>
        <w:trPr>
          <w:trHeight w:val="216"/>
        </w:trPr>
        <w:tc>
          <w:tcPr>
            <w:tcW w:w="5120" w:type="dxa"/>
            <w:vAlign w:val="bottom"/>
          </w:tcPr>
          <w:p>
            <w:pPr>
              <w:spacing w:after="0"/>
              <w:rPr>
                <w:sz w:val="20"/>
                <w:szCs w:val="20"/>
                <w:color w:val="auto"/>
              </w:rPr>
            </w:pPr>
            <w:r>
              <w:rPr>
                <w:rFonts w:ascii="Times New Roman" w:cs="Times New Roman" w:eastAsia="Times New Roman" w:hAnsi="Times New Roman"/>
                <w:sz w:val="18"/>
                <w:szCs w:val="18"/>
                <w:color w:val="auto"/>
              </w:rPr>
              <w:t>Net income from normal operations</w:t>
            </w:r>
          </w:p>
        </w:tc>
        <w:tc>
          <w:tcPr>
            <w:tcW w:w="680" w:type="dxa"/>
            <w:vAlign w:val="bottom"/>
            <w:tcBorders>
              <w:top w:val="single" w:sz="8" w:color="auto"/>
              <w:bottom w:val="single" w:sz="8" w:color="auto"/>
            </w:tcBorders>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4,632</w:t>
            </w:r>
          </w:p>
        </w:tc>
        <w:tc>
          <w:tcPr>
            <w:tcW w:w="300" w:type="dxa"/>
            <w:vAlign w:val="bottom"/>
          </w:tcPr>
          <w:p>
            <w:pPr>
              <w:spacing w:after="0"/>
              <w:rPr>
                <w:sz w:val="18"/>
                <w:szCs w:val="18"/>
                <w:color w:val="auto"/>
              </w:rPr>
            </w:pPr>
          </w:p>
        </w:tc>
        <w:tc>
          <w:tcPr>
            <w:tcW w:w="92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0.27</w:t>
            </w:r>
          </w:p>
        </w:tc>
        <w:tc>
          <w:tcPr>
            <w:tcW w:w="780" w:type="dxa"/>
            <w:vAlign w:val="bottom"/>
          </w:tcPr>
          <w:p>
            <w:pPr>
              <w:spacing w:after="0"/>
              <w:rPr>
                <w:sz w:val="18"/>
                <w:szCs w:val="18"/>
                <w:color w:val="auto"/>
              </w:rPr>
            </w:pPr>
          </w:p>
        </w:tc>
        <w:tc>
          <w:tcPr>
            <w:tcW w:w="600" w:type="dxa"/>
            <w:vAlign w:val="bottom"/>
            <w:tcBorders>
              <w:top w:val="single" w:sz="8" w:color="auto"/>
              <w:bottom w:val="single" w:sz="8" w:color="auto"/>
            </w:tcBorders>
          </w:tcPr>
          <w:p>
            <w:pPr>
              <w:ind w:left="500"/>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5,929</w:t>
            </w:r>
          </w:p>
        </w:tc>
        <w:tc>
          <w:tcPr>
            <w:tcW w:w="320" w:type="dxa"/>
            <w:vAlign w:val="bottom"/>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0.35</w:t>
            </w:r>
          </w:p>
        </w:tc>
        <w:tc>
          <w:tcPr>
            <w:tcW w:w="20" w:type="dxa"/>
            <w:vAlign w:val="bottom"/>
          </w:tcPr>
          <w:p>
            <w:pPr>
              <w:spacing w:after="0"/>
              <w:rPr>
                <w:sz w:val="18"/>
                <w:szCs w:val="18"/>
                <w:color w:val="auto"/>
              </w:rPr>
            </w:pPr>
          </w:p>
        </w:tc>
      </w:tr>
      <w:tr>
        <w:trPr>
          <w:trHeight w:val="21"/>
        </w:trPr>
        <w:tc>
          <w:tcPr>
            <w:tcW w:w="51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760" w:type="dxa"/>
            <w:vAlign w:val="bottom"/>
            <w:gridSpan w:val="4"/>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w w:val="99"/>
              </w:rPr>
              <w:t>Six Months Ended</w:t>
            </w: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40" w:type="dxa"/>
            <w:vAlign w:val="bottom"/>
            <w:gridSpan w:val="4"/>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9"/>
              </w:rPr>
              <w:t>Six Months Ended</w:t>
            </w:r>
          </w:p>
        </w:tc>
      </w:tr>
      <w:tr>
        <w:trPr>
          <w:trHeight w:val="216"/>
        </w:trPr>
        <w:tc>
          <w:tcPr>
            <w:tcW w:w="5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760" w:type="dxa"/>
            <w:vAlign w:val="bottom"/>
            <w:gridSpan w:val="4"/>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June 30, 2013</w:t>
            </w: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40" w:type="dxa"/>
            <w:vAlign w:val="bottom"/>
            <w:gridSpan w:val="4"/>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w w:val="99"/>
              </w:rPr>
              <w:t>June 30, 2012</w:t>
            </w:r>
          </w:p>
        </w:tc>
      </w:tr>
      <w:tr>
        <w:trPr>
          <w:trHeight w:val="216"/>
        </w:trPr>
        <w:tc>
          <w:tcPr>
            <w:tcW w:w="5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tcPr>
          <w:p>
            <w:pPr>
              <w:jc w:val="center"/>
              <w:ind w:left="230"/>
              <w:spacing w:after="0"/>
              <w:rPr>
                <w:sz w:val="20"/>
                <w:szCs w:val="20"/>
                <w:color w:val="auto"/>
              </w:rPr>
            </w:pPr>
            <w:r>
              <w:rPr>
                <w:rFonts w:ascii="Times New Roman" w:cs="Times New Roman" w:eastAsia="Times New Roman" w:hAnsi="Times New Roman"/>
                <w:sz w:val="18"/>
                <w:szCs w:val="18"/>
                <w:b w:val="1"/>
                <w:bCs w:val="1"/>
                <w:color w:val="auto"/>
                <w:w w:val="98"/>
              </w:rPr>
              <w:t>Diluted</w:t>
            </w: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8"/>
              </w:rPr>
              <w:t>Diluted</w:t>
            </w:r>
          </w:p>
        </w:tc>
      </w:tr>
      <w:tr>
        <w:trPr>
          <w:trHeight w:val="216"/>
        </w:trPr>
        <w:tc>
          <w:tcPr>
            <w:tcW w:w="5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20" w:type="dxa"/>
            <w:vAlign w:val="bottom"/>
            <w:gridSpan w:val="3"/>
          </w:tcPr>
          <w:p>
            <w:pPr>
              <w:jc w:val="center"/>
              <w:ind w:right="800"/>
              <w:spacing w:after="0"/>
              <w:rPr>
                <w:sz w:val="20"/>
                <w:szCs w:val="20"/>
                <w:color w:val="auto"/>
              </w:rPr>
            </w:pPr>
            <w:r>
              <w:rPr>
                <w:rFonts w:ascii="Times New Roman" w:cs="Times New Roman" w:eastAsia="Times New Roman" w:hAnsi="Times New Roman"/>
                <w:sz w:val="18"/>
                <w:szCs w:val="18"/>
                <w:b w:val="1"/>
                <w:bCs w:val="1"/>
                <w:color w:val="auto"/>
                <w:w w:val="99"/>
              </w:rPr>
              <w:t>Earnings</w:t>
            </w:r>
          </w:p>
        </w:tc>
        <w:tc>
          <w:tcPr>
            <w:tcW w:w="1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Earnings</w:t>
            </w:r>
          </w:p>
        </w:tc>
      </w:tr>
      <w:tr>
        <w:trPr>
          <w:trHeight w:val="216"/>
        </w:trPr>
        <w:tc>
          <w:tcPr>
            <w:tcW w:w="5120" w:type="dxa"/>
            <w:vAlign w:val="bottom"/>
          </w:tcPr>
          <w:p>
            <w:pPr>
              <w:spacing w:after="0"/>
              <w:rPr>
                <w:sz w:val="18"/>
                <w:szCs w:val="18"/>
                <w:color w:val="auto"/>
              </w:rPr>
            </w:pPr>
          </w:p>
        </w:tc>
        <w:tc>
          <w:tcPr>
            <w:tcW w:w="1440" w:type="dxa"/>
            <w:vAlign w:val="bottom"/>
            <w:gridSpan w:val="4"/>
          </w:tcPr>
          <w:p>
            <w:pPr>
              <w:ind w:left="460"/>
              <w:spacing w:after="0"/>
              <w:rPr>
                <w:sz w:val="20"/>
                <w:szCs w:val="20"/>
                <w:color w:val="auto"/>
              </w:rPr>
            </w:pPr>
            <w:r>
              <w:rPr>
                <w:rFonts w:ascii="Times New Roman" w:cs="Times New Roman" w:eastAsia="Times New Roman" w:hAnsi="Times New Roman"/>
                <w:sz w:val="18"/>
                <w:szCs w:val="18"/>
                <w:b w:val="1"/>
                <w:bCs w:val="1"/>
                <w:color w:val="auto"/>
              </w:rPr>
              <w:t>In</w:t>
            </w:r>
          </w:p>
        </w:tc>
        <w:tc>
          <w:tcPr>
            <w:tcW w:w="920" w:type="dxa"/>
            <w:vAlign w:val="bottom"/>
          </w:tcPr>
          <w:p>
            <w:pPr>
              <w:jc w:val="center"/>
              <w:ind w:left="270"/>
              <w:spacing w:after="0"/>
              <w:rPr>
                <w:sz w:val="20"/>
                <w:szCs w:val="20"/>
                <w:color w:val="auto"/>
              </w:rPr>
            </w:pPr>
            <w:r>
              <w:rPr>
                <w:rFonts w:ascii="Times New Roman" w:cs="Times New Roman" w:eastAsia="Times New Roman" w:hAnsi="Times New Roman"/>
                <w:sz w:val="18"/>
                <w:szCs w:val="18"/>
                <w:b w:val="1"/>
                <w:bCs w:val="1"/>
                <w:color w:val="auto"/>
              </w:rPr>
              <w:t>Per</w:t>
            </w: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In</w:t>
            </w:r>
          </w:p>
        </w:tc>
        <w:tc>
          <w:tcPr>
            <w:tcW w:w="118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rPr>
              <w:t>Per</w:t>
            </w:r>
          </w:p>
        </w:tc>
      </w:tr>
      <w:tr>
        <w:trPr>
          <w:trHeight w:val="245"/>
        </w:trPr>
        <w:tc>
          <w:tcPr>
            <w:tcW w:w="5120" w:type="dxa"/>
            <w:vAlign w:val="bottom"/>
          </w:tcPr>
          <w:p>
            <w:pPr>
              <w:spacing w:after="0"/>
              <w:rPr>
                <w:sz w:val="21"/>
                <w:szCs w:val="21"/>
                <w:color w:val="auto"/>
              </w:rPr>
            </w:pPr>
          </w:p>
        </w:tc>
        <w:tc>
          <w:tcPr>
            <w:tcW w:w="1440" w:type="dxa"/>
            <w:vAlign w:val="bottom"/>
            <w:gridSpan w:val="4"/>
          </w:tcPr>
          <w:p>
            <w:pPr>
              <w:ind w:left="140"/>
              <w:spacing w:after="0"/>
              <w:rPr>
                <w:sz w:val="20"/>
                <w:szCs w:val="20"/>
                <w:color w:val="auto"/>
              </w:rPr>
            </w:pPr>
            <w:r>
              <w:rPr>
                <w:rFonts w:ascii="Times New Roman" w:cs="Times New Roman" w:eastAsia="Times New Roman" w:hAnsi="Times New Roman"/>
                <w:sz w:val="18"/>
                <w:szCs w:val="18"/>
                <w:b w:val="1"/>
                <w:bCs w:val="1"/>
                <w:color w:val="auto"/>
              </w:rPr>
              <w:t>Thousands</w:t>
            </w:r>
          </w:p>
        </w:tc>
        <w:tc>
          <w:tcPr>
            <w:tcW w:w="920" w:type="dxa"/>
            <w:vAlign w:val="bottom"/>
          </w:tcPr>
          <w:p>
            <w:pPr>
              <w:jc w:val="center"/>
              <w:ind w:left="230"/>
              <w:spacing w:after="0"/>
              <w:rPr>
                <w:sz w:val="20"/>
                <w:szCs w:val="20"/>
                <w:color w:val="auto"/>
              </w:rPr>
            </w:pPr>
            <w:r>
              <w:rPr>
                <w:rFonts w:ascii="Times New Roman" w:cs="Times New Roman" w:eastAsia="Times New Roman" w:hAnsi="Times New Roman"/>
                <w:sz w:val="18"/>
                <w:szCs w:val="18"/>
                <w:b w:val="1"/>
                <w:bCs w:val="1"/>
                <w:color w:val="auto"/>
                <w:w w:val="97"/>
              </w:rPr>
              <w:t>Share</w:t>
            </w:r>
          </w:p>
        </w:tc>
        <w:tc>
          <w:tcPr>
            <w:tcW w:w="3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46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Thousands</w:t>
            </w:r>
          </w:p>
        </w:tc>
        <w:tc>
          <w:tcPr>
            <w:tcW w:w="118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7"/>
              </w:rPr>
              <w:t>Share</w:t>
            </w:r>
          </w:p>
        </w:tc>
      </w:tr>
      <w:tr>
        <w:trPr>
          <w:trHeight w:val="198"/>
        </w:trPr>
        <w:tc>
          <w:tcPr>
            <w:tcW w:w="51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Net income</w:t>
            </w:r>
          </w:p>
        </w:tc>
        <w:tc>
          <w:tcPr>
            <w:tcW w:w="600" w:type="dxa"/>
            <w:vAlign w:val="bottom"/>
            <w:tcBorders>
              <w:top w:val="single" w:sz="8" w:color="auto"/>
            </w:tcBorders>
          </w:tcPr>
          <w:p>
            <w:pPr>
              <w:ind w:left="480"/>
              <w:spacing w:after="0" w:line="198" w:lineRule="exact"/>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top w:val="single" w:sz="8" w:color="auto"/>
            </w:tcBorders>
          </w:tcPr>
          <w:p>
            <w:pPr>
              <w:jc w:val="right"/>
              <w:spacing w:after="0" w:line="198" w:lineRule="exact"/>
              <w:rPr>
                <w:sz w:val="20"/>
                <w:szCs w:val="20"/>
                <w:color w:val="auto"/>
              </w:rPr>
            </w:pPr>
            <w:r>
              <w:rPr>
                <w:rFonts w:ascii="Times New Roman" w:cs="Times New Roman" w:eastAsia="Times New Roman" w:hAnsi="Times New Roman"/>
                <w:sz w:val="18"/>
                <w:szCs w:val="18"/>
                <w:color w:val="auto"/>
              </w:rPr>
              <w:t>7,641</w:t>
            </w: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20" w:type="dxa"/>
            <w:vAlign w:val="bottom"/>
            <w:tcBorders>
              <w:top w:val="single" w:sz="8" w:color="auto"/>
            </w:tcBorders>
          </w:tcPr>
          <w:p>
            <w:pPr>
              <w:jc w:val="right"/>
              <w:ind w:right="90"/>
              <w:spacing w:after="0" w:line="198" w:lineRule="exact"/>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top w:val="single" w:sz="8" w:color="auto"/>
            </w:tcBorders>
          </w:tcPr>
          <w:p>
            <w:pPr>
              <w:jc w:val="right"/>
              <w:spacing w:after="0" w:line="198" w:lineRule="exact"/>
              <w:rPr>
                <w:sz w:val="20"/>
                <w:szCs w:val="20"/>
                <w:color w:val="auto"/>
              </w:rPr>
            </w:pPr>
            <w:r>
              <w:rPr>
                <w:rFonts w:ascii="Times New Roman" w:cs="Times New Roman" w:eastAsia="Times New Roman" w:hAnsi="Times New Roman"/>
                <w:sz w:val="18"/>
                <w:szCs w:val="18"/>
                <w:color w:val="auto"/>
                <w:w w:val="95"/>
              </w:rPr>
              <w:t>0.45</w:t>
            </w:r>
          </w:p>
        </w:tc>
        <w:tc>
          <w:tcPr>
            <w:tcW w:w="780" w:type="dxa"/>
            <w:vAlign w:val="bottom"/>
          </w:tcPr>
          <w:p>
            <w:pPr>
              <w:spacing w:after="0"/>
              <w:rPr>
                <w:sz w:val="17"/>
                <w:szCs w:val="17"/>
                <w:color w:val="auto"/>
              </w:rPr>
            </w:pPr>
          </w:p>
        </w:tc>
        <w:tc>
          <w:tcPr>
            <w:tcW w:w="1140" w:type="dxa"/>
            <w:vAlign w:val="bottom"/>
            <w:tcBorders>
              <w:top w:val="single" w:sz="8" w:color="auto"/>
            </w:tcBorders>
          </w:tcPr>
          <w:p>
            <w:pPr>
              <w:jc w:val="right"/>
              <w:spacing w:after="0" w:line="198" w:lineRule="exact"/>
              <w:rPr>
                <w:sz w:val="20"/>
                <w:szCs w:val="20"/>
                <w:color w:val="auto"/>
              </w:rPr>
            </w:pPr>
            <w:r>
              <w:rPr>
                <w:rFonts w:ascii="Times New Roman" w:cs="Times New Roman" w:eastAsia="Times New Roman" w:hAnsi="Times New Roman"/>
                <w:sz w:val="18"/>
                <w:szCs w:val="18"/>
                <w:color w:val="auto"/>
              </w:rPr>
              <w:t>$ 12,947</w:t>
            </w:r>
          </w:p>
        </w:tc>
        <w:tc>
          <w:tcPr>
            <w:tcW w:w="320" w:type="dxa"/>
            <w:vAlign w:val="bottom"/>
          </w:tcPr>
          <w:p>
            <w:pPr>
              <w:spacing w:after="0"/>
              <w:rPr>
                <w:sz w:val="17"/>
                <w:szCs w:val="17"/>
                <w:color w:val="auto"/>
              </w:rPr>
            </w:pPr>
          </w:p>
        </w:tc>
        <w:tc>
          <w:tcPr>
            <w:tcW w:w="1160" w:type="dxa"/>
            <w:vAlign w:val="bottom"/>
            <w:tcBorders>
              <w:top w:val="single" w:sz="8" w:color="auto"/>
            </w:tcBorders>
          </w:tcPr>
          <w:p>
            <w:pPr>
              <w:jc w:val="right"/>
              <w:spacing w:after="0" w:line="198" w:lineRule="exact"/>
              <w:rPr>
                <w:sz w:val="20"/>
                <w:szCs w:val="20"/>
                <w:color w:val="auto"/>
              </w:rPr>
            </w:pPr>
            <w:r>
              <w:rPr>
                <w:rFonts w:ascii="Times New Roman" w:cs="Times New Roman" w:eastAsia="Times New Roman" w:hAnsi="Times New Roman"/>
                <w:sz w:val="18"/>
                <w:szCs w:val="18"/>
                <w:color w:val="auto"/>
              </w:rPr>
              <w:t>$ 0.76</w:t>
            </w:r>
          </w:p>
        </w:tc>
        <w:tc>
          <w:tcPr>
            <w:tcW w:w="20" w:type="dxa"/>
            <w:vAlign w:val="bottom"/>
          </w:tcPr>
          <w:p>
            <w:pPr>
              <w:spacing w:after="0"/>
              <w:rPr>
                <w:sz w:val="17"/>
                <w:szCs w:val="17"/>
                <w:color w:val="auto"/>
              </w:rPr>
            </w:pPr>
          </w:p>
        </w:tc>
      </w:tr>
      <w:tr>
        <w:trPr>
          <w:trHeight w:val="216"/>
        </w:trPr>
        <w:tc>
          <w:tcPr>
            <w:tcW w:w="5120" w:type="dxa"/>
            <w:vAlign w:val="bottom"/>
          </w:tcPr>
          <w:p>
            <w:pPr>
              <w:spacing w:after="0"/>
              <w:rPr>
                <w:sz w:val="20"/>
                <w:szCs w:val="20"/>
                <w:color w:val="auto"/>
              </w:rPr>
            </w:pPr>
            <w:r>
              <w:rPr>
                <w:rFonts w:ascii="Times New Roman" w:cs="Times New Roman" w:eastAsia="Times New Roman" w:hAnsi="Times New Roman"/>
                <w:sz w:val="18"/>
                <w:szCs w:val="18"/>
                <w:color w:val="auto"/>
              </w:rPr>
              <w:t>After-tax foreign exchange (gain) loss on inter-company loans</w:t>
            </w:r>
          </w:p>
        </w:tc>
        <w:tc>
          <w:tcPr>
            <w:tcW w:w="600" w:type="dxa"/>
            <w:vAlign w:val="bottom"/>
          </w:tcPr>
          <w:p>
            <w:pPr>
              <w:spacing w:after="0"/>
              <w:rPr>
                <w:sz w:val="18"/>
                <w:szCs w:val="18"/>
                <w:color w:val="auto"/>
              </w:rPr>
            </w:pPr>
          </w:p>
        </w:tc>
        <w:tc>
          <w:tcPr>
            <w:tcW w:w="5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212</w:t>
            </w:r>
          </w:p>
        </w:tc>
        <w:tc>
          <w:tcPr>
            <w:tcW w:w="3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100" w:type="dxa"/>
            <w:vAlign w:val="bottom"/>
            <w:gridSpan w:val="2"/>
          </w:tcPr>
          <w:p>
            <w:pPr>
              <w:jc w:val="right"/>
              <w:ind w:right="780"/>
              <w:spacing w:after="0"/>
              <w:rPr>
                <w:sz w:val="20"/>
                <w:szCs w:val="20"/>
                <w:color w:val="auto"/>
              </w:rPr>
            </w:pPr>
            <w:r>
              <w:rPr>
                <w:rFonts w:ascii="Times New Roman" w:cs="Times New Roman" w:eastAsia="Times New Roman" w:hAnsi="Times New Roman"/>
                <w:sz w:val="18"/>
                <w:szCs w:val="18"/>
                <w:color w:val="auto"/>
                <w:w w:val="95"/>
              </w:rPr>
              <w:t>0.01</w:t>
            </w:r>
          </w:p>
        </w:tc>
        <w:tc>
          <w:tcPr>
            <w:tcW w:w="14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(376)</w:t>
            </w:r>
          </w:p>
        </w:tc>
        <w:tc>
          <w:tcPr>
            <w:tcW w:w="1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(0.02)</w:t>
            </w:r>
          </w:p>
        </w:tc>
      </w:tr>
      <w:tr>
        <w:trPr>
          <w:trHeight w:val="241"/>
        </w:trPr>
        <w:tc>
          <w:tcPr>
            <w:tcW w:w="5120" w:type="dxa"/>
            <w:vAlign w:val="bottom"/>
          </w:tcPr>
          <w:p>
            <w:pPr>
              <w:spacing w:after="0"/>
              <w:rPr>
                <w:sz w:val="20"/>
                <w:szCs w:val="20"/>
                <w:color w:val="auto"/>
              </w:rPr>
            </w:pPr>
            <w:r>
              <w:rPr>
                <w:rFonts w:ascii="Times New Roman" w:cs="Times New Roman" w:eastAsia="Times New Roman" w:hAnsi="Times New Roman"/>
                <w:sz w:val="18"/>
                <w:szCs w:val="18"/>
                <w:color w:val="auto"/>
              </w:rPr>
              <w:t>After-tax restructuring and other non-recurring items</w:t>
            </w:r>
          </w:p>
        </w:tc>
        <w:tc>
          <w:tcPr>
            <w:tcW w:w="600" w:type="dxa"/>
            <w:vAlign w:val="bottom"/>
          </w:tcPr>
          <w:p>
            <w:pPr>
              <w:spacing w:after="0"/>
              <w:rPr>
                <w:sz w:val="20"/>
                <w:szCs w:val="20"/>
                <w:color w:val="auto"/>
              </w:rPr>
            </w:pPr>
          </w:p>
        </w:tc>
        <w:tc>
          <w:tcPr>
            <w:tcW w:w="5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399</w:t>
            </w:r>
          </w:p>
        </w:tc>
        <w:tc>
          <w:tcPr>
            <w:tcW w:w="3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100" w:type="dxa"/>
            <w:vAlign w:val="bottom"/>
            <w:gridSpan w:val="2"/>
          </w:tcPr>
          <w:p>
            <w:pPr>
              <w:jc w:val="right"/>
              <w:ind w:right="780"/>
              <w:spacing w:after="0"/>
              <w:rPr>
                <w:sz w:val="20"/>
                <w:szCs w:val="20"/>
                <w:color w:val="auto"/>
              </w:rPr>
            </w:pPr>
            <w:r>
              <w:rPr>
                <w:rFonts w:ascii="Times New Roman" w:cs="Times New Roman" w:eastAsia="Times New Roman" w:hAnsi="Times New Roman"/>
                <w:sz w:val="18"/>
                <w:szCs w:val="18"/>
                <w:color w:val="auto"/>
                <w:w w:val="95"/>
              </w:rPr>
              <w:t>0.02</w:t>
            </w:r>
          </w:p>
        </w:tc>
        <w:tc>
          <w:tcPr>
            <w:tcW w:w="14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120" w:type="dxa"/>
            <w:vAlign w:val="bottom"/>
          </w:tcPr>
          <w:p>
            <w:pPr>
              <w:spacing w:after="0"/>
              <w:rPr>
                <w:sz w:val="20"/>
                <w:szCs w:val="20"/>
                <w:color w:val="auto"/>
              </w:rPr>
            </w:pPr>
            <w:r>
              <w:rPr>
                <w:rFonts w:ascii="Times New Roman" w:cs="Times New Roman" w:eastAsia="Times New Roman" w:hAnsi="Times New Roman"/>
                <w:sz w:val="18"/>
                <w:szCs w:val="18"/>
                <w:color w:val="auto"/>
              </w:rPr>
              <w:t>Net income from normal operations</w:t>
            </w:r>
          </w:p>
        </w:tc>
        <w:tc>
          <w:tcPr>
            <w:tcW w:w="600" w:type="dxa"/>
            <w:vAlign w:val="bottom"/>
            <w:tcBorders>
              <w:top w:val="single" w:sz="8" w:color="auto"/>
              <w:bottom w:val="single" w:sz="8" w:color="auto"/>
            </w:tcBorders>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8,252</w:t>
            </w:r>
          </w:p>
        </w:tc>
        <w:tc>
          <w:tcPr>
            <w:tcW w:w="300" w:type="dxa"/>
            <w:vAlign w:val="bottom"/>
          </w:tcPr>
          <w:p>
            <w:pPr>
              <w:spacing w:after="0"/>
              <w:rPr>
                <w:sz w:val="18"/>
                <w:szCs w:val="18"/>
                <w:color w:val="auto"/>
              </w:rPr>
            </w:pPr>
          </w:p>
        </w:tc>
        <w:tc>
          <w:tcPr>
            <w:tcW w:w="92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0.48</w:t>
            </w:r>
          </w:p>
        </w:tc>
        <w:tc>
          <w:tcPr>
            <w:tcW w:w="780" w:type="dxa"/>
            <w:vAlign w:val="bottom"/>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$ 12,571</w:t>
            </w:r>
          </w:p>
        </w:tc>
        <w:tc>
          <w:tcPr>
            <w:tcW w:w="320" w:type="dxa"/>
            <w:vAlign w:val="bottom"/>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0.74</w:t>
            </w:r>
          </w:p>
        </w:tc>
        <w:tc>
          <w:tcPr>
            <w:tcW w:w="20" w:type="dxa"/>
            <w:vAlign w:val="bottom"/>
          </w:tcPr>
          <w:p>
            <w:pPr>
              <w:spacing w:after="0"/>
              <w:rPr>
                <w:sz w:val="18"/>
                <w:szCs w:val="18"/>
                <w:color w:val="auto"/>
              </w:rPr>
            </w:pPr>
          </w:p>
        </w:tc>
      </w:tr>
      <w:tr>
        <w:trPr>
          <w:trHeight w:val="21"/>
        </w:trPr>
        <w:tc>
          <w:tcPr>
            <w:tcW w:w="51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68"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Company’s management evaluates operating performance excluding unusual and/or nonrecurring items. The Company believes excluding such items provides a more effective and comparable measure of performance and a clearer view of underlying trends. Since net income excluding these items is not a measure calculated in accordance with GAAP, this should not be considered as a substitute for other GAAP measures, including net income, as an indicator of performance. Accordingly, net income/loss excluding the above items is reconciled to net income/loss on a GAAP basis.</w:t>
      </w:r>
    </w:p>
    <w:sectPr>
      <w:pgSz w:w="11900" w:h="16838" w:orient="portrait"/>
      <w:cols w:equalWidth="0" w:num="1">
        <w:col w:w="11400"/>
      </w:cols>
      <w:pgMar w:left="240" w:top="1440"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2019-12-06T11:03:48Z</dcterms:created>
  <dcterms:modified xsi:type="dcterms:W3CDTF">2019-12-06T11:03:48Z</dcterms:modified>
</cp:coreProperties>
</file>