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148590</wp:posOffset>
            </wp:positionH>
            <wp:positionV relativeFrom="page">
              <wp:posOffset>249555</wp:posOffset>
            </wp:positionV>
            <wp:extent cx="726440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36195"/>
                    </a:xfrm>
                    <a:prstGeom prst="rect">
                      <a:avLst/>
                    </a:prstGeom>
                    <a:noFill/>
                  </pic:spPr>
                </pic:pic>
              </a:graphicData>
            </a:graphic>
          </wp:anchor>
        </w:drawing>
        <w:t>UNITED STATES</w:t>
      </w:r>
    </w:p>
    <w:p>
      <w:pPr>
        <w:spacing w:after="0" w:line="22" w:lineRule="exact"/>
        <w:rPr>
          <w:sz w:val="24"/>
          <w:szCs w:val="24"/>
          <w:color w:val="auto"/>
        </w:rPr>
      </w:pPr>
    </w:p>
    <w:p>
      <w:pPr>
        <w:jc w:val="center"/>
        <w:ind w:right="-779"/>
        <w:spacing w:after="0"/>
        <w:rPr>
          <w:sz w:val="20"/>
          <w:szCs w:val="20"/>
          <w:color w:val="auto"/>
        </w:rPr>
      </w:pPr>
      <w:r>
        <w:rPr>
          <w:rFonts w:ascii="Arial" w:cs="Arial" w:eastAsia="Arial" w:hAnsi="Arial"/>
          <w:sz w:val="23"/>
          <w:szCs w:val="23"/>
          <w:color w:val="auto"/>
        </w:rPr>
        <w:t>SECURITIES AND EXCHANGE COMMISSION</w:t>
      </w:r>
    </w:p>
    <w:p>
      <w:pPr>
        <w:ind w:left="4800"/>
        <w:spacing w:after="0"/>
        <w:rPr>
          <w:sz w:val="20"/>
          <w:szCs w:val="20"/>
          <w:color w:val="auto"/>
        </w:rPr>
      </w:pPr>
      <w:r>
        <w:rPr>
          <w:rFonts w:ascii="Arial" w:cs="Arial" w:eastAsia="Arial" w:hAnsi="Arial"/>
          <w:sz w:val="20"/>
          <w:szCs w:val="20"/>
          <w:color w:val="auto"/>
        </w:rPr>
        <w:t>Washington, DC 20549</w:t>
      </w:r>
    </w:p>
    <w:p>
      <w:pPr>
        <w:spacing w:after="0" w:line="396" w:lineRule="exact"/>
        <w:rPr>
          <w:sz w:val="24"/>
          <w:szCs w:val="24"/>
          <w:color w:val="auto"/>
        </w:rPr>
      </w:pPr>
    </w:p>
    <w:p>
      <w:pPr>
        <w:ind w:left="5000"/>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65" w:lineRule="exact"/>
        <w:rPr>
          <w:sz w:val="24"/>
          <w:szCs w:val="24"/>
          <w:color w:val="auto"/>
        </w:rPr>
      </w:pPr>
    </w:p>
    <w:p>
      <w:pPr>
        <w:ind w:left="5000"/>
        <w:spacing w:after="0"/>
        <w:rPr>
          <w:sz w:val="20"/>
          <w:szCs w:val="20"/>
          <w:color w:val="auto"/>
        </w:rPr>
      </w:pPr>
      <w:r>
        <w:rPr>
          <w:rFonts w:ascii="Arial" w:cs="Arial" w:eastAsia="Arial" w:hAnsi="Arial"/>
          <w:sz w:val="16"/>
          <w:szCs w:val="16"/>
          <w:color w:val="auto"/>
        </w:rPr>
        <w:t>CURRENT REPORT</w:t>
      </w:r>
    </w:p>
    <w:p>
      <w:pPr>
        <w:spacing w:after="0" w:line="200" w:lineRule="exact"/>
        <w:rPr>
          <w:sz w:val="24"/>
          <w:szCs w:val="24"/>
          <w:color w:val="auto"/>
        </w:rPr>
      </w:pPr>
    </w:p>
    <w:p>
      <w:pPr>
        <w:spacing w:after="0" w:line="253" w:lineRule="exact"/>
        <w:rPr>
          <w:sz w:val="24"/>
          <w:szCs w:val="24"/>
          <w:color w:val="auto"/>
        </w:rPr>
      </w:pPr>
    </w:p>
    <w:p>
      <w:pPr>
        <w:ind w:left="2600"/>
        <w:spacing w:after="0"/>
        <w:rPr>
          <w:sz w:val="20"/>
          <w:szCs w:val="20"/>
          <w:color w:val="auto"/>
        </w:rPr>
      </w:pPr>
      <w:r>
        <w:rPr>
          <w:rFonts w:ascii="Arial" w:cs="Arial" w:eastAsia="Arial" w:hAnsi="Arial"/>
          <w:sz w:val="16"/>
          <w:szCs w:val="16"/>
          <w:color w:val="auto"/>
        </w:rPr>
        <w:t>PURSUANT TO SECTION 13 OR 15(d) OF THE SECURITIES EXCHANGE ACT OF 1934</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Date of Report (Date of earliest event reported): September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3375660</wp:posOffset>
            </wp:positionH>
            <wp:positionV relativeFrom="paragraph">
              <wp:posOffset>155575</wp:posOffset>
            </wp:positionV>
            <wp:extent cx="513715" cy="505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3715" cy="505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4920"/>
        <w:spacing w:after="0"/>
        <w:rPr>
          <w:sz w:val="20"/>
          <w:szCs w:val="20"/>
          <w:color w:val="auto"/>
        </w:rPr>
      </w:pPr>
      <w:r>
        <w:rPr>
          <w:rFonts w:ascii="Arial" w:cs="Arial" w:eastAsia="Arial" w:hAnsi="Arial"/>
          <w:sz w:val="39"/>
          <w:szCs w:val="39"/>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354330</wp:posOffset>
            </wp:positionV>
            <wp:extent cx="72745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tbl>
      <w:tblPr>
        <w:tblLayout w:type="fixed"/>
        <w:tblInd w:w="460" w:type="dxa"/>
        <w:tblCellMar>
          <w:top w:w="0" w:type="dxa"/>
          <w:left w:w="0" w:type="dxa"/>
          <w:bottom w:w="0" w:type="dxa"/>
          <w:right w:w="0" w:type="dxa"/>
        </w:tblCellMar>
      </w:tblPr>
      <w:tr>
        <w:trPr>
          <w:trHeight w:val="208"/>
        </w:trPr>
        <w:tc>
          <w:tcPr>
            <w:tcW w:w="3220" w:type="dxa"/>
            <w:vAlign w:val="bottom"/>
          </w:tcPr>
          <w:p>
            <w:pPr>
              <w:spacing w:after="0"/>
              <w:rPr>
                <w:sz w:val="18"/>
                <w:szCs w:val="18"/>
                <w:color w:val="auto"/>
              </w:rPr>
            </w:pPr>
          </w:p>
        </w:tc>
        <w:tc>
          <w:tcPr>
            <w:tcW w:w="4220" w:type="dxa"/>
            <w:vAlign w:val="bottom"/>
          </w:tcPr>
          <w:p>
            <w:pPr>
              <w:jc w:val="center"/>
              <w:ind w:right="78"/>
              <w:spacing w:after="0"/>
              <w:rPr>
                <w:sz w:val="20"/>
                <w:szCs w:val="20"/>
                <w:color w:val="auto"/>
              </w:rPr>
            </w:pPr>
            <w:r>
              <w:rPr>
                <w:rFonts w:ascii="Arial" w:cs="Arial" w:eastAsia="Arial" w:hAnsi="Arial"/>
                <w:sz w:val="16"/>
                <w:szCs w:val="16"/>
                <w:color w:val="auto"/>
                <w:w w:val="92"/>
              </w:rPr>
              <w:t>(Exact name of registrant as specified in its charter)</w:t>
            </w:r>
          </w:p>
        </w:tc>
        <w:tc>
          <w:tcPr>
            <w:tcW w:w="2740" w:type="dxa"/>
            <w:vAlign w:val="bottom"/>
          </w:tcPr>
          <w:p>
            <w:pPr>
              <w:spacing w:after="0"/>
              <w:rPr>
                <w:sz w:val="18"/>
                <w:szCs w:val="18"/>
                <w:color w:val="auto"/>
              </w:rPr>
            </w:pPr>
          </w:p>
        </w:tc>
      </w:tr>
      <w:tr>
        <w:trPr>
          <w:trHeight w:val="626"/>
        </w:trPr>
        <w:tc>
          <w:tcPr>
            <w:tcW w:w="3220" w:type="dxa"/>
            <w:vAlign w:val="bottom"/>
          </w:tcPr>
          <w:p>
            <w:pPr>
              <w:jc w:val="center"/>
              <w:ind w:right="238"/>
              <w:spacing w:after="0"/>
              <w:rPr>
                <w:sz w:val="20"/>
                <w:szCs w:val="20"/>
                <w:color w:val="auto"/>
              </w:rPr>
            </w:pPr>
            <w:r>
              <w:rPr>
                <w:rFonts w:ascii="Arial" w:cs="Arial" w:eastAsia="Arial" w:hAnsi="Arial"/>
                <w:sz w:val="16"/>
                <w:szCs w:val="16"/>
                <w:b w:val="1"/>
                <w:bCs w:val="1"/>
                <w:color w:val="auto"/>
                <w:w w:val="93"/>
              </w:rPr>
              <w:t>Delaware</w:t>
            </w:r>
          </w:p>
        </w:tc>
        <w:tc>
          <w:tcPr>
            <w:tcW w:w="4220" w:type="dxa"/>
            <w:vAlign w:val="bottom"/>
          </w:tcPr>
          <w:p>
            <w:pPr>
              <w:jc w:val="center"/>
              <w:ind w:right="78"/>
              <w:spacing w:after="0"/>
              <w:rPr>
                <w:sz w:val="20"/>
                <w:szCs w:val="20"/>
                <w:color w:val="auto"/>
              </w:rPr>
            </w:pPr>
            <w:r>
              <w:rPr>
                <w:rFonts w:ascii="Arial" w:cs="Arial" w:eastAsia="Arial" w:hAnsi="Arial"/>
                <w:sz w:val="16"/>
                <w:szCs w:val="16"/>
                <w:b w:val="1"/>
                <w:bCs w:val="1"/>
                <w:color w:val="auto"/>
                <w:w w:val="91"/>
              </w:rPr>
              <w:t>0-23486</w:t>
            </w:r>
          </w:p>
        </w:tc>
        <w:tc>
          <w:tcPr>
            <w:tcW w:w="2740" w:type="dxa"/>
            <w:vAlign w:val="bottom"/>
          </w:tcPr>
          <w:p>
            <w:pPr>
              <w:jc w:val="right"/>
              <w:ind w:right="638"/>
              <w:spacing w:after="0"/>
              <w:rPr>
                <w:sz w:val="20"/>
                <w:szCs w:val="20"/>
                <w:color w:val="auto"/>
              </w:rPr>
            </w:pPr>
            <w:r>
              <w:rPr>
                <w:rFonts w:ascii="Arial" w:cs="Arial" w:eastAsia="Arial" w:hAnsi="Arial"/>
                <w:sz w:val="16"/>
                <w:szCs w:val="16"/>
                <w:b w:val="1"/>
                <w:bCs w:val="1"/>
                <w:color w:val="auto"/>
              </w:rPr>
              <w:t>62-1096725</w:t>
            </w:r>
          </w:p>
        </w:tc>
      </w:tr>
      <w:tr>
        <w:trPr>
          <w:trHeight w:val="208"/>
        </w:trPr>
        <w:tc>
          <w:tcPr>
            <w:tcW w:w="3220" w:type="dxa"/>
            <w:vAlign w:val="bottom"/>
          </w:tcPr>
          <w:p>
            <w:pPr>
              <w:jc w:val="center"/>
              <w:ind w:right="258"/>
              <w:spacing w:after="0"/>
              <w:rPr>
                <w:sz w:val="20"/>
                <w:szCs w:val="20"/>
                <w:color w:val="auto"/>
              </w:rPr>
            </w:pPr>
            <w:r>
              <w:rPr>
                <w:rFonts w:ascii="Arial" w:cs="Arial" w:eastAsia="Arial" w:hAnsi="Arial"/>
                <w:sz w:val="16"/>
                <w:szCs w:val="16"/>
                <w:color w:val="auto"/>
                <w:w w:val="95"/>
              </w:rPr>
              <w:t>(State or other jurisdiction of incorporation)</w:t>
            </w:r>
          </w:p>
        </w:tc>
        <w:tc>
          <w:tcPr>
            <w:tcW w:w="4220" w:type="dxa"/>
            <w:vAlign w:val="bottom"/>
          </w:tcPr>
          <w:p>
            <w:pPr>
              <w:jc w:val="center"/>
              <w:ind w:right="58"/>
              <w:spacing w:after="0"/>
              <w:rPr>
                <w:sz w:val="20"/>
                <w:szCs w:val="20"/>
                <w:color w:val="auto"/>
              </w:rPr>
            </w:pPr>
            <w:r>
              <w:rPr>
                <w:rFonts w:ascii="Arial" w:cs="Arial" w:eastAsia="Arial" w:hAnsi="Arial"/>
                <w:sz w:val="16"/>
                <w:szCs w:val="16"/>
                <w:color w:val="auto"/>
                <w:w w:val="94"/>
              </w:rPr>
              <w:t>(Commission File Number)</w:t>
            </w:r>
          </w:p>
        </w:tc>
        <w:tc>
          <w:tcPr>
            <w:tcW w:w="2740" w:type="dxa"/>
            <w:vAlign w:val="bottom"/>
          </w:tcPr>
          <w:p>
            <w:pPr>
              <w:jc w:val="center"/>
              <w:ind w:left="418"/>
              <w:spacing w:after="0"/>
              <w:rPr>
                <w:sz w:val="20"/>
                <w:szCs w:val="20"/>
                <w:color w:val="auto"/>
              </w:rPr>
            </w:pPr>
            <w:r>
              <w:rPr>
                <w:rFonts w:ascii="Arial" w:cs="Arial" w:eastAsia="Arial" w:hAnsi="Arial"/>
                <w:sz w:val="16"/>
                <w:szCs w:val="16"/>
                <w:color w:val="auto"/>
                <w:w w:val="96"/>
              </w:rPr>
              <w:t>(IRS Employer Identification No.)</w:t>
            </w:r>
          </w:p>
        </w:tc>
      </w:tr>
      <w:tr>
        <w:trPr>
          <w:trHeight w:val="377"/>
        </w:trPr>
        <w:tc>
          <w:tcPr>
            <w:tcW w:w="3220" w:type="dxa"/>
            <w:vAlign w:val="bottom"/>
          </w:tcPr>
          <w:p>
            <w:pPr>
              <w:jc w:val="center"/>
              <w:ind w:right="258"/>
              <w:spacing w:after="0"/>
              <w:rPr>
                <w:sz w:val="20"/>
                <w:szCs w:val="20"/>
                <w:color w:val="auto"/>
              </w:rPr>
            </w:pPr>
            <w:r>
              <w:rPr>
                <w:rFonts w:ascii="Arial" w:cs="Arial" w:eastAsia="Arial" w:hAnsi="Arial"/>
                <w:sz w:val="16"/>
                <w:szCs w:val="16"/>
                <w:b w:val="1"/>
                <w:bCs w:val="1"/>
                <w:color w:val="auto"/>
                <w:w w:val="92"/>
              </w:rPr>
              <w:t>2000 Waters Edge Drive</w:t>
            </w:r>
          </w:p>
        </w:tc>
        <w:tc>
          <w:tcPr>
            <w:tcW w:w="42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00"/>
        </w:trPr>
        <w:tc>
          <w:tcPr>
            <w:tcW w:w="3220" w:type="dxa"/>
            <w:vAlign w:val="bottom"/>
          </w:tcPr>
          <w:p>
            <w:pPr>
              <w:jc w:val="center"/>
              <w:ind w:right="258"/>
              <w:spacing w:after="0"/>
              <w:rPr>
                <w:sz w:val="20"/>
                <w:szCs w:val="20"/>
                <w:color w:val="auto"/>
              </w:rPr>
            </w:pPr>
            <w:r>
              <w:rPr>
                <w:rFonts w:ascii="Arial" w:cs="Arial" w:eastAsia="Arial" w:hAnsi="Arial"/>
                <w:sz w:val="16"/>
                <w:szCs w:val="16"/>
                <w:b w:val="1"/>
                <w:bCs w:val="1"/>
                <w:color w:val="auto"/>
                <w:w w:val="87"/>
              </w:rPr>
              <w:t>Johnson City, Tennessee</w:t>
            </w:r>
          </w:p>
        </w:tc>
        <w:tc>
          <w:tcPr>
            <w:tcW w:w="4220" w:type="dxa"/>
            <w:vAlign w:val="bottom"/>
          </w:tcPr>
          <w:p>
            <w:pPr>
              <w:spacing w:after="0"/>
              <w:rPr>
                <w:sz w:val="17"/>
                <w:szCs w:val="17"/>
                <w:color w:val="auto"/>
              </w:rPr>
            </w:pPr>
          </w:p>
        </w:tc>
        <w:tc>
          <w:tcPr>
            <w:tcW w:w="2740" w:type="dxa"/>
            <w:vAlign w:val="bottom"/>
          </w:tcPr>
          <w:p>
            <w:pPr>
              <w:jc w:val="right"/>
              <w:ind w:right="838"/>
              <w:spacing w:after="0"/>
              <w:rPr>
                <w:sz w:val="20"/>
                <w:szCs w:val="20"/>
                <w:color w:val="auto"/>
              </w:rPr>
            </w:pPr>
            <w:r>
              <w:rPr>
                <w:rFonts w:ascii="Arial" w:cs="Arial" w:eastAsia="Arial" w:hAnsi="Arial"/>
                <w:sz w:val="16"/>
                <w:szCs w:val="16"/>
                <w:b w:val="1"/>
                <w:bCs w:val="1"/>
                <w:color w:val="auto"/>
              </w:rPr>
              <w:t>37604</w:t>
            </w:r>
          </w:p>
        </w:tc>
      </w:tr>
      <w:tr>
        <w:trPr>
          <w:trHeight w:val="208"/>
        </w:trPr>
        <w:tc>
          <w:tcPr>
            <w:tcW w:w="3220" w:type="dxa"/>
            <w:vAlign w:val="bottom"/>
          </w:tcPr>
          <w:p>
            <w:pPr>
              <w:jc w:val="center"/>
              <w:ind w:right="258"/>
              <w:spacing w:after="0"/>
              <w:rPr>
                <w:sz w:val="20"/>
                <w:szCs w:val="20"/>
                <w:color w:val="auto"/>
              </w:rPr>
            </w:pPr>
            <w:r>
              <w:rPr>
                <w:rFonts w:ascii="Arial" w:cs="Arial" w:eastAsia="Arial" w:hAnsi="Arial"/>
                <w:sz w:val="16"/>
                <w:szCs w:val="16"/>
                <w:color w:val="auto"/>
                <w:w w:val="94"/>
              </w:rPr>
              <w:t>(Address of principal executive offices)</w:t>
            </w:r>
          </w:p>
        </w:tc>
        <w:tc>
          <w:tcPr>
            <w:tcW w:w="4220" w:type="dxa"/>
            <w:vAlign w:val="bottom"/>
          </w:tcPr>
          <w:p>
            <w:pPr>
              <w:spacing w:after="0"/>
              <w:rPr>
                <w:sz w:val="18"/>
                <w:szCs w:val="18"/>
                <w:color w:val="auto"/>
              </w:rPr>
            </w:pPr>
          </w:p>
        </w:tc>
        <w:tc>
          <w:tcPr>
            <w:tcW w:w="2740" w:type="dxa"/>
            <w:vAlign w:val="bottom"/>
          </w:tcPr>
          <w:p>
            <w:pPr>
              <w:jc w:val="center"/>
              <w:ind w:left="418"/>
              <w:spacing w:after="0"/>
              <w:rPr>
                <w:sz w:val="20"/>
                <w:szCs w:val="20"/>
                <w:color w:val="auto"/>
              </w:rPr>
            </w:pPr>
            <w:r>
              <w:rPr>
                <w:rFonts w:ascii="Arial" w:cs="Arial" w:eastAsia="Arial" w:hAnsi="Arial"/>
                <w:sz w:val="16"/>
                <w:szCs w:val="16"/>
                <w:color w:val="auto"/>
                <w:w w:val="95"/>
              </w:rPr>
              <w:t>(Zip Code)</w:t>
            </w:r>
          </w:p>
        </w:tc>
      </w:tr>
    </w:tbl>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Registrant's telephone number, including area code: (423)743-9151</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color w:val="auto"/>
        </w:rPr>
        <w:t>o Written communications pursuant to Rule 425 under the Securities Act (17CFT 230.425)</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o Soliciting material pursuant to Rule 14a-12 under the Exchange Act (17CFT 240.14a-12)</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o Pre-commencement communications pursuant to Rule 14d-2(b) under the Exchange Act (17CFT 240.14d-2(b))</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o 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503555</wp:posOffset>
            </wp:positionV>
            <wp:extent cx="726440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41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1250315</wp:posOffset>
            </wp:positionV>
            <wp:extent cx="726440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0640"/>
          </w:cols>
          <w:pgMar w:left="240" w:top="1398" w:right="10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Published as Exhibit 99.1 is NN, Inc.'s press release dated November 4, 2010 regarding the results for the third quarter ended September 30, 2010.</w:t>
      </w:r>
    </w:p>
    <w:p>
      <w:pPr>
        <w:spacing w:after="0" w:line="23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attached press release included the following non-GAAP measures: Net income from normal operations. These non-GAAP measures are not in accordance with, or an alternative for, generally accepted accounting principles and may be different from non-GAAP measures used by other companies. In addition, these non-GAAP measures are not based on any comprehensive set of accounting rules or principles. We believe that non-GAAP measures have limitations in that they do not reflect all of the amounts associated with our results of operations as deteremined in accordance with GAAP and that these measures should only be used to evaluate our results of operations in conjunction with the corresponding GAAP measures.</w:t>
      </w:r>
    </w:p>
    <w:p>
      <w:pPr>
        <w:spacing w:after="0" w:line="19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Our management uses financial information that does not include (a) restructuring costs for plant closing, (b) foreign exchange (gain) loss on intercompany loans, (c) new program startup costs at Whirlaway and, (d) valuation allowance on deferred tax, net.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3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Exhibit</w:t>
            </w:r>
          </w:p>
        </w:tc>
        <w:tc>
          <w:tcPr>
            <w:tcW w:w="1100" w:type="dxa"/>
            <w:vAlign w:val="bottom"/>
            <w:gridSpan w:val="3"/>
          </w:tcPr>
          <w:p>
            <w:pPr>
              <w:ind w:left="340"/>
              <w:spacing w:after="0"/>
              <w:rPr>
                <w:sz w:val="20"/>
                <w:szCs w:val="20"/>
                <w:color w:val="auto"/>
              </w:rPr>
            </w:pPr>
            <w:r>
              <w:rPr>
                <w:rFonts w:ascii="Arial" w:cs="Arial" w:eastAsia="Arial" w:hAnsi="Arial"/>
                <w:sz w:val="16"/>
                <w:szCs w:val="16"/>
                <w:color w:val="auto"/>
                <w:w w:val="92"/>
              </w:rPr>
              <w:t>Description</w:t>
            </w:r>
          </w:p>
        </w:tc>
      </w:tr>
      <w:tr>
        <w:trPr>
          <w:trHeight w:val="172"/>
        </w:trPr>
        <w:tc>
          <w:tcPr>
            <w:tcW w:w="540" w:type="dxa"/>
            <w:vAlign w:val="bottom"/>
            <w:tcBorders>
              <w:bottom w:val="single" w:sz="8" w:color="auto"/>
            </w:tcBorders>
          </w:tcPr>
          <w:p>
            <w:pPr>
              <w:spacing w:after="0" w:line="172" w:lineRule="exact"/>
              <w:rPr>
                <w:sz w:val="20"/>
                <w:szCs w:val="20"/>
                <w:color w:val="auto"/>
              </w:rPr>
            </w:pPr>
            <w:r>
              <w:rPr>
                <w:rFonts w:ascii="Arial" w:cs="Arial" w:eastAsia="Arial" w:hAnsi="Arial"/>
                <w:sz w:val="16"/>
                <w:szCs w:val="16"/>
                <w:color w:val="auto"/>
                <w:w w:val="91"/>
              </w:rPr>
              <w:t>Number</w:t>
            </w:r>
          </w:p>
        </w:tc>
        <w:tc>
          <w:tcPr>
            <w:tcW w:w="360" w:type="dxa"/>
            <w:vAlign w:val="bottom"/>
          </w:tcPr>
          <w:p>
            <w:pPr>
              <w:spacing w:after="0"/>
              <w:rPr>
                <w:sz w:val="14"/>
                <w:szCs w:val="14"/>
                <w:color w:val="auto"/>
              </w:rPr>
            </w:pPr>
          </w:p>
        </w:tc>
        <w:tc>
          <w:tcPr>
            <w:tcW w:w="660" w:type="dxa"/>
            <w:vAlign w:val="bottom"/>
            <w:tcBorders>
              <w:bottom w:val="single" w:sz="8" w:color="auto"/>
            </w:tcBorders>
          </w:tcPr>
          <w:p>
            <w:pPr>
              <w:spacing w:after="0" w:line="172" w:lineRule="exact"/>
              <w:rPr>
                <w:sz w:val="20"/>
                <w:szCs w:val="20"/>
                <w:color w:val="auto"/>
              </w:rPr>
            </w:pPr>
            <w:r>
              <w:rPr>
                <w:rFonts w:ascii="Arial" w:cs="Arial" w:eastAsia="Arial" w:hAnsi="Arial"/>
                <w:sz w:val="16"/>
                <w:szCs w:val="16"/>
                <w:color w:val="auto"/>
                <w:w w:val="97"/>
              </w:rPr>
              <w:t>of Exhibit</w:t>
            </w:r>
          </w:p>
        </w:tc>
        <w:tc>
          <w:tcPr>
            <w:tcW w:w="80" w:type="dxa"/>
            <w:vAlign w:val="bottom"/>
          </w:tcPr>
          <w:p>
            <w:pPr>
              <w:spacing w:after="0"/>
              <w:rPr>
                <w:sz w:val="14"/>
                <w:szCs w:val="14"/>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99.1 Press Release of NN, Inc. dated November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666750</wp:posOffset>
            </wp:positionV>
            <wp:extent cx="726440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14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25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00" w:type="dxa"/>
            <w:vAlign w:val="bottom"/>
          </w:tcPr>
          <w:p>
            <w:pPr>
              <w:spacing w:after="0"/>
              <w:rPr>
                <w:sz w:val="18"/>
                <w:szCs w:val="18"/>
                <w:color w:val="auto"/>
              </w:rPr>
            </w:pPr>
          </w:p>
        </w:tc>
        <w:tc>
          <w:tcPr>
            <w:tcW w:w="7720" w:type="dxa"/>
            <w:vAlign w:val="bottom"/>
            <w:gridSpan w:val="4"/>
          </w:tcPr>
          <w:p>
            <w:pPr>
              <w:ind w:left="2060"/>
              <w:spacing w:after="0"/>
              <w:rPr>
                <w:sz w:val="20"/>
                <w:szCs w:val="20"/>
                <w:color w:val="auto"/>
              </w:rPr>
            </w:pPr>
            <w:r>
              <w:rPr>
                <w:rFonts w:ascii="Arial" w:cs="Arial" w:eastAsia="Arial" w:hAnsi="Arial"/>
                <w:sz w:val="16"/>
                <w:szCs w:val="16"/>
                <w:color w:val="auto"/>
              </w:rPr>
              <w:t>NN, INC.</w:t>
            </w:r>
          </w:p>
        </w:tc>
      </w:tr>
      <w:tr>
        <w:trPr>
          <w:trHeight w:val="356"/>
        </w:trPr>
        <w:tc>
          <w:tcPr>
            <w:tcW w:w="3700" w:type="dxa"/>
            <w:vAlign w:val="bottom"/>
          </w:tcPr>
          <w:p>
            <w:pPr>
              <w:spacing w:after="0"/>
              <w:rPr>
                <w:sz w:val="20"/>
                <w:szCs w:val="20"/>
                <w:color w:val="auto"/>
              </w:rPr>
            </w:pPr>
            <w:r>
              <w:rPr>
                <w:rFonts w:ascii="Arial" w:cs="Arial" w:eastAsia="Arial" w:hAnsi="Arial"/>
                <w:sz w:val="16"/>
                <w:szCs w:val="16"/>
                <w:color w:val="auto"/>
              </w:rPr>
              <w:t>Date: November 4, 2010</w:t>
            </w:r>
          </w:p>
        </w:tc>
        <w:tc>
          <w:tcPr>
            <w:tcW w:w="7720" w:type="dxa"/>
            <w:vAlign w:val="bottom"/>
            <w:gridSpan w:val="4"/>
          </w:tcPr>
          <w:p>
            <w:pPr>
              <w:ind w:left="2060"/>
              <w:spacing w:after="0"/>
              <w:rPr>
                <w:sz w:val="20"/>
                <w:szCs w:val="20"/>
                <w:color w:val="auto"/>
              </w:rPr>
            </w:pPr>
            <w:r>
              <w:rPr>
                <w:rFonts w:ascii="Arial" w:cs="Arial" w:eastAsia="Arial" w:hAnsi="Arial"/>
                <w:sz w:val="16"/>
                <w:szCs w:val="16"/>
                <w:color w:val="auto"/>
              </w:rPr>
              <w:t>By: /s/ William C. Kelly,</w:t>
            </w:r>
          </w:p>
        </w:tc>
      </w:tr>
      <w:tr>
        <w:trPr>
          <w:trHeight w:val="176"/>
        </w:trPr>
        <w:tc>
          <w:tcPr>
            <w:tcW w:w="37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4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color w:val="auto"/>
              </w:rPr>
              <w:t>Jr.</w:t>
            </w:r>
          </w:p>
        </w:tc>
        <w:tc>
          <w:tcPr>
            <w:tcW w:w="1740" w:type="dxa"/>
            <w:vAlign w:val="bottom"/>
            <w:tcBorders>
              <w:bottom w:val="single" w:sz="8" w:color="auto"/>
            </w:tcBorders>
          </w:tcPr>
          <w:p>
            <w:pPr>
              <w:spacing w:after="0"/>
              <w:rPr>
                <w:sz w:val="15"/>
                <w:szCs w:val="15"/>
                <w:color w:val="auto"/>
              </w:rPr>
            </w:pPr>
          </w:p>
        </w:tc>
        <w:tc>
          <w:tcPr>
            <w:tcW w:w="2260" w:type="dxa"/>
            <w:vAlign w:val="bottom"/>
          </w:tcPr>
          <w:p>
            <w:pPr>
              <w:spacing w:after="0"/>
              <w:rPr>
                <w:sz w:val="15"/>
                <w:szCs w:val="15"/>
                <w:color w:val="auto"/>
              </w:rPr>
            </w:pPr>
          </w:p>
        </w:tc>
      </w:tr>
      <w:tr>
        <w:trPr>
          <w:trHeight w:val="200"/>
        </w:trPr>
        <w:tc>
          <w:tcPr>
            <w:tcW w:w="37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340" w:type="dxa"/>
            <w:vAlign w:val="bottom"/>
            <w:gridSpan w:val="3"/>
          </w:tcPr>
          <w:p>
            <w:pPr>
              <w:spacing w:after="0"/>
              <w:rPr>
                <w:sz w:val="20"/>
                <w:szCs w:val="20"/>
                <w:color w:val="auto"/>
              </w:rPr>
            </w:pPr>
            <w:r>
              <w:rPr>
                <w:rFonts w:ascii="Arial" w:cs="Arial" w:eastAsia="Arial" w:hAnsi="Arial"/>
                <w:sz w:val="16"/>
                <w:szCs w:val="16"/>
                <w:color w:val="auto"/>
              </w:rPr>
              <w:t>Name : William C. Kelly, Jr.</w:t>
            </w:r>
          </w:p>
        </w:tc>
      </w:tr>
      <w:tr>
        <w:trPr>
          <w:trHeight w:val="208"/>
        </w:trPr>
        <w:tc>
          <w:tcPr>
            <w:tcW w:w="37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6"/>
                <w:szCs w:val="16"/>
                <w:color w:val="auto"/>
              </w:rPr>
              <w:t>Title : Vice President and Chief Administrative Officer</w:t>
            </w:r>
          </w:p>
        </w:tc>
      </w:tr>
      <w:tr>
        <w:trPr>
          <w:trHeight w:val="1455"/>
        </w:trPr>
        <w:tc>
          <w:tcPr>
            <w:tcW w:w="37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140"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200"/>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5266055</wp:posOffset>
            </wp:positionH>
            <wp:positionV relativeFrom="paragraph">
              <wp:posOffset>290830</wp:posOffset>
            </wp:positionV>
            <wp:extent cx="1991995" cy="552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91995" cy="55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F I N A N C I A L</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RE: NN, Inc.</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2000 Waters Edge Drive</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Johnson City, TN 37604</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60" w:type="dxa"/>
            <w:vAlign w:val="bottom"/>
            <w:gridSpan w:val="3"/>
          </w:tcPr>
          <w:p>
            <w:pPr>
              <w:spacing w:after="0"/>
              <w:rPr>
                <w:sz w:val="20"/>
                <w:szCs w:val="20"/>
                <w:color w:val="auto"/>
              </w:rPr>
            </w:pPr>
            <w:r>
              <w:rPr>
                <w:rFonts w:ascii="Arial" w:cs="Arial" w:eastAsia="Arial" w:hAnsi="Arial"/>
                <w:sz w:val="16"/>
                <w:szCs w:val="16"/>
                <w:color w:val="auto"/>
              </w:rPr>
              <w:t>FOR FURTHER INFORMATION:</w:t>
            </w:r>
          </w:p>
        </w:tc>
        <w:tc>
          <w:tcPr>
            <w:tcW w:w="2800" w:type="dxa"/>
            <w:vAlign w:val="bottom"/>
          </w:tcPr>
          <w:p>
            <w:pPr>
              <w:spacing w:after="0"/>
              <w:rPr>
                <w:sz w:val="18"/>
                <w:szCs w:val="18"/>
                <w:color w:val="auto"/>
              </w:rPr>
            </w:pPr>
          </w:p>
        </w:tc>
      </w:tr>
      <w:tr>
        <w:trPr>
          <w:trHeight w:val="601"/>
        </w:trPr>
        <w:tc>
          <w:tcPr>
            <w:tcW w:w="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6"/>
                <w:szCs w:val="16"/>
                <w:b w:val="1"/>
                <w:bCs w:val="1"/>
                <w:color w:val="auto"/>
              </w:rPr>
              <w:t>AT THE COMPANY</w:t>
            </w:r>
          </w:p>
        </w:tc>
        <w:tc>
          <w:tcPr>
            <w:tcW w:w="2800" w:type="dxa"/>
            <w:vAlign w:val="bottom"/>
          </w:tcPr>
          <w:p>
            <w:pPr>
              <w:spacing w:after="0"/>
              <w:rPr>
                <w:sz w:val="20"/>
                <w:szCs w:val="20"/>
                <w:color w:val="auto"/>
              </w:rPr>
            </w:pPr>
            <w:r>
              <w:rPr>
                <w:rFonts w:ascii="Arial" w:cs="Arial" w:eastAsia="Arial" w:hAnsi="Arial"/>
                <w:sz w:val="16"/>
                <w:szCs w:val="16"/>
                <w:b w:val="1"/>
                <w:bCs w:val="1"/>
                <w:color w:val="auto"/>
              </w:rPr>
              <w:t>AT FINANCIAL RELATIONS BOARD</w:t>
            </w:r>
          </w:p>
        </w:tc>
      </w:tr>
      <w:tr>
        <w:trPr>
          <w:trHeight w:val="20"/>
        </w:trPr>
        <w:tc>
          <w:tcPr>
            <w:tcW w:w="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00"/>
        </w:trPr>
        <w:tc>
          <w:tcPr>
            <w:tcW w:w="5760" w:type="dxa"/>
            <w:vAlign w:val="bottom"/>
            <w:gridSpan w:val="3"/>
          </w:tcPr>
          <w:p>
            <w:pPr>
              <w:ind w:left="40"/>
              <w:spacing w:after="0"/>
              <w:rPr>
                <w:sz w:val="20"/>
                <w:szCs w:val="20"/>
                <w:color w:val="auto"/>
              </w:rPr>
            </w:pPr>
            <w:r>
              <w:rPr>
                <w:rFonts w:ascii="Arial" w:cs="Arial" w:eastAsia="Arial" w:hAnsi="Arial"/>
                <w:sz w:val="16"/>
                <w:szCs w:val="16"/>
                <w:color w:val="auto"/>
              </w:rPr>
              <w:t>Will Kelly</w:t>
            </w:r>
          </w:p>
        </w:tc>
        <w:tc>
          <w:tcPr>
            <w:tcW w:w="2800" w:type="dxa"/>
            <w:vAlign w:val="bottom"/>
          </w:tcPr>
          <w:p>
            <w:pPr>
              <w:spacing w:after="0"/>
              <w:rPr>
                <w:sz w:val="20"/>
                <w:szCs w:val="20"/>
                <w:color w:val="auto"/>
              </w:rPr>
            </w:pPr>
            <w:r>
              <w:rPr>
                <w:rFonts w:ascii="Arial" w:cs="Arial" w:eastAsia="Arial" w:hAnsi="Arial"/>
                <w:sz w:val="16"/>
                <w:szCs w:val="16"/>
                <w:color w:val="auto"/>
              </w:rPr>
              <w:t>Marilynn Meek</w:t>
            </w:r>
          </w:p>
        </w:tc>
      </w:tr>
      <w:tr>
        <w:trPr>
          <w:trHeight w:val="196"/>
        </w:trPr>
        <w:tc>
          <w:tcPr>
            <w:tcW w:w="5760" w:type="dxa"/>
            <w:vAlign w:val="bottom"/>
            <w:gridSpan w:val="3"/>
          </w:tcPr>
          <w:p>
            <w:pPr>
              <w:ind w:left="40"/>
              <w:spacing w:after="0"/>
              <w:rPr>
                <w:sz w:val="20"/>
                <w:szCs w:val="20"/>
                <w:color w:val="auto"/>
              </w:rPr>
            </w:pPr>
            <w:r>
              <w:rPr>
                <w:rFonts w:ascii="Arial" w:cs="Arial" w:eastAsia="Arial" w:hAnsi="Arial"/>
                <w:sz w:val="16"/>
                <w:szCs w:val="16"/>
                <w:color w:val="auto"/>
              </w:rPr>
              <w:t>Vice President and Chief Administrative Officer</w:t>
            </w:r>
          </w:p>
        </w:tc>
        <w:tc>
          <w:tcPr>
            <w:tcW w:w="2800" w:type="dxa"/>
            <w:vAlign w:val="bottom"/>
          </w:tcPr>
          <w:p>
            <w:pPr>
              <w:spacing w:after="0"/>
              <w:rPr>
                <w:sz w:val="20"/>
                <w:szCs w:val="20"/>
                <w:color w:val="auto"/>
              </w:rPr>
            </w:pPr>
            <w:r>
              <w:rPr>
                <w:rFonts w:ascii="Arial" w:cs="Arial" w:eastAsia="Arial" w:hAnsi="Arial"/>
                <w:sz w:val="16"/>
                <w:szCs w:val="16"/>
                <w:color w:val="auto"/>
              </w:rPr>
              <w:t>(General info)</w:t>
            </w:r>
          </w:p>
        </w:tc>
      </w:tr>
      <w:tr>
        <w:trPr>
          <w:trHeight w:val="208"/>
        </w:trPr>
        <w:tc>
          <w:tcPr>
            <w:tcW w:w="1520" w:type="dxa"/>
            <w:vAlign w:val="bottom"/>
            <w:gridSpan w:val="2"/>
          </w:tcPr>
          <w:p>
            <w:pPr>
              <w:ind w:left="40"/>
              <w:spacing w:after="0"/>
              <w:rPr>
                <w:sz w:val="20"/>
                <w:szCs w:val="20"/>
                <w:color w:val="auto"/>
              </w:rPr>
            </w:pPr>
            <w:r>
              <w:rPr>
                <w:rFonts w:ascii="Arial" w:cs="Arial" w:eastAsia="Arial" w:hAnsi="Arial"/>
                <w:sz w:val="16"/>
                <w:szCs w:val="16"/>
                <w:color w:val="auto"/>
              </w:rPr>
              <w:t>(423)743-9151</w:t>
            </w:r>
          </w:p>
        </w:tc>
        <w:tc>
          <w:tcPr>
            <w:tcW w:w="42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(212)827-3773</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November 4, 2010</w:t>
      </w:r>
    </w:p>
    <w:p>
      <w:pPr>
        <w:spacing w:after="0" w:line="217" w:lineRule="exact"/>
        <w:rPr>
          <w:sz w:val="20"/>
          <w:szCs w:val="20"/>
          <w:color w:val="auto"/>
        </w:rPr>
      </w:pPr>
    </w:p>
    <w:p>
      <w:pPr>
        <w:ind w:left="4000" w:hanging="271"/>
        <w:spacing w:after="0"/>
        <w:tabs>
          <w:tab w:leader="none" w:pos="4000" w:val="left"/>
        </w:tabs>
        <w:numPr>
          <w:ilvl w:val="1"/>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REPORTS STRONG THIRD QUARTER RESULTS</w:t>
      </w:r>
    </w:p>
    <w:p>
      <w:pPr>
        <w:spacing w:after="0" w:line="232" w:lineRule="exact"/>
        <w:rPr>
          <w:rFonts w:ascii="Arial" w:cs="Arial" w:eastAsia="Arial" w:hAnsi="Arial"/>
          <w:sz w:val="16"/>
          <w:szCs w:val="16"/>
          <w:b w:val="1"/>
          <w:bCs w:val="1"/>
          <w:color w:val="auto"/>
        </w:rPr>
      </w:pPr>
    </w:p>
    <w:p>
      <w:pPr>
        <w:ind w:left="580" w:hanging="116"/>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Sales rose 38% for the quarter and 49% for first nine months over prior year</w:t>
      </w:r>
    </w:p>
    <w:p>
      <w:pPr>
        <w:spacing w:after="0" w:line="27" w:lineRule="exact"/>
        <w:rPr>
          <w:rFonts w:ascii="Arial" w:cs="Arial" w:eastAsia="Arial" w:hAnsi="Arial"/>
          <w:sz w:val="16"/>
          <w:szCs w:val="16"/>
          <w:color w:val="auto"/>
        </w:rPr>
      </w:pPr>
    </w:p>
    <w:p>
      <w:pPr>
        <w:ind w:left="580" w:hanging="116"/>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Net income from normal operations and cash flow improve significantly as global demand continues to improve</w:t>
      </w:r>
    </w:p>
    <w:p>
      <w:pPr>
        <w:spacing w:after="0" w:line="217" w:lineRule="exact"/>
        <w:rPr>
          <w:sz w:val="20"/>
          <w:szCs w:val="20"/>
          <w:color w:val="auto"/>
        </w:rPr>
      </w:pPr>
    </w:p>
    <w:p>
      <w:pPr>
        <w:ind w:right="720"/>
        <w:spacing w:after="0" w:line="303" w:lineRule="auto"/>
        <w:rPr>
          <w:sz w:val="20"/>
          <w:szCs w:val="20"/>
          <w:color w:val="auto"/>
        </w:rPr>
      </w:pPr>
      <w:r>
        <w:rPr>
          <w:rFonts w:ascii="Arial" w:cs="Arial" w:eastAsia="Arial" w:hAnsi="Arial"/>
          <w:sz w:val="14"/>
          <w:szCs w:val="14"/>
          <w:b w:val="1"/>
          <w:bCs w:val="1"/>
          <w:color w:val="auto"/>
        </w:rPr>
        <w:t xml:space="preserve">Johnson City, Tenn, November 4, 2010 – NN, Inc. </w:t>
      </w:r>
      <w:r>
        <w:rPr>
          <w:rFonts w:ascii="Arial" w:cs="Arial" w:eastAsia="Arial" w:hAnsi="Arial"/>
          <w:sz w:val="14"/>
          <w:szCs w:val="14"/>
          <w:color w:val="auto"/>
        </w:rPr>
        <w:t>(Nasdaq: NNBR) today reported its financial results for the third quarter and nine months ended September 30,</w:t>
      </w:r>
      <w:r>
        <w:rPr>
          <w:rFonts w:ascii="Arial" w:cs="Arial" w:eastAsia="Arial" w:hAnsi="Arial"/>
          <w:sz w:val="14"/>
          <w:szCs w:val="14"/>
          <w:b w:val="1"/>
          <w:bCs w:val="1"/>
          <w:color w:val="auto"/>
        </w:rPr>
        <w:t xml:space="preserve"> </w:t>
      </w:r>
      <w:r>
        <w:rPr>
          <w:rFonts w:ascii="Arial" w:cs="Arial" w:eastAsia="Arial" w:hAnsi="Arial"/>
          <w:sz w:val="14"/>
          <w:szCs w:val="14"/>
          <w:color w:val="auto"/>
        </w:rPr>
        <w:t>2010. Net sales for the third quarter of 2010 were $91.0 million, an increase of $24.9 million or 38%, compared to net sales of $66.1 million for the third quarter of</w:t>
      </w:r>
    </w:p>
    <w:p>
      <w:pPr>
        <w:spacing w:after="0" w:line="1" w:lineRule="exact"/>
        <w:rPr>
          <w:sz w:val="20"/>
          <w:szCs w:val="20"/>
          <w:color w:val="auto"/>
        </w:rPr>
      </w:pPr>
    </w:p>
    <w:p>
      <w:pPr>
        <w:ind w:right="260"/>
        <w:spacing w:after="0" w:line="263" w:lineRule="auto"/>
        <w:rPr>
          <w:sz w:val="20"/>
          <w:szCs w:val="20"/>
          <w:color w:val="auto"/>
        </w:rPr>
      </w:pPr>
      <w:r>
        <w:rPr>
          <w:rFonts w:ascii="Arial" w:cs="Arial" w:eastAsia="Arial" w:hAnsi="Arial"/>
          <w:sz w:val="16"/>
          <w:szCs w:val="16"/>
          <w:color w:val="auto"/>
        </w:rPr>
        <w:t>2009. Approximately $26.7 million of the increase was due to the recovering demand for the Company’s products, particularly in the industrial and automotive end markets. Raw material pass through and price increases accounted for an additional $3.2 million. These increases were offset by a negative foreign currency translation of $5.0 million.</w:t>
      </w:r>
    </w:p>
    <w:p>
      <w:pPr>
        <w:spacing w:after="0" w:line="192"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reported net loss for the current quarter of $1.0 million, or $(0.06) per diluted share included $4.8 million of non-operating costs including $2.5 million of plant closing and restructuring costs, $1.3 million of foreign currency exchange losses on intercompany loans, and $1.0 million of startup costs associated with new programs in our Precision Metal Components segment. The Company generated net income from normal operations in the third quarter of 2010 of $3.8 million, or $0.23 per diluted share compared to a 2009 third quarter net loss from normal operations of $5.9 million, or $(0.37) per diluted share.</w:t>
      </w:r>
    </w:p>
    <w:p>
      <w:pPr>
        <w:spacing w:after="0" w:line="19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Net sales for the first nine months of 2010 were $269.0 million, an increase of $87.9 million, or 48.5% compared to net sales of $181.1 million for the first nine months of 2009. Approximately $96.2 million of the increase was attributable to the recovering demand for NN’s products, particularly in industrial and automotive end markets. This increase was offset by the negative effect of foreign currency translation of approximately $5.9 million and mix changes of approximately $2.3 million. The negative effect of raw material pass through accounted for the remainder of the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726440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5" w:name="page6"/>
    <w:bookmarkEnd w:id="5"/>
    <w:p>
      <w:pPr>
        <w:jc w:val="both"/>
        <w:ind w:right="180"/>
        <w:spacing w:after="0" w:line="315" w:lineRule="auto"/>
        <w:rPr>
          <w:sz w:val="20"/>
          <w:szCs w:val="20"/>
          <w:color w:val="auto"/>
        </w:rPr>
      </w:pPr>
      <w:r>
        <w:rPr>
          <w:rFonts w:ascii="Arial" w:cs="Arial" w:eastAsia="Arial" w:hAnsi="Arial"/>
          <w:sz w:val="14"/>
          <w:szCs w:val="14"/>
          <w:color w:val="auto"/>
        </w:rPr>
        <w:t>The reported net income for the first nine months of 2010 of $4.3 million, or $0.26 per diluted share, included $5.2 million net of tax of non-operating charges comprised of $1.0 million in foreign currency exchange gains on intercompany loans, $4.7 million of plant closing and restructuring charges, $1.0 million of startup costs associated with new programs in our Precision Metal Components segment and $0.5 million of other net charges. Net income from normal operations for the first nine months of 2010 was $9.5 million, or $0.58 per diluted share, as compared to the first nine months of 2009 net loss from normal operations of $22.8 million, or $(1.40) per diluted share.</w:t>
      </w:r>
    </w:p>
    <w:p>
      <w:pPr>
        <w:spacing w:after="0" w:line="160"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James H. Dorton, Sr. Vice President and Chief Financial Officer commented, “Our third quarter revenues and earnings reflect the continued effects of strong global demand for our products. Profitability and cash flow continued a positive trend during the third quarter. Cost of goods sold as a percentage of net sales for the third quarter of 82.5% was higher than the six months ended through June 30, 2010 cost of goods sold of 80.0%. This was due primarily to seasonality factors in our European operations and the previously mentioned startup costs at our Precision Metal Components business. With the exception of the effects of the startup costs at Precision Metal Components, which we expect to peak during the fourth quarter, we anticipate cost of goods sold returning to the more normal level s of the first six months of next year. The cost of goods sold for the first nine months of this year was 80.8%, compared to 93.4% for the first nine months of 2009. The third quarter and first nine months of 2009 were adversely affected by the sudden drop in sales volume we experienced as a result of the global economic recession. This year, we have been able to favorably leverage production efficiencies due to our increased revenues and aggressive cost reduction initiatives.”</w:t>
      </w:r>
    </w:p>
    <w:p>
      <w:pPr>
        <w:spacing w:after="0" w:line="18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Mr. Dorton continued, “Selling, general and administrative expenses were $7.3 million, or 8.0% of net sales for the third quarter of 2010, compared to $6.5 million, or 9.8% of net sales for the third quarter of 2009, SG&amp;A expenses for the first nine months of this year were $22.4 million, or 8.3% of net sales, compared to $19.8 million, or 10.9% of net sales for the comparable period last year. Throughout the third quarter and the first nine months of the year, we continued to leverage our increased sales volumes and aggressively cut costs. This has allowed us to return our SG&amp;A expenses as a percentage of sales to more historical levels despite lower sales. The increase in SG&amp;A dollars for the third quarter and the first nine months of the year compared to the same periods last year was due mainly to the reinstatement of salaries to pre-recessionary levels and costs associated with performance based compensation plans.”</w:t>
      </w:r>
    </w:p>
    <w:p>
      <w:pPr>
        <w:spacing w:after="0" w:line="196" w:lineRule="exact"/>
        <w:rPr>
          <w:sz w:val="20"/>
          <w:szCs w:val="20"/>
          <w:color w:val="auto"/>
        </w:rPr>
      </w:pPr>
    </w:p>
    <w:p>
      <w:pPr>
        <w:ind w:right="220"/>
        <w:spacing w:after="0" w:line="280" w:lineRule="auto"/>
        <w:rPr>
          <w:sz w:val="20"/>
          <w:szCs w:val="20"/>
          <w:color w:val="auto"/>
        </w:rPr>
      </w:pPr>
      <w:r>
        <w:rPr>
          <w:rFonts w:ascii="Arial" w:cs="Arial" w:eastAsia="Arial" w:hAnsi="Arial"/>
          <w:sz w:val="15"/>
          <w:szCs w:val="15"/>
          <w:color w:val="auto"/>
        </w:rPr>
        <w:t>“Our debt, net of cash, was $75.6 million at September 30, 2010, a decrease of $2.6 million over the December 31, 2009 amount of $78.2 million. The decrease in net debt was due to the positive cash flow generated by the improvement in earnings, partially offset by the funding of working capital increases associated with higher</w:t>
      </w:r>
    </w:p>
    <w:p>
      <w:pPr>
        <w:spacing w:after="0" w:line="1" w:lineRule="exact"/>
        <w:rPr>
          <w:sz w:val="20"/>
          <w:szCs w:val="20"/>
          <w:color w:val="auto"/>
        </w:rPr>
      </w:pPr>
    </w:p>
    <w:p>
      <w:pPr>
        <w:jc w:val="both"/>
        <w:ind w:right="80"/>
        <w:spacing w:after="0" w:line="263" w:lineRule="auto"/>
        <w:rPr>
          <w:sz w:val="20"/>
          <w:szCs w:val="20"/>
          <w:color w:val="auto"/>
        </w:rPr>
      </w:pPr>
      <w:r>
        <w:rPr>
          <w:rFonts w:ascii="Arial" w:cs="Arial" w:eastAsia="Arial" w:hAnsi="Arial"/>
          <w:sz w:val="16"/>
          <w:szCs w:val="16"/>
          <w:color w:val="auto"/>
        </w:rPr>
        <w:t>volume. During the first nine months of the year, we have funded approximately $8.7 million, or 52% of our planned 2010 capital budget for the year. For the balance of the year, we plan to spend approximately $8.0 million to fund capital projects, the majority of which will be used for new programs at our Precision Metal Components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6440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6" w:name="page7"/>
    <w:bookmarkEnd w:id="6"/>
    <w:p>
      <w:pPr>
        <w:ind w:right="180"/>
        <w:spacing w:after="0" w:line="263" w:lineRule="auto"/>
        <w:rPr>
          <w:sz w:val="20"/>
          <w:szCs w:val="20"/>
          <w:color w:val="auto"/>
        </w:rPr>
      </w:pPr>
      <w:r>
        <w:rPr>
          <w:rFonts w:ascii="Arial" w:cs="Arial" w:eastAsia="Arial" w:hAnsi="Arial"/>
          <w:sz w:val="16"/>
          <w:szCs w:val="16"/>
          <w:color w:val="auto"/>
        </w:rPr>
        <w:t>“Our current revolving credit facility expires in September 2011. Since the expiration date of this facility is in less than twelve months, we have classified $60.0 million, which represents the total debt outstanding associated with this facility, as current. We have begun the process of negotiating a new credit facility with the current bank group. Due to the improved market conditions and our improved financial performance, we anticipate that the new facility will be under more favorable terms than the present facility. Although we can provide no assurances, we anticipate closing this new facility by the end of the current year. Our fixed rate senior notes expire in April of 2014 and will continue to be classified as long-term.</w:t>
      </w:r>
    </w:p>
    <w:p>
      <w:pPr>
        <w:spacing w:after="0" w:line="19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“On August 31, 2010 we completed the previously announced sale of a portion of the assets of our Tempe, Arizona facility to Triumph Manufacturing LLC. This newly formed Company which is not affiliated with NN, Inc. was able to take over the existing facility, employ a number of the former management and production employees and continue to supply existing customers with certain products that were not transferred and consolidated into our Ohio facilities. Our year-to-date results reflect approximately $4.4 million of charges associated with this transaction.”</w:t>
      </w:r>
    </w:p>
    <w:p>
      <w:pPr>
        <w:spacing w:after="0" w:line="19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Roderick R. Baty, Chairman and Chief Executive Officer, commented, “Our third quarter is traditionally the weakest of the year. However, due to the continued strong global demand for our products, we experienced only a slight decrease in sales from this year’s second quarter. Our customers have indicated this level of strong demand for our products will continue for the remainder of the year and into the first quarter of 2011. We are now forecasting our 2010 full year sales to be at the top of the range of our previous guidance of $350 million to $360 million. Additionally, we expect the sales impact of new programs at our Precision Metal Components business to begin during the first quarter of 2011. We believe these new programs, along with the continuing recovery of global de mand, provide for good revenue momentum for the foreseeable future.”</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Mr. Baty concluded, “During the financial crisis of 2009 and into 2010, we have proactively addressed our global cost structure to insure that as global revenues improve, we will be able to leverage that improvement into increased earnings and corresponding cash flows. We are encouraged by the performance of our business units and the levels of customer demand that we have experienced to date in 2010. We continue to aggressively manage our business on the cost side and look for improvements in revenue and cost savings to drive further profitability improvements into 2011.”</w:t>
      </w:r>
    </w:p>
    <w:p>
      <w:pPr>
        <w:spacing w:after="0" w:line="200" w:lineRule="exact"/>
        <w:rPr>
          <w:sz w:val="20"/>
          <w:szCs w:val="20"/>
          <w:color w:val="auto"/>
        </w:rPr>
      </w:pPr>
    </w:p>
    <w:p>
      <w:pPr>
        <w:spacing w:after="0" w:line="21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NN, Inc. manufacturers and supplies high precision metal bearing components, industrial plastic and rubber products and precision metal components to a variety of markets on a global basis. Headquartered in Johnson City, Tennessee, NN has 11 manufacturing plants in the United States, Western Europe, Eastern Europe and China. NN, Inc. had sales of $259 million in 2009.</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5"/>
          <w:szCs w:val="15"/>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 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customer demand for our products, inventory levels, regulatory compliance costs and the Company's ability to manage these costs, start-up costs for new operations, debt reduction, competitive influences, risks that current customers will commence or increase ca 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improvement in global automotive and industrial end markets, risks related to our ability to obtain favorable terms with respect to financial covenants from our lenders and other risk factors and cautionary statements listed from time to time in the Company’s periodic reports filed with the Securities and Exchange Commission, including, but not limited to, the Company’s Annual Report on 10-K for the fiscal year ended December 31, 2009.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6440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262" w:right="259" w:bottom="1440" w:gutter="0" w:footer="0" w:header="0"/>
        </w:sectPr>
      </w:pPr>
    </w:p>
    <w:bookmarkStart w:id="7" w:name="page8"/>
    <w:bookmarkEnd w:id="7"/>
    <w:p>
      <w:pPr>
        <w:jc w:val="center"/>
        <w:ind w:right="100"/>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Condensed Statements of Income</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gridSpan w:val="2"/>
          </w:tcPr>
          <w:p>
            <w:pPr>
              <w:jc w:val="right"/>
              <w:ind w:right="958"/>
              <w:spacing w:after="0"/>
              <w:rPr>
                <w:sz w:val="20"/>
                <w:szCs w:val="20"/>
                <w:color w:val="auto"/>
              </w:rPr>
            </w:pPr>
            <w:r>
              <w:rPr>
                <w:rFonts w:ascii="Arial" w:cs="Arial" w:eastAsia="Arial" w:hAnsi="Arial"/>
                <w:sz w:val="16"/>
                <w:szCs w:val="16"/>
                <w:b w:val="1"/>
                <w:bCs w:val="1"/>
                <w:color w:val="auto"/>
              </w:rPr>
              <w:t>&amp; #160;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7"/>
          </w:tcPr>
          <w:p>
            <w:pPr>
              <w:jc w:val="right"/>
              <w:ind w:right="63"/>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Nine Mon</w:t>
            </w:r>
          </w:p>
        </w:tc>
        <w:tc>
          <w:tcPr>
            <w:tcW w:w="0" w:type="dxa"/>
            <w:vAlign w:val="bottom"/>
          </w:tcPr>
          <w:p>
            <w:pPr>
              <w:spacing w:after="0"/>
              <w:rPr>
                <w:sz w:val="1"/>
                <w:szCs w:val="1"/>
                <w:color w:val="auto"/>
              </w:rPr>
            </w:pPr>
          </w:p>
        </w:tc>
      </w:tr>
      <w:tr>
        <w:trPr>
          <w:trHeight w:val="212"/>
        </w:trPr>
        <w:tc>
          <w:tcPr>
            <w:tcW w:w="6160" w:type="dxa"/>
            <w:vAlign w:val="bottom"/>
            <w:gridSpan w:val="2"/>
          </w:tcPr>
          <w:p>
            <w:pPr>
              <w:jc w:val="right"/>
              <w:ind w:right="938"/>
              <w:spacing w:after="0"/>
              <w:rPr>
                <w:sz w:val="20"/>
                <w:szCs w:val="20"/>
                <w:color w:val="auto"/>
              </w:rPr>
            </w:pPr>
            <w:r>
              <w:rPr>
                <w:rFonts w:ascii="Arial" w:cs="Arial" w:eastAsia="Arial" w:hAnsi="Arial"/>
                <w:sz w:val="16"/>
                <w:szCs w:val="16"/>
                <w:b w:val="1"/>
                <w:bCs w:val="1"/>
                <w:color w:val="auto"/>
              </w:rPr>
              <w:t>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6"/>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September</w:t>
            </w:r>
          </w:p>
        </w:tc>
        <w:tc>
          <w:tcPr>
            <w:tcW w:w="0" w:type="dxa"/>
            <w:vAlign w:val="bottom"/>
          </w:tcPr>
          <w:p>
            <w:pPr>
              <w:spacing w:after="0"/>
              <w:rPr>
                <w:sz w:val="1"/>
                <w:szCs w:val="1"/>
                <w:color w:val="auto"/>
              </w:rPr>
            </w:pPr>
          </w:p>
        </w:tc>
      </w:tr>
      <w:tr>
        <w:trPr>
          <w:trHeight w:val="398"/>
        </w:trPr>
        <w:tc>
          <w:tcPr>
            <w:tcW w:w="12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2010</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2009</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vMerge w:val="continue"/>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90,996</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66,110</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269,029</w:t>
            </w: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181,119</w:t>
            </w:r>
          </w:p>
        </w:tc>
        <w:tc>
          <w:tcPr>
            <w:tcW w:w="80" w:type="dxa"/>
            <w:vAlign w:val="bottom"/>
            <w:shd w:val="clear" w:color="auto" w:fill="CCEEFF"/>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w w:val="95"/>
              </w:rPr>
              <w:t>Cost of products sold (exclusive of depreciation shown separately below)</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75,066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58,981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217,403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169,184</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22,357</w:t>
            </w: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19,779</w:t>
            </w:r>
          </w:p>
        </w:tc>
        <w:tc>
          <w:tcPr>
            <w:tcW w:w="80" w:type="dxa"/>
            <w:vAlign w:val="bottom"/>
            <w:shd w:val="clear" w:color="auto" w:fill="CCEEFF"/>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15,152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15,773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(Gain) loss on disposal of assets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Restructuring and impairment charges</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2,060</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4,742</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11,378</w:t>
            </w: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(28,318)</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vMerge w:val="continue"/>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w:t>
            </w: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4,719</w:t>
            </w:r>
          </w:p>
        </w:tc>
        <w:tc>
          <w:tcPr>
            <w:tcW w:w="80" w:type="dxa"/>
            <w:vAlign w:val="bottom"/>
            <w:shd w:val="clear" w:color="auto" w:fill="CCEEFF"/>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Write-off of unamortized debt issue cost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604</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Other expense (income), net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(1,569)</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vMerge w:val="restart"/>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vMerge w:val="continue"/>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Income (loss) before provision (benefit) for income taxes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(10,470)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7,559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(33,506)</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w:t>
            </w: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20" w:type="dxa"/>
            <w:vAlign w:val="bottom"/>
            <w:vMerge w:val="continue"/>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(1,008)</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(8,983)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(31,974)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220" w:type="dxa"/>
            <w:vAlign w:val="bottom"/>
            <w:vMerge w:val="restart"/>
          </w:tcPr>
          <w:p>
            <w:pPr>
              <w:spacing w:after="0"/>
              <w:rPr>
                <w:sz w:val="16"/>
                <w:szCs w:val="16"/>
                <w:color w:val="auto"/>
              </w:rPr>
            </w:pPr>
          </w:p>
        </w:tc>
        <w:tc>
          <w:tcPr>
            <w:tcW w:w="49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20" w:type="dxa"/>
            <w:vAlign w:val="bottom"/>
            <w:vMerge w:val="continue"/>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Diluted income (loss) per common share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(0.06)</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220" w:type="dxa"/>
            <w:vAlign w:val="bottom"/>
            <w:vMerge w:val="restart"/>
          </w:tcPr>
          <w:p>
            <w:pPr>
              <w:spacing w:after="0"/>
              <w:rPr>
                <w:sz w:val="16"/>
                <w:szCs w:val="16"/>
                <w:color w:val="auto"/>
              </w:rPr>
            </w:pPr>
          </w:p>
        </w:tc>
        <w:tc>
          <w:tcPr>
            <w:tcW w:w="49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20" w:type="dxa"/>
            <w:vAlign w:val="bottom"/>
            <w:vMerge w:val="continue"/>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diluted shares</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16,537</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16,268</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0"/>
        </w:trPr>
        <w:tc>
          <w:tcPr>
            <w:tcW w:w="122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699" w:right="1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89"/>
              </w:rPr>
              <w:t>September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278"/>
              <w:spacing w:after="0"/>
              <w:rPr>
                <w:sz w:val="20"/>
                <w:szCs w:val="20"/>
                <w:color w:val="auto"/>
              </w:rPr>
            </w:pPr>
            <w:r>
              <w:rPr>
                <w:rFonts w:ascii="Arial" w:cs="Arial" w:eastAsia="Arial" w:hAnsi="Arial"/>
                <w:sz w:val="16"/>
                <w:szCs w:val="16"/>
                <w:b w:val="1"/>
                <w:bCs w:val="1"/>
                <w:color w:val="auto"/>
              </w:rPr>
              <w:t>30,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78"/>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2009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Current assets:</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8,744</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66,823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49,412</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Inventories, net</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33,275</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Other current assets</w:t>
            </w:r>
          </w:p>
        </w:tc>
        <w:tc>
          <w:tcPr>
            <w:tcW w:w="2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7,080</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6,852</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Total current assets</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117,721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98,283</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117,481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129,715</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Goodwill, net</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8,638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9,278</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2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5,376</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ind w:left="80"/>
              <w:spacing w:after="0"/>
              <w:rPr>
                <w:sz w:val="20"/>
                <w:szCs w:val="20"/>
                <w:color w:val="auto"/>
              </w:rPr>
            </w:pPr>
            <w:r>
              <w:rPr>
                <w:rFonts w:ascii="Arial" w:cs="Arial" w:eastAsia="Arial" w:hAnsi="Arial"/>
                <w:sz w:val="16"/>
                <w:szCs w:val="16"/>
                <w:color w:val="auto"/>
              </w:rPr>
              <w:t>Total assets</w:t>
            </w:r>
          </w:p>
        </w:tc>
        <w:tc>
          <w:tcPr>
            <w:tcW w:w="2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248,757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242,652</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40" w:type="dxa"/>
            <w:vAlign w:val="bottom"/>
            <w:vMerge w:val="restart"/>
          </w:tcPr>
          <w:p>
            <w:pPr>
              <w:spacing w:after="0"/>
              <w:rPr>
                <w:sz w:val="16"/>
                <w:szCs w:val="16"/>
                <w:color w:val="auto"/>
              </w:rPr>
            </w:pPr>
          </w:p>
        </w:tc>
        <w:tc>
          <w:tcPr>
            <w:tcW w:w="484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Liabilities and Stockholders’ Equity</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Accounts payable</w:t>
            </w:r>
          </w:p>
        </w:tc>
        <w:tc>
          <w:tcPr>
            <w:tcW w:w="2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44,573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38,048</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Accrued salaries, wages and benefits</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14,469</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Current maturities of long-term debt</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65,684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9,405</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2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11,234</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6,567</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135,455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68,489</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3,454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3,558</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77,558</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Other</w:t>
            </w:r>
          </w:p>
        </w:tc>
        <w:tc>
          <w:tcPr>
            <w:tcW w:w="2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15,219</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16,244</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171,271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165,849</w:t>
            </w: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vMerge w:val="continue"/>
          </w:tcPr>
          <w:p>
            <w:pPr>
              <w:spacing w:after="0"/>
              <w:rPr>
                <w:sz w:val="17"/>
                <w:szCs w:val="17"/>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2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77,486</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76,803</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vMerge w:val="continue"/>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242,652</w:t>
            </w:r>
          </w:p>
        </w:tc>
        <w:tc>
          <w:tcPr>
            <w:tcW w:w="10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6"/>
        </w:trPr>
        <w:tc>
          <w:tcPr>
            <w:tcW w:w="1140" w:type="dxa"/>
            <w:vAlign w:val="bottom"/>
            <w:tcBorders>
              <w:bottom w:val="single" w:sz="8" w:color="808080"/>
            </w:tcBorders>
          </w:tcPr>
          <w:p>
            <w:pPr>
              <w:spacing w:after="0"/>
              <w:rPr>
                <w:sz w:val="24"/>
                <w:szCs w:val="24"/>
                <w:color w:val="auto"/>
              </w:rPr>
            </w:pPr>
          </w:p>
        </w:tc>
        <w:tc>
          <w:tcPr>
            <w:tcW w:w="4840" w:type="dxa"/>
            <w:vAlign w:val="bottom"/>
            <w:tcBorders>
              <w:top w:val="single" w:sz="8" w:color="CCEEFF"/>
              <w:bottom w:val="single" w:sz="8" w:color="808080"/>
            </w:tcBorders>
          </w:tcPr>
          <w:p>
            <w:pPr>
              <w:spacing w:after="0"/>
              <w:rPr>
                <w:sz w:val="24"/>
                <w:szCs w:val="24"/>
                <w:color w:val="auto"/>
              </w:rPr>
            </w:pPr>
          </w:p>
        </w:tc>
        <w:tc>
          <w:tcPr>
            <w:tcW w:w="222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18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699"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Reconciliation of Non-GAAP to GAAP Financial Measures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6"/>
                <w:szCs w:val="16"/>
                <w:color w:val="auto"/>
              </w:rPr>
              <w:t>Three Months Ended</w:t>
            </w:r>
          </w:p>
        </w:tc>
        <w:tc>
          <w:tcPr>
            <w:tcW w:w="80" w:type="dxa"/>
            <w:vAlign w:val="bottom"/>
          </w:tcPr>
          <w:p>
            <w:pPr>
              <w:spacing w:after="0"/>
              <w:rPr>
                <w:sz w:val="17"/>
                <w:szCs w:val="17"/>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5"/>
          </w:tcPr>
          <w:p>
            <w:pPr>
              <w:jc w:val="right"/>
              <w:ind w:right="540"/>
              <w:spacing w:after="0"/>
              <w:rPr>
                <w:sz w:val="20"/>
                <w:szCs w:val="20"/>
                <w:color w:val="auto"/>
              </w:rPr>
            </w:pPr>
            <w:r>
              <w:rPr>
                <w:rFonts w:ascii="Arial" w:cs="Arial" w:eastAsia="Arial" w:hAnsi="Arial"/>
                <w:sz w:val="16"/>
                <w:szCs w:val="16"/>
                <w:color w:val="auto"/>
              </w:rPr>
              <w:t>September 30, 2010</w:t>
            </w:r>
          </w:p>
        </w:tc>
        <w:tc>
          <w:tcPr>
            <w:tcW w:w="80" w:type="dxa"/>
            <w:vAlign w:val="bottom"/>
          </w:tcPr>
          <w:p>
            <w:pPr>
              <w:spacing w:after="0"/>
              <w:rPr>
                <w:sz w:val="17"/>
                <w:szCs w:val="17"/>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6"/>
                <w:szCs w:val="16"/>
                <w:color w:val="auto"/>
              </w:rPr>
              <w:t>September 30,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color w:val="auto"/>
                <w:w w:val="96"/>
              </w:rPr>
              <w:t>Diluted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color w:val="auto"/>
              </w:rPr>
              <w:t>Diluted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6"/>
                <w:szCs w:val="16"/>
                <w:color w:val="auto"/>
              </w:rPr>
              <w:t>In</w:t>
            </w: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Earnings</w:t>
            </w:r>
          </w:p>
        </w:tc>
        <w:tc>
          <w:tcPr>
            <w:tcW w:w="80" w:type="dxa"/>
            <w:vAlign w:val="bottom"/>
          </w:tcPr>
          <w:p>
            <w:pPr>
              <w:spacing w:after="0"/>
              <w:rPr>
                <w:sz w:val="17"/>
                <w:szCs w:val="17"/>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6"/>
                <w:szCs w:val="16"/>
                <w:color w:val="auto"/>
              </w:rPr>
              <w:t>In</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Earnings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8"/>
              </w:rPr>
              <w:t>Thousands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88"/>
              </w:rPr>
              <w:t>Per Share</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8"/>
              </w:rPr>
              <w:t>Thousands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86"/>
              </w:rPr>
              <w:t>Per Share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Restructuring and costs for plant closing</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(gain) loss on intercompany loans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Other charges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New program startup costs at Whirlaway</w:t>
            </w: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income from normal operations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3,792</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6"/>
          </w:tcPr>
          <w:p>
            <w:pPr>
              <w:jc w:val="right"/>
              <w:ind w:right="460"/>
              <w:spacing w:after="0"/>
              <w:rPr>
                <w:sz w:val="20"/>
                <w:szCs w:val="20"/>
                <w:color w:val="auto"/>
              </w:rPr>
            </w:pPr>
            <w:r>
              <w:rPr>
                <w:rFonts w:ascii="Arial" w:cs="Arial" w:eastAsia="Arial" w:hAnsi="Arial"/>
                <w:sz w:val="16"/>
                <w:szCs w:val="16"/>
                <w:color w:val="auto"/>
              </w:rPr>
              <w:t>Three Months Ended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6"/>
          </w:tcPr>
          <w:p>
            <w:pPr>
              <w:jc w:val="right"/>
              <w:ind w:right="440"/>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6"/>
          </w:tcPr>
          <w:p>
            <w:pPr>
              <w:jc w:val="right"/>
              <w:ind w:right="480"/>
              <w:spacing w:after="0"/>
              <w:rPr>
                <w:sz w:val="20"/>
                <w:szCs w:val="20"/>
                <w:color w:val="auto"/>
              </w:rPr>
            </w:pPr>
            <w:r>
              <w:rPr>
                <w:rFonts w:ascii="Arial" w:cs="Arial" w:eastAsia="Arial" w:hAnsi="Arial"/>
                <w:sz w:val="16"/>
                <w:szCs w:val="16"/>
                <w:color w:val="auto"/>
              </w:rPr>
              <w:t>September 30, 2009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6"/>
          </w:tcPr>
          <w:p>
            <w:pPr>
              <w:jc w:val="right"/>
              <w:ind w:right="440"/>
              <w:spacing w:after="0"/>
              <w:rPr>
                <w:sz w:val="20"/>
                <w:szCs w:val="20"/>
                <w:color w:val="auto"/>
              </w:rPr>
            </w:pPr>
            <w:r>
              <w:rPr>
                <w:rFonts w:ascii="Arial" w:cs="Arial" w:eastAsia="Arial" w:hAnsi="Arial"/>
                <w:sz w:val="16"/>
                <w:szCs w:val="16"/>
                <w:color w:val="auto"/>
              </w:rPr>
              <w:t>September 30, 2009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Diluted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color w:val="auto"/>
              </w:rPr>
              <w:t>Diluted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6"/>
                <w:szCs w:val="16"/>
                <w:color w:val="auto"/>
              </w:rPr>
              <w:t>In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Earnings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6"/>
                <w:szCs w:val="16"/>
                <w:color w:val="auto"/>
              </w:rPr>
              <w:t>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Earnings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8"/>
              </w:rPr>
              <w:t>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88"/>
              </w:rPr>
              <w:t>Per Share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8"/>
              </w:rPr>
              <w:t>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86"/>
              </w:rPr>
              <w:t>Per Share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(8,983)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(31,974)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Restructuring costs for plant closing</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Valuation allowance on deferred taxes, net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Restructuring charges for Veenendaal facility</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Net loss from normal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(5,940)</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(0.37)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(22,780)</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9160"/>
      </w:cols>
      <w:pgMar w:left="1380" w:top="478"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2"/>
      <w:numFmt w:val="upperLetter"/>
      <w:start w:val="4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2019-12-10T12:03:19Z</dcterms:created>
  <dcterms:modified xsi:type="dcterms:W3CDTF">2019-12-10T12:03:19Z</dcterms:modified>
</cp:coreProperties>
</file>