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425450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520" w:space="720"/>
            <w:col w:w="2860" w:space="720"/>
            <w:col w:w="2220"/>
          </w:cols>
          <w:pgMar w:left="440" w:top="362" w:right="41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2" w:right="419" w:bottom="1440" w:gutter="0" w:footer="0" w:header="0"/>
          <w:type w:val="continuous"/>
        </w:sectPr>
      </w:pPr>
    </w:p>
    <w:p>
      <w:pPr>
        <w:spacing w:after="0" w:line="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6210 Ardrey Kell Road</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28277</w:t>
      </w:r>
    </w:p>
    <w:p>
      <w:pPr>
        <w:spacing w:after="0" w:line="42" w:lineRule="exact"/>
        <w:rPr>
          <w:sz w:val="24"/>
          <w:szCs w:val="24"/>
          <w:color w:val="auto"/>
        </w:rPr>
      </w:pPr>
    </w:p>
    <w:p>
      <w:pPr>
        <w:sectPr>
          <w:pgSz w:w="11900" w:h="16838" w:orient="portrait"/>
          <w:cols w:equalWidth="0" w:num="2">
            <w:col w:w="8320" w:space="720"/>
            <w:col w:w="2000"/>
          </w:cols>
          <w:pgMar w:left="440" w:top="362" w:right="419" w:bottom="1440" w:gutter="0" w:footer="0" w:header="0"/>
          <w:type w:val="continuous"/>
        </w:sectPr>
      </w:pPr>
    </w:p>
    <w:p>
      <w:pPr>
        <w:ind w:left="25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200" w:space="720"/>
            <w:col w:w="2120"/>
          </w:cols>
          <w:pgMar w:left="440" w:top="362"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040"/>
          </w:cols>
          <w:pgMar w:left="440" w:top="362" w:right="419" w:bottom="1440" w:gutter="0" w:footer="0" w:header="0"/>
          <w:type w:val="continuous"/>
        </w:sectPr>
      </w:pPr>
    </w:p>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230505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On December 11, 2019, NN, Inc., a Delaware corporation (the “Company”), completed its previously announced private placement of the Company’s newly designated Series B Convertible Preferred Stock, par value $0.01 per share (the “Series B Preferred Stock”) and common stock purchase warrants (the “Warrants”) (the “Financing Transaction”), pursuant to the terms of that certain Securities Purchase Agreement, dated December 5, 2019 (the “Purchase Agreement”), by and among the Company and affiliates of Corre Partners Management, L.L.C. (“Corre”) and Legion Partners Asset Management, LLC (“Legion”) (collectively, the “Investors”). At the closing, in accordance with the terms and conditions of the Purchase Agreement, the Company sold to the Investors an aggregate of 100,000 shares of Series B Preferred Stock, with a liquidation preference of $1,000 per share, together with Warrants to purchase 1,500,000 shares of the Company’s common stock, par value $0.01 per share (“Common Stock”).</w:t>
      </w:r>
    </w:p>
    <w:p>
      <w:pPr>
        <w:spacing w:after="0" w:line="18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Financing Transaction, the Company received aggregate gross proceeds of $100 million, before deducting transaction expenses. The Company intends to use the proceeds from the Financing Transaction to repay all or a part of the outstanding amounts under the Company’s senior secured revolving credit facility, to prepay the Company’s term loans, to pay any fees (in connection with the Financing Transaction and a possible extension of the maturity date of the Company’s senior debt, the repayment of the senior secured revolving credit facility and prepayment of the term loans), and for general corporate purposes.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w:t>
      </w:r>
    </w:p>
    <w:p>
      <w:pPr>
        <w:spacing w:after="0" w:line="11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by the Company and the Investors and covenants of the Company and the Investors (including indemnification from the Company in the event of breaches of its representations and warranties) and other rights, obligations and restrictions, which the Company believes are customary for transactions of this type.</w:t>
      </w:r>
    </w:p>
    <w:p>
      <w:pPr>
        <w:spacing w:after="0" w:line="174" w:lineRule="exact"/>
        <w:rPr>
          <w:sz w:val="20"/>
          <w:szCs w:val="20"/>
          <w:color w:val="auto"/>
        </w:rPr>
      </w:pPr>
    </w:p>
    <w:p>
      <w:pPr>
        <w:ind w:right="1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Pursuant to the Purchase Agreement, the Company has agreed at the 2020 annual meeting of the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include in its proxy statement (the “Proxy Statement”) prepared and filed with the Securities and Exchange Commission (the “SEC”) a proposal for approval by the holders of Common Stock that is required under listing standards of Nasdaq to approve the issuance of Common Stock upon exercise of the Warrants and conversion or redemption of the Series B Preferred Stock of the Company issued to the Investors pursuant to the Purchase Agreement (the “Stockholder Approval”). Subject to the directors’ fiduciary duties, the Proxy Statement shall include the recommendation from the Company’s Board of Directors that the stockholders vote in favor of the Stockholder Approval. The Company shall use its reasonable best efforts to solicit from the stockholders proxies in favor of the Stockholder Approval and to obtain the Stockholder Approval. The Company has also agreed to use commercially reasonable efforts to increase the number of authorized shares of Common Stock at the Company’s 2023 annual meeting of stockholders.</w:t>
      </w:r>
    </w:p>
    <w:p>
      <w:pPr>
        <w:spacing w:after="0" w:line="189" w:lineRule="exact"/>
        <w:rPr>
          <w:sz w:val="20"/>
          <w:szCs w:val="20"/>
          <w:color w:val="auto"/>
        </w:rPr>
      </w:pPr>
    </w:p>
    <w:p>
      <w:pPr>
        <w:ind w:right="10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Consent Rights</w:t>
      </w:r>
      <w:r>
        <w:rPr>
          <w:rFonts w:ascii="Times New Roman" w:cs="Times New Roman" w:eastAsia="Times New Roman" w:hAnsi="Times New Roman"/>
          <w:sz w:val="18"/>
          <w:szCs w:val="18"/>
          <w:color w:val="auto"/>
        </w:rPr>
        <w:t>: Pursuant to the Purchase Agreement, the Company has agreed with each Investor, subject to certain exceptions, not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certain change in control transactions other than, among others, transactions in which holders of shares of the Series B Preferred Stock are entitled to receive cash in an amount equal to the applicable redemption value plus accrued and unpaid dividends (and less a portion of certain dividend taxes that may be paid or accrued by the Company on behalf of the Investors in respect of the Series B Preferred Stock) (such a change in control transaction, a “Qualifying Transaction”).</w:t>
      </w:r>
    </w:p>
    <w:p>
      <w:pPr>
        <w:spacing w:after="0" w:line="180" w:lineRule="exact"/>
        <w:rPr>
          <w:sz w:val="20"/>
          <w:szCs w:val="20"/>
          <w:color w:val="auto"/>
        </w:rPr>
      </w:pPr>
    </w:p>
    <w:p>
      <w:pPr>
        <w:ind w:right="30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Additional Agreements</w:t>
      </w:r>
      <w:r>
        <w:rPr>
          <w:rFonts w:ascii="Times New Roman" w:cs="Times New Roman" w:eastAsia="Times New Roman" w:hAnsi="Times New Roman"/>
          <w:sz w:val="18"/>
          <w:szCs w:val="18"/>
          <w:color w:val="auto"/>
        </w:rPr>
        <w:t>: The Purchase Agreement contains additional agreements and covenants between the Company and the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restrictions similar to those in the Certificate of Designation regarding dividends and voting rights. In addition, the Company agreed that it will use reasonable best efforts to amend and extend its existing amended and restated credit agreement as soon as practicable after the closing of the Financing Transaction.</w:t>
      </w:r>
    </w:p>
    <w:p>
      <w:pPr>
        <w:spacing w:after="0" w:line="180"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Standstill Exemption</w:t>
      </w:r>
      <w:r>
        <w:rPr>
          <w:rFonts w:ascii="Times New Roman" w:cs="Times New Roman" w:eastAsia="Times New Roman" w:hAnsi="Times New Roman"/>
          <w:sz w:val="18"/>
          <w:szCs w:val="18"/>
          <w:color w:val="auto"/>
        </w:rPr>
        <w:t>: In connection with the Financing Transaction, the Company and Legion have agreed that Legion is exempted from its 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standstill obligation set forth in the Cooperation Agreement dated as of February 25, 2019, between the Company and Legion. Legion, however, remains subject to beneficial ownership limitations applicable to each of the Investors pursuant to the Financing Transaction.</w:t>
      </w:r>
    </w:p>
    <w:p>
      <w:pPr>
        <w:sectPr>
          <w:pgSz w:w="11900" w:h="16838" w:orient="portrait"/>
          <w:cols w:equalWidth="0" w:num="1">
            <w:col w:w="11020"/>
          </w:cols>
          <w:pgMar w:left="440" w:top="266" w:right="439" w:bottom="1440" w:gutter="0" w:footer="0" w:header="0"/>
        </w:sectPr>
      </w:pPr>
    </w:p>
    <w:bookmarkStart w:id="2" w:name="page3"/>
    <w:bookmarkEnd w:id="2"/>
    <w:p>
      <w:pPr>
        <w:ind w:right="62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Purchase Agreement has been included to provide investors with information regarding its terms. It is not intended to provide any factual information about the parties to the agreement or the Company’s business.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Designation</w:t>
      </w:r>
    </w:p>
    <w:p>
      <w:pPr>
        <w:spacing w:after="0" w:line="119"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Financing Transaction, on December 11, 2019, the Company filed a Certificate of Designation of Series B Convertible Preferred Stock (the “Certificate of Designation”) with the Secretary of State of the State of Delaware, establishing the rights, preferences, privileges, qualifications, limitations and restrictions relating to the Series B Preferred Stock. The Certificate of Designation became effective with the Secretary of State of the State of Delaware upon filing.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terms of the Series B Preferred Stock set forth in the Certificate of Designation is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Convertible Preferred Stock, par value $0.01 per share</w:t>
            </w:r>
          </w:p>
        </w:tc>
        <w:tc>
          <w:tcPr>
            <w:tcW w:w="2420" w:type="dxa"/>
            <w:vAlign w:val="bottom"/>
          </w:tcPr>
          <w:p>
            <w:pPr>
              <w:spacing w:after="0"/>
              <w:rPr>
                <w:sz w:val="20"/>
                <w:szCs w:val="20"/>
                <w:color w:val="auto"/>
              </w:rPr>
            </w:pP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Series B Dividend:</w:t>
            </w: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10.625% per annum, cumulative dividends payable quarterly in arrears; provided that if the Company does not</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obtain Stockholder Approval prior to the earlier of (i) June 30, 2020 and (ii) at the Company’s 2020 annual</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meeting of stockholders, the rate shall increase to 11.625% per annum until such Stockholder Approval has</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been obtained. Series B Preferred Stock will fully participate on an as-converted basis in any dividends paid on</w:t>
            </w:r>
          </w:p>
        </w:tc>
      </w:t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Common Stock, using a conversion rate based on a fixed conversion price equal to $7.91.</w:t>
            </w: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 may redeem the shares of Series B Preferred Stock for an amount equal to the applicable</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redemption price set forth below expressed as a percentage of its Liquidation Preference (as defined below),</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any accrued and unpaid Series B Dividends, minus any dividend withholding taxes that the Company is</w:t>
            </w:r>
          </w:p>
        </w:tc>
      </w:t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entitled to set off pursuant to the terms of the Purchase Agreement.</w:t>
            </w:r>
          </w:p>
        </w:tc>
        <w:tc>
          <w:tcPr>
            <w:tcW w:w="2420" w:type="dxa"/>
            <w:vAlign w:val="bottom"/>
          </w:tcPr>
          <w:p>
            <w:pPr>
              <w:spacing w:after="0"/>
              <w:rPr>
                <w:sz w:val="20"/>
                <w:szCs w:val="20"/>
                <w:color w:val="auto"/>
              </w:rPr>
            </w:pPr>
          </w:p>
        </w:tc>
      </w:tr>
      <w:tr>
        <w:trPr>
          <w:trHeight w:val="385"/>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w:t>
            </w:r>
          </w:p>
        </w:tc>
        <w:tc>
          <w:tcPr>
            <w:tcW w:w="242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Percentage of Liquidation Preference</w:t>
            </w:r>
          </w:p>
        </w:tc>
      </w:tr>
      <w:tr>
        <w:trPr>
          <w:trHeight w:val="203"/>
        </w:trPr>
        <w:tc>
          <w:tcPr>
            <w:tcW w:w="2880" w:type="dxa"/>
            <w:vAlign w:val="bottom"/>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On</w:t>
            </w:r>
          </w:p>
        </w:tc>
        <w:tc>
          <w:tcPr>
            <w:tcW w:w="5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or before March 31, 2021</w:t>
            </w:r>
          </w:p>
        </w:tc>
        <w:tc>
          <w:tcPr>
            <w:tcW w:w="2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March 31, 2021 and on or before December 31, 2021</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88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December 31, 2021 and on or before December 31, 2022</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December 31, 2022</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87"/>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March 31, 2021 date shall be deemed May 15, 2021 if the Company has entered into a definitive</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with respect to a transaction that constitutes a Change of Control (as defined in the Purchase</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Agreement) on or prior to March 31, 2021. The redemption price and any accrued and unpaid dividends shall</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paid in cash unless the Company’s outstanding shares of Common Stock have a market capitalization in</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excess of $750 million on the date of the redemption notice, in which case the redemption price may be paid in</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or a combination of cash and shares of Common Stock; provided that the number of shares of Common</w:t>
            </w: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to be delivered will be determined based on 95% of the 30-trading day volume-weighted average price</w:t>
            </w:r>
          </w:p>
        </w:tc>
      </w:t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(“VWAP”).</w:t>
            </w:r>
          </w:p>
        </w:tc>
        <w:tc>
          <w:tcPr>
            <w:tcW w:w="2420" w:type="dxa"/>
            <w:vAlign w:val="bottom"/>
          </w:tcPr>
          <w:p>
            <w:pPr>
              <w:spacing w:after="0"/>
              <w:rPr>
                <w:sz w:val="20"/>
                <w:szCs w:val="20"/>
                <w:color w:val="auto"/>
              </w:rPr>
            </w:pPr>
          </w:p>
        </w:tc>
      </w:tr>
      <w:tr>
        <w:trPr>
          <w:trHeight w:val="30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Conversion Rights/Rates:</w:t>
            </w: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Conversion rate equals (i) the Liquidation Preference, plus any accrued and unpaid Series B Dividends, less</w:t>
            </w:r>
          </w:p>
        </w:tc>
      </w:tr>
      <w:tr>
        <w:trPr>
          <w:trHeight w:val="234"/>
        </w:trPr>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any dividend withholding taxes that the Company is entitled to set off, divided by (ii) the then-applicable</w:t>
            </w:r>
          </w:p>
        </w:tc>
      </w:tr>
    </w:tbl>
    <w:p>
      <w:pPr>
        <w:ind w:left="2980" w:right="340"/>
        <w:spacing w:after="0" w:line="254" w:lineRule="auto"/>
        <w:rPr>
          <w:sz w:val="20"/>
          <w:szCs w:val="20"/>
          <w:color w:val="auto"/>
        </w:rPr>
      </w:pPr>
      <w:r>
        <w:rPr>
          <w:rFonts w:ascii="Times New Roman" w:cs="Times New Roman" w:eastAsia="Times New Roman" w:hAnsi="Times New Roman"/>
          <w:sz w:val="18"/>
          <w:szCs w:val="18"/>
          <w:color w:val="auto"/>
        </w:rPr>
        <w:t>conversion price described below, which conversion price shall be no less than $1.00. In addition, under no circumstances will the aggregate number of Common Stock issued upon conversion of Series B Preferred Stock exceed 40,000,000 unless the Company’s certificate of incorporation is amended to increase the authorized number of shares of Common Stock.</w:t>
      </w:r>
    </w:p>
    <w:p>
      <w:pPr>
        <w:sectPr>
          <w:pgSz w:w="11900" w:h="16838" w:orient="portrait"/>
          <w:cols w:equalWidth="0" w:num="1">
            <w:col w:w="11040"/>
          </w:cols>
          <w:pgMar w:left="440" w:top="270" w:right="419" w:bottom="1440" w:gutter="0" w:footer="0" w:header="0"/>
        </w:sectPr>
      </w:pPr>
    </w:p>
    <w:bookmarkStart w:id="3" w:name="page4"/>
    <w:bookmarkEnd w:id="3"/>
    <w:p>
      <w:pPr>
        <w:ind w:left="298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Company’s consolidated net leverage ratio is equal to or greater than 3.50 to 1.00 as of March 31, 2023 or any quarter ending thereafter, holders of Series B Preferred Stock will have the right to convert at a conversion price that equals 90% of the 30-day VWAP, during a 60-day conversion window.</w:t>
      </w:r>
    </w:p>
    <w:p>
      <w:pPr>
        <w:spacing w:after="0" w:line="203" w:lineRule="exact"/>
        <w:rPr>
          <w:sz w:val="20"/>
          <w:szCs w:val="20"/>
          <w:color w:val="auto"/>
        </w:rPr>
      </w:pPr>
    </w:p>
    <w:p>
      <w:pPr>
        <w:ind w:left="2980" w:right="40"/>
        <w:spacing w:after="0" w:line="261" w:lineRule="auto"/>
        <w:rPr>
          <w:sz w:val="20"/>
          <w:szCs w:val="20"/>
          <w:color w:val="auto"/>
        </w:rPr>
      </w:pPr>
      <w:r>
        <w:rPr>
          <w:rFonts w:ascii="Times New Roman" w:cs="Times New Roman" w:eastAsia="Times New Roman" w:hAnsi="Times New Roman"/>
          <w:sz w:val="18"/>
          <w:szCs w:val="18"/>
          <w:color w:val="auto"/>
        </w:rPr>
        <w:t>Holders of the Series B Preferred Stock will also have the right to convert up to 25% of their shares of Series B Preferred Stock into Common Stock in the quarter following the completion of the Company’s fiscal year ending December 31, 2023, and each quarter ending thereafter at a conversion price that equals a 30-day VWAP, during a 60-day conversion window.</w:t>
      </w:r>
    </w:p>
    <w:p>
      <w:pPr>
        <w:sectPr>
          <w:pgSz w:w="11900" w:h="16838" w:orient="portrait"/>
          <w:cols w:equalWidth="0" w:num="1">
            <w:col w:w="11020"/>
          </w:cols>
          <w:pgMar w:left="440" w:top="378" w:right="439" w:bottom="1440" w:gutter="0" w:footer="0" w:header="0"/>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Preference: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per share of Series B Preferred Stock</w:t>
      </w:r>
    </w:p>
    <w:p>
      <w:pPr>
        <w:spacing w:after="0" w:line="125" w:lineRule="exact"/>
        <w:rPr>
          <w:sz w:val="20"/>
          <w:szCs w:val="20"/>
          <w:color w:val="auto"/>
        </w:rPr>
      </w:pPr>
    </w:p>
    <w:p>
      <w:pPr>
        <w:sectPr>
          <w:pgSz w:w="11900" w:h="16838" w:orient="portrait"/>
          <w:cols w:equalWidth="0" w:num="2">
            <w:col w:w="2260" w:space="720"/>
            <w:col w:w="8040"/>
          </w:cols>
          <w:pgMar w:left="44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Liquidation Value:</w:t>
      </w:r>
    </w:p>
    <w:p>
      <w:pPr>
        <w:spacing w:after="0" w:line="20" w:lineRule="exact"/>
        <w:rPr>
          <w:sz w:val="20"/>
          <w:szCs w:val="20"/>
          <w:color w:val="auto"/>
        </w:rPr>
      </w:pPr>
      <w:r>
        <w:rPr>
          <w:sz w:val="20"/>
          <w:szCs w:val="20"/>
          <w:color w:val="auto"/>
        </w:rPr>
        <w:br w:type="column"/>
      </w: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a liquidation, holders of Series B Preferred Stock will receive the greater of (i) the Liquidation Preference, plus any Series B Dividend accrued and unpaid at the time of such Liquidation, and (ii) the amount such holder of Series B Preferred Stock would have received upon conversion of its shares of Series B Preferred Stock into shares of Common Stock using a conversion rate based on a fixed conversion price equal to $7.91.</w:t>
      </w:r>
    </w:p>
    <w:p>
      <w:pPr>
        <w:spacing w:after="0" w:line="72" w:lineRule="exact"/>
        <w:rPr>
          <w:sz w:val="20"/>
          <w:szCs w:val="20"/>
          <w:color w:val="auto"/>
        </w:rPr>
      </w:pPr>
    </w:p>
    <w:p>
      <w:pPr>
        <w:sectPr>
          <w:pgSz w:w="11900" w:h="16838" w:orient="portrait"/>
          <w:cols w:equalWidth="0" w:num="2">
            <w:col w:w="2260" w:space="720"/>
            <w:col w:w="8040"/>
          </w:cols>
          <w:pgMar w:left="440" w:top="378" w:right="439" w:bottom="1440" w:gutter="0" w:footer="0" w:header="0"/>
          <w:type w:val="continuous"/>
        </w:sect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Limitations on Redemption and Conversion:</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Unless and until the Stockholder Approval is obtained, the holders shall not have the right to acquire shares of Common Stock pursuant to a redemption or conversion of the Series B Preferred Stock in a manner that would violate Nasdaq Listing Rule 5635. Conversion and redemption of Series B Preferred Stock are also subject to certain other beneficial ownership limitations applicable to any holder.</w:t>
      </w:r>
    </w:p>
    <w:p>
      <w:pPr>
        <w:spacing w:after="0" w:line="68" w:lineRule="exact"/>
        <w:rPr>
          <w:sz w:val="20"/>
          <w:szCs w:val="20"/>
          <w:color w:val="auto"/>
        </w:rPr>
      </w:pPr>
    </w:p>
    <w:p>
      <w:pPr>
        <w:sectPr>
          <w:pgSz w:w="11900" w:h="16838" w:orient="portrait"/>
          <w:cols w:equalWidth="0" w:num="2">
            <w:col w:w="2260" w:space="720"/>
            <w:col w:w="8040"/>
          </w:cols>
          <w:pgMar w:left="44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Limitation on Dividends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Redemptions of Junior Securities:</w:t>
      </w:r>
    </w:p>
    <w:p>
      <w:pPr>
        <w:spacing w:after="0" w:line="20" w:lineRule="exact"/>
        <w:rPr>
          <w:sz w:val="20"/>
          <w:szCs w:val="20"/>
          <w:color w:val="auto"/>
        </w:rPr>
      </w:pPr>
      <w:r>
        <w:rPr>
          <w:sz w:val="20"/>
          <w:szCs w:val="20"/>
          <w:color w:val="auto"/>
        </w:rPr>
        <w:br w:type="column"/>
      </w:r>
    </w:p>
    <w:p>
      <w:pPr>
        <w:ind w:right="240"/>
        <w:spacing w:after="0" w:line="258" w:lineRule="auto"/>
        <w:rPr>
          <w:sz w:val="20"/>
          <w:szCs w:val="20"/>
          <w:color w:val="auto"/>
        </w:rPr>
      </w:pPr>
      <w:r>
        <w:rPr>
          <w:rFonts w:ascii="Times New Roman" w:cs="Times New Roman" w:eastAsia="Times New Roman" w:hAnsi="Times New Roman"/>
          <w:sz w:val="18"/>
          <w:szCs w:val="18"/>
          <w:color w:val="auto"/>
        </w:rPr>
        <w:t>Without the prior written consent of the holders of a majority of the outstanding shares of Series B Preferred Stock, the Company shall not, nor shall it permit any subsidiary to, redeem or purchase or otherwise acquire directly or indirectly any junior securities, nor shall the Company directly or indirectly pay or declare any dividend upon any junior securities (including any spin-off or other dividend or distribution of properties, securities or any other assets), subject to certain exceptions.</w:t>
      </w:r>
    </w:p>
    <w:p>
      <w:pPr>
        <w:spacing w:after="0" w:line="72" w:lineRule="exact"/>
        <w:rPr>
          <w:sz w:val="20"/>
          <w:szCs w:val="20"/>
          <w:color w:val="auto"/>
        </w:rPr>
      </w:pPr>
    </w:p>
    <w:p>
      <w:pPr>
        <w:sectPr>
          <w:pgSz w:w="11900" w:h="16838" w:orient="portrait"/>
          <w:cols w:equalWidth="0" w:num="2">
            <w:col w:w="2620" w:space="360"/>
            <w:col w:w="8040"/>
          </w:cols>
          <w:pgMar w:left="440" w:top="37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Holders of the Series B Preferred Stock shall not have any voting rights, other than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amendments to the Company’s organizational documents that generally have an adverse effect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Stock as well as creation or issuance of senior or parity securities; (ii) issuance of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Stock after the closing of the Financing Transaction; (iii) incurrence by the Company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indebtedness other than (x) any indebtedness that would be permitted to be incurred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credit agreement, and (y) (A) indebtedness incurred in connection with refinancing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existing indebtedness outstanding, subject to certain limitations, and (B) indebtedness the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which are contemporaneously used to redeem all outstanding shares of Series B Preferred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(iv) the sale of assets outside the ordinary course of business of the Company, unless (A) such assets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sold for fair market value, (B) 85% of the consideration received in connection with the asset sale is in the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cash or cash equivalents and (C) the Company uses the net cash proceeds from such asset sale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permanently repay its indebtedness, and any net cash proceeds remaining thereafter in excess of $25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used to redeem shares of Series B Preferred Stock and/or pay Series B Dividends.</w:t>
      </w:r>
    </w:p>
    <w:p>
      <w:pPr>
        <w:sectPr>
          <w:pgSz w:w="11900" w:h="16838" w:orient="portrait"/>
          <w:cols w:equalWidth="0" w:num="2">
            <w:col w:w="2260" w:space="720"/>
            <w:col w:w="8040"/>
          </w:cols>
          <w:pgMar w:left="440" w:top="378" w:right="439" w:bottom="1440" w:gutter="0" w:footer="0" w:header="0"/>
          <w:type w:val="continuous"/>
        </w:sectPr>
      </w:pPr>
    </w:p>
    <w:bookmarkStart w:id="4" w:name="page5"/>
    <w:bookmarkEnd w:id="4"/>
    <w:p>
      <w:pPr>
        <w:ind w:left="3200" w:right="40" w:hanging="3200"/>
        <w:spacing w:after="0" w:line="261" w:lineRule="auto"/>
        <w:tabs>
          <w:tab w:leader="none" w:pos="3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Consent Rights:</w:t>
      </w:r>
      <w:r>
        <w:rPr>
          <w:sz w:val="20"/>
          <w:szCs w:val="20"/>
          <w:color w:val="auto"/>
        </w:rPr>
        <w:tab/>
      </w:r>
      <w:r>
        <w:rPr>
          <w:rFonts w:ascii="Times New Roman" w:cs="Times New Roman" w:eastAsia="Times New Roman" w:hAnsi="Times New Roman"/>
          <w:sz w:val="18"/>
          <w:szCs w:val="18"/>
          <w:color w:val="auto"/>
        </w:rPr>
        <w:t>Until affiliates of Corre and Legion, respectively (the “Specified Holders”) cease to hold specified amounts of Series B Preferred Stock, the Company shall not, without the prior consent of each Specified Holder, consummate or effect Change of Control transactions, other than (a) a transaction not approved by the Company’s Board of Directors prior to the consummation thereof or (b) a Qualifying Transaction.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Warrants issued at the closing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Unless and until the Stockholder Approval is obtained, the holders shall not have the right to acquire shares of Common Stock in a manner that would violate Nasdaq Listing Rule 5635. In addition, certain other ownership limitations apply to any holder of a Warrant. The Warrant may be exercised for cash or on a cashless basis, based on an exercise price equal to the closing sale price on the immediately preceding trading day. In connection with a Change of Control transaction, any unexercised Warrants will be, under certain circumstances, deemed to have been exercised on a cashless basis. Warrant holders are entitled to participate in any dividend or other distribution by the Company to holders of shares of its Common Stock, on an as-exercised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Financing Transaction, the Company also entered into a Registration Rights Agreement, dated December 11, 2019, with the Investors (the “Registration Rights Agreement”), under which the Investors are granted certain customary registration rights with respect to their shares of Common Stock, including those underlying the Series B Preferred Stock and Warrants, shares of Series B Preferred Stock and the Warrants. The Registration Rights Agreement contains other customary terms and conditions, including mutual indemnifications by the Company and each Investor.</w:t>
      </w:r>
    </w:p>
    <w:p>
      <w:pPr>
        <w:spacing w:after="0" w:line="184"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Purchase Agreement, the Certificate of Designation, the Warrants and Registration Rights Agreement is only a summary and is qualified in its entirety by the full text of the Purchase Agreement, the Certificate of Designation, the form of Warrant and the Registration Rights Agreement , which are filed as Exhibits 10.1, 3.1, 4.1 and 10.2, respectively, to this Current Report on Form 8-K and are incorporated by reference herein.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121"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offer and sale of the Series B Preferred Stock and Warrants, the Purchase Agreement and the terms of the Series B Preferred Stock is incorporated herein by reference.</w:t>
      </w:r>
    </w:p>
    <w:p>
      <w:pPr>
        <w:spacing w:after="0" w:line="162"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securities in the Financing Transaction were issued and sold in reliance upon the exemption from the registration requirements of the Securities Act of 1933, as amended (the “Securities Act”), set forth under Section 4(a)(2) of the Securities Act relating to sales by an issuer not involving any public offering and in reliance on similar exemptions under applicable state laws. Each Investor represented that it is an accredited investor and that it is acquiring the Series B Preferred Stock and Warrants for investment purposes and not with a view to any distribution of such securities in violation of the United States federal securities laws. Neither this Current Report on Form 8-K, nor the exhibit attached hereto is an offer to sell or the solicitation of an offer to buy the securities described herein.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Certificate of Designation and the terms of the Series B Preferred Stock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121"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information contained in Item 1.01 of this Current Report on Form 8-K regarding the Certificate of Designation and the terms of the Series B Preferred Stock is incorporated herein by reference.</w:t>
      </w:r>
    </w:p>
    <w:p>
      <w:pPr>
        <w:sectPr>
          <w:pgSz w:w="11900" w:h="16838" w:orient="portrait"/>
          <w:cols w:equalWidth="0" w:num="1">
            <w:col w:w="10980"/>
          </w:cols>
          <w:pgMar w:left="440" w:top="374"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20" w:type="dxa"/>
            <w:vAlign w:val="bottom"/>
            <w:gridSpan w:val="3"/>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4"/>
                <w:szCs w:val="24"/>
                <w:color w:val="auto"/>
              </w:rPr>
            </w:pPr>
          </w:p>
        </w:tc>
        <w:tc>
          <w:tcPr>
            <w:tcW w:w="7560" w:type="dxa"/>
            <w:vAlign w:val="bottom"/>
            <w:gridSpan w:val="6"/>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Certificate of Designation of Series B Convertible Preferred Stock of NN, Inc.</w:t>
              </w:r>
            </w:hyperlink>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24"/>
                <w:szCs w:val="24"/>
                <w:color w:val="auto"/>
              </w:rPr>
            </w:pPr>
          </w:p>
        </w:tc>
        <w:tc>
          <w:tcPr>
            <w:tcW w:w="30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Form of Common Stock Purchase Warrant</w:t>
              </w:r>
            </w:hyperlink>
          </w:p>
        </w:tc>
        <w:tc>
          <w:tcPr>
            <w:tcW w:w="2560" w:type="dxa"/>
            <w:vAlign w:val="bottom"/>
            <w:tcBorders>
              <w:top w:val="single" w:sz="8" w:color="0000EE"/>
            </w:tcBorders>
            <w:gridSpan w:val="3"/>
          </w:tcPr>
          <w:p>
            <w:pPr>
              <w:spacing w:after="0"/>
              <w:rPr>
                <w:sz w:val="24"/>
                <w:szCs w:val="24"/>
                <w:color w:val="auto"/>
              </w:rPr>
            </w:pPr>
          </w:p>
        </w:tc>
        <w:tc>
          <w:tcPr>
            <w:tcW w:w="1920" w:type="dxa"/>
            <w:vAlign w:val="bottom"/>
            <w:gridSpan w:val="2"/>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7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Securities Purchase Agreement, dated December 5, 2019, by and among the Company and the Investors</w:t>
              </w:r>
            </w:hyperlink>
          </w:p>
        </w:tc>
        <w:tc>
          <w:tcPr>
            <w:tcW w:w="6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24"/>
                <w:szCs w:val="24"/>
                <w:color w:val="auto"/>
              </w:rPr>
            </w:pPr>
          </w:p>
        </w:tc>
        <w:tc>
          <w:tcPr>
            <w:tcW w:w="7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1">
              <w:r>
                <w:rPr>
                  <w:rFonts w:ascii="Times New Roman" w:cs="Times New Roman" w:eastAsia="Times New Roman" w:hAnsi="Times New Roman"/>
                  <w:sz w:val="18"/>
                  <w:szCs w:val="18"/>
                  <w:color w:val="0000EE"/>
                  <w:w w:val="99"/>
                </w:rPr>
                <w:t>Registration Rights Agreement, dated December 11, 2019, by and among the Company and the Investors</w:t>
              </w:r>
            </w:hyperlink>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Current Report on Form 8-K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the Company’s failure to realize the intended benefits of the Financing Transaction, the inability to pay cash dividends on the Series B Preferred Stock, thus increasing the dilutive impact of the Financing Transaction; the inability of the Company to redeem the Series B Preferred Stock, in cash, if there has been no conversion, change in control or liquidity event;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Current Reports on Form 8-K, whether as a result of new information, future events or otherwise.</w:t>
      </w:r>
    </w:p>
    <w:p>
      <w:pPr>
        <w:sectPr>
          <w:pgSz w:w="11900" w:h="16838" w:orient="portrait"/>
          <w:cols w:equalWidth="0" w:num="1">
            <w:col w:w="10980"/>
          </w:cols>
          <w:pgMar w:left="440" w:top="266" w:right="47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ectPr>
          <w:pgSz w:w="11900" w:h="16838" w:orient="portrait"/>
          <w:cols w:equalWidth="0" w:num="1">
            <w:col w:w="10720"/>
          </w:cols>
          <w:pgMar w:left="440" w:top="266" w:right="7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NN,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225" w:lineRule="exact"/>
        <w:rPr>
          <w:sz w:val="20"/>
          <w:szCs w:val="20"/>
          <w:color w:val="auto"/>
        </w:rPr>
      </w:pPr>
    </w:p>
    <w:p>
      <w:pPr>
        <w:ind w:right="520" w:firstLine="441"/>
        <w:spacing w:after="0" w:line="313" w:lineRule="auto"/>
        <w:rPr>
          <w:sz w:val="20"/>
          <w:szCs w:val="20"/>
          <w:color w:val="auto"/>
        </w:rPr>
      </w:pPr>
      <w:r>
        <w:rPr>
          <w:rFonts w:ascii="Times New Roman" w:cs="Times New Roman" w:eastAsia="Times New Roman" w:hAnsi="Times New Roman"/>
          <w:sz w:val="17"/>
          <w:szCs w:val="17"/>
          <w:color w:val="auto"/>
        </w:rPr>
        <w:t>NN, Inc., a Delaware corporation (the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hereby certifies that, in accordance with the provisions of Section 151 of the General Corporation Law of the State of Delaware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the Board of Directors of the Corporation has duly adopted the following resolutions:</w:t>
      </w:r>
    </w:p>
    <w:p>
      <w:pPr>
        <w:spacing w:after="0" w:line="13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RESOLVED, that, pursuant to Article IV of the Corporation’s Restated Certificate of Incorporation, as amended (which authorizes 5,000,000 shares of preferred stock, par value $0.01 per share of the Corporation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Board of Directors of the Corporation hereby fixes the powers, designations, preferences and relative, participating, optional and other special rights, and the qualifications, limitations and restrictions, of a series of Preferred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each share of such series of Preferred Stock shall rank equally in all respects and shall be subject to the following provisions:</w:t>
      </w:r>
    </w:p>
    <w:p>
      <w:pPr>
        <w:spacing w:after="0" w:line="117" w:lineRule="exact"/>
        <w:rPr>
          <w:sz w:val="20"/>
          <w:szCs w:val="20"/>
          <w:color w:val="auto"/>
        </w:rPr>
      </w:pPr>
    </w:p>
    <w:p>
      <w:pPr>
        <w:jc w:val="both"/>
        <w:ind w:right="2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There is hereby created out of the authorized and unissued shares of Preferred Stock of the Corporation a new series of Preferred Stock designated as the “</w:t>
      </w:r>
      <w:r>
        <w:rPr>
          <w:rFonts w:ascii="Times New Roman" w:cs="Times New Roman" w:eastAsia="Times New Roman" w:hAnsi="Times New Roman"/>
          <w:sz w:val="18"/>
          <w:szCs w:val="18"/>
          <w:u w:val="single" w:color="auto"/>
          <w:color w:val="auto"/>
        </w:rPr>
        <w:t>Series B Convertible Preferred Stock</w:t>
      </w:r>
      <w:r>
        <w:rPr>
          <w:rFonts w:ascii="Times New Roman" w:cs="Times New Roman" w:eastAsia="Times New Roman" w:hAnsi="Times New Roman"/>
          <w:sz w:val="18"/>
          <w:szCs w:val="18"/>
          <w:color w:val="auto"/>
        </w:rPr>
        <w:t>”. The number of shares constituting the Series B Convertible Preferred Stock will be 100,000.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3.1 Holders of Series B Convertible Preferred Stock shall be entitled to receive, when, as and if declared by the Board of Directors, and the Corporation shall pay, out of funds lawfully available therefor, cumulative dividends at the rate per share of Series B Convertible Preferred Stock equal to the Series B Dividend Rate (the “</w:t>
      </w:r>
      <w:r>
        <w:rPr>
          <w:rFonts w:ascii="Times New Roman" w:cs="Times New Roman" w:eastAsia="Times New Roman" w:hAnsi="Times New Roman"/>
          <w:sz w:val="18"/>
          <w:szCs w:val="18"/>
          <w:u w:val="single" w:color="auto"/>
          <w:color w:val="auto"/>
        </w:rPr>
        <w:t>Series B Dividend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Series B Dividend Rate</w:t>
      </w:r>
      <w:r>
        <w:rPr>
          <w:rFonts w:ascii="Times New Roman" w:cs="Times New Roman" w:eastAsia="Times New Roman" w:hAnsi="Times New Roman"/>
          <w:sz w:val="18"/>
          <w:szCs w:val="18"/>
          <w:color w:val="auto"/>
        </w:rPr>
        <w:t>” shall mean 10.625% per annum; provided that if the Corporation does not obtain Stockholder Approval (as defined in the Securities Purchase Agreement) prior to the earlier of (i) June 30, 2020 and (ii) at the Corporation’s 2020 annual meeting of stockholders, the Dividend Rate shall increase to 11.625% per annum until such Stockholder Approval has been obtained. The period from the Issuance Date to and including March 11, 2020 and each period from but excluding a Dividend Payment Date to and including the following Dividend Payment Date is herein referred to as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shall mean March 11, June 11, September 11, and December 11 of each year, commencing on March 11, 2020, and any other date on which the Corporation may determine to pay a Series B Dividend.</w:t>
      </w:r>
    </w:p>
    <w:p>
      <w:pPr>
        <w:spacing w:after="0" w:line="81"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3.2 Series B Dividends shall be payable in arrears on each Dividend Payment Date and shall accrue, whether or not earned or declared, from the most recent Dividend Payment Date, or, in the case of the first Dividend Payment Date, from the Issuance Date. Series B Dividends shall accrue on each outstanding share of Series B Convertible Preferred Stock on the basis of twelve 30-day months and a 360-day year, at the Series B Dividend Rate, on the basis of the sum of (x)</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Liquidation Preference with respect to such share plus (y) the aggregate amount of all Series B Dividend that have previously accumulated or accrued (whether or not declared) but not been paid prior to the first day of the applicable Dividend Period (or, in the case of the first Dividend Period, on the basis of the Liquidation Preference) with respect to such share.</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3.3 If a Series B Dividend is declared by the Board of Directors, then such Series B Dividend shall be paid in cash. The Board of Directors shall not be required to declare any Series B Dividends, and any declaration of a Series B Dividend shall be solely at the discretion of the Board of Directors of the Corporation.</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3.4 Holders of Series B Convertible Preferred Stock shall fully participate, on an as-converted basis, in any dividends declared and paid or distributions on Common Stock as if the Series B Convertible Preferred Stock were converted into shares of Common Stock immediately prior to the record date for such dividend or distribution, at the Conversion Rate in effect on such record date, provided that the Conversion Price used to determine the Conversion Rate for the purpose of this Section 3.4 shall be deemed equal to $7.91 (subject to proportional adjustment for any stock split, stock dividend or stock combination of the Common Stock occurring after the date of the Securities Purchase Agreement).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Prior to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 the event of a liquidation, dissolution or winding up of the affairs of the Corporation, whether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after payment or provision for payment of the debts and other liabilities of the Corporation,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Convertible Preferred Stock shall be entitled to receive, in respect of any shares of Series B Convertible Preferred Stock held by them, out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the Corporation available for distribution to stockholders of the Corporation or their assignees, and subject to the rights of any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Senior Securities and before any amount shall be distributed to the holders of Junior Securities, a liquidating distribution (the “</w:t>
      </w:r>
      <w:r>
        <w:rPr>
          <w:rFonts w:ascii="Times New Roman" w:cs="Times New Roman" w:eastAsia="Times New Roman" w:hAnsi="Times New Roman"/>
          <w:sz w:val="18"/>
          <w:szCs w:val="18"/>
          <w:u w:val="single" w:color="auto"/>
          <w:color w:val="auto"/>
        </w:rPr>
        <w:t>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in an amount equal to the greater of (i) the Liquidation Preference, plus any Series B Dividend accrued and unpaid at the time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and (ii) the amount such holder of Series B Convertible Preferred Stock would have been entitled to receive had such holder converted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B Convertible Preferred Stock into shares of Common Stock at the then-applicable Conversion Rate immediately prior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Liquidation, provided that the Conversion Price used to determine the Conversion Rate for the purpose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be deemed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$7.91 (subject to proportional adjustment for any stock split, stock dividend or stock combination of the Common Stock occurring after the date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Purchase Agreement). If, upon a Liquidation, the assets of the Corporation, or proceeds thereof, distributable among the holders of the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Series B Convertible Preferred Stock and the holders of any shares of Parity Securities ranking on a parity with the Series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with respect to any distribution of assets upon Liquidation are insufficient to pay in full the amount of all such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plus any accrued and unpaid Series B Dividend payable with respect to the Series B Convertible Preferred Stock and all liquidation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payable with respect to any such Parity Securities, then the holders of Series B Convertible Preferred Stock and such Parity Securities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ratably in any distribution of assets in proportion to the full respective preferential amounts to which they are entitled.</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70" w:right="539" w:bottom="1440" w:gutter="0" w:footer="0" w:header="0"/>
        </w:sectPr>
      </w:pPr>
    </w:p>
    <w:bookmarkStart w:id="9" w:name="page10"/>
    <w:bookmarkEnd w:id="9"/>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 The Corporation shall provide the holders of Series B Convertible Preferred Stock appearing on the stock books of the Corporation as of the date of such notice at the address of said holder shown therein with written notice of any Liquidation not less than 30 days prior to the payment date stated therein, which notice shall set forth the payment date, the amount of proceeds to be paid with respect to each share of Series B Convertible Preferred Stock and each share of Senior Securities, Parity Securities and Junior Securities in connection therewith; provided that in the case of any involuntary Liquidation, the Corporation shall provide notice within ten (10) Business Days upon the Corporation becoming aware of any instituted proceeding in respect thereof.</w:t>
      </w:r>
    </w:p>
    <w:p>
      <w:pPr>
        <w:spacing w:after="0" w:line="80"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4.3 After the payment in cash or proceeds to the holders of shares of the Series B Convertible Preferred Stock of the full amount of the Liquidation Distribution with respect to outstanding shares of Series B Convertible Preferred Stock, the holders of outstanding shares of Series B Convertible Preferred Stock shall have no right or claim, based on their ownership of shares of Series B Convertible Preferred Stock, to the remaining assets of the Corporation, if any. Whenever any such distribution shall be paid in property other than cash, the value of such distribution shall be the fair market value of such property, as determined in the good faith reasonable discretion of the Board of Directors or liquidating trustee, as the case may be, and each holder of shares of the Series B Convertible Preferred Stock shall be notified in writing of such distribution and of the value of such other securities or property at least thirty (30) days prior to the scheduled distribution. If, however, holders of a majority of the outstanding shares of Series B Convertible Preferred Stock shall give the Board of Directors written notice at least twenty (20) days prior to the scheduled distribution that such holders disagree with the value placed upon such property (other than cash) by the Board of Directors, then such holders and the Board of Directors shall attempt to agree upon a fair market value. Should such holders and the Board of Directors be unable to agree during the five-day period immediately following the giving of the written notice of such disagreement as to the fair market value without the employment of appraisers, then the Corporation, on the one hand, and such holders, on the other hand, shall each select an appraiser experienced in the business of evaluating or appraising the market value of the relevant securities or property other than securities. The appraisers so selected (the “</w:t>
      </w:r>
      <w:r>
        <w:rPr>
          <w:rFonts w:ascii="Times New Roman" w:cs="Times New Roman" w:eastAsia="Times New Roman" w:hAnsi="Times New Roman"/>
          <w:sz w:val="18"/>
          <w:szCs w:val="18"/>
          <w:u w:val="single" w:color="auto"/>
          <w:color w:val="auto"/>
        </w:rPr>
        <w:t>Initial Appraisers</w:t>
      </w:r>
      <w:r>
        <w:rPr>
          <w:rFonts w:ascii="Times New Roman" w:cs="Times New Roman" w:eastAsia="Times New Roman" w:hAnsi="Times New Roman"/>
          <w:sz w:val="18"/>
          <w:szCs w:val="18"/>
          <w:color w:val="auto"/>
        </w:rPr>
        <w:t>”) shall, on or prior to the scheduled distribution, appraise such securities or other property. If the difference between the resulting appraisals is no greater than ten percent of the higher appraisal, then the average of the appraisals shall be deemed the fair market value; otherwise, the Initial Appraisers shall select an additional appraiser (the “</w:t>
      </w:r>
      <w:r>
        <w:rPr>
          <w:rFonts w:ascii="Times New Roman" w:cs="Times New Roman" w:eastAsia="Times New Roman" w:hAnsi="Times New Roman"/>
          <w:sz w:val="18"/>
          <w:szCs w:val="18"/>
          <w:u w:val="single" w:color="auto"/>
          <w:color w:val="auto"/>
        </w:rPr>
        <w:t>Additional Appraiser</w:t>
      </w:r>
      <w:r>
        <w:rPr>
          <w:rFonts w:ascii="Times New Roman" w:cs="Times New Roman" w:eastAsia="Times New Roman" w:hAnsi="Times New Roman"/>
          <w:sz w:val="18"/>
          <w:szCs w:val="18"/>
          <w:color w:val="auto"/>
        </w:rPr>
        <w:t>”), who shall be experienced in a manner similar to the Initial Appraisers. The Additional Appraiser shall then choose from the values determined by the Initial Appraisers the value that the Additional Appraiser considers closest to the fair market value of the property to be distributed, and such value shall be the fair market value. The Corporation shall pay the expenses and fees of each Appraiser. The fair market value determined pursuant to this provision shall apply to all holders of Series B Convertible Preferred Stock, including any holders of Series B Convertible Preferred Stock not providing notice of a challenge pursuant to this provision.</w:t>
      </w:r>
    </w:p>
    <w:p>
      <w:pPr>
        <w:spacing w:after="0" w:line="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4.4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(by way of merger, consolidation or otherwise) shall not be deemed a voluntary or involuntary liquidation, dissolution or winding up of the affairs of the Corporation,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voluntary or involuntary liquidation, dissolution or winding up of the affairs of the Corporation.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Dividends on and Redemptions of Junior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5.1 For so long as any shares of Series B Convertible Preferred Stock remain outstanding, without the prior written consent of the holders of a majority of the outstanding shares of Series B Convertible Preferred Stock, the Corporation shall not, nor shall it permit any Subsidiary to, redeem, purchase or otherwise acquire directly or indirectly any Junior Securities, nor shall the Corporation directly or indirectly pay or declare any dividend or make any distribution upon any Junior Securities (including any spin-off or other dividend or distribution of properties, securities or any other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Corporation may purchase Junior Securities through the use of proceeds of a substantially contemporaneous sale of other shares of Junior Securities, (ii) the Corporation may purchase Junior Securities as a result of an exchange or conversion of such shares of Junior Securities for any other shares of Junior Securities and purchase any fractional shares of Junior Securities in connection therewith, (iii) the Corporation may pay any dividend in connection with the implementation of a stockholders’ rights or similar plan, or the redemption or repurchase of any rights under any such plan, and (iv) the Corporation may acquire Junior Securities in connection with any employment contract, benefit plan or other similar arrangement with or for the benefit of present or former employees or directors of the Corporation and its Subsidiaries for the purposes of satisfying applicable taxes or netting of applicable exercise price or otherwise as required by any such plan, agreement or arrangement.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Voting Generally</w:t>
      </w:r>
      <w:r>
        <w:rPr>
          <w:rFonts w:ascii="Times New Roman" w:cs="Times New Roman" w:eastAsia="Times New Roman" w:hAnsi="Times New Roman"/>
          <w:sz w:val="18"/>
          <w:szCs w:val="18"/>
          <w:color w:val="auto"/>
        </w:rPr>
        <w:t xml:space="preserve">. The holders of the Series B Convertible Preferred Stock shall be entitled to notice of all stockholders’ meetings in accordance with the Corporation’s bylaws in the election of directors and as otherwise required by applicable law. Except as set forth herein or to the extent required by the DGCL, the holders of the Series B Convertible Preferred Stock shall not have any voting rights. In any case in which the holders shall be entitled to vote as a separate class pursuant to the Certificate of Incorporation, this Certificate of Designation or Delaware law, each holder shall be entitled to one vote for each share of Series B Convertible Preferred Stock held on the record date for determining the stockholders of the Corporation eligible to vote thereon. If the holders are entitled to vote with the holders of the Corporation’s Common Stock, they shall vote on an as converted basis, assuming conversion pursuant to </w:t>
      </w:r>
      <w:r>
        <w:rPr>
          <w:rFonts w:ascii="Times New Roman" w:cs="Times New Roman" w:eastAsia="Times New Roman" w:hAnsi="Times New Roman"/>
          <w:sz w:val="18"/>
          <w:szCs w:val="18"/>
          <w:u w:val="single" w:color="auto"/>
          <w:color w:val="auto"/>
        </w:rPr>
        <w:t>Section 7(i)(b)</w:t>
      </w:r>
      <w:r>
        <w:rPr>
          <w:rFonts w:ascii="Times New Roman" w:cs="Times New Roman" w:eastAsia="Times New Roman" w:hAnsi="Times New Roman"/>
          <w:sz w:val="18"/>
          <w:szCs w:val="18"/>
          <w:color w:val="auto"/>
        </w:rPr>
        <w:t xml:space="preserve"> with a Conversion Date deemed to be the record date for such vote.</w:t>
      </w:r>
    </w:p>
    <w:p>
      <w:pPr>
        <w:spacing w:after="0" w:line="81"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The vote or consent of the holders of at least a majority of the shares of Series B Convertible Preferred Stock outstanding at such time, voting together as a separate class, given in person or by proxy, either in writing without a meeting or by vote at any meeting called for the purpose, will be necessary for effecting or validating any of the following actions, whether or not such approval is required pursuant to the DGCL: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1" w:name="page12"/>
    <w:bookmarkEnd w:id="11"/>
    <w:p>
      <w:pPr>
        <w:ind w:left="-20" w:right="360" w:firstLine="996"/>
        <w:spacing w:after="0" w:line="266" w:lineRule="auto"/>
        <w:tabs>
          <w:tab w:leader="none" w:pos="11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amendment, alteration or repeal (whether by merger, consolidation or otherwise) of any provision of the Restated Certificate of Incorporation (including this Certificate of Designation) or bylaws of the Corporation that would have an adverse effect on the rights, preferences, privileges or voting power of the Series B Convertible Preferred Stock;</w:t>
      </w:r>
    </w:p>
    <w:p>
      <w:pPr>
        <w:spacing w:after="0" w:line="68" w:lineRule="exact"/>
        <w:rPr>
          <w:rFonts w:ascii="Times New Roman" w:cs="Times New Roman" w:eastAsia="Times New Roman" w:hAnsi="Times New Roman"/>
          <w:sz w:val="18"/>
          <w:szCs w:val="18"/>
          <w:color w:val="auto"/>
        </w:rPr>
      </w:pPr>
    </w:p>
    <w:p>
      <w:pPr>
        <w:ind w:left="-20" w:right="80" w:firstLine="996"/>
        <w:spacing w:after="0" w:line="255" w:lineRule="auto"/>
        <w:tabs>
          <w:tab w:leader="none" w:pos="123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amendment or alteration (whether by merger, consolidation or otherwise) of, or any supplement (whether by a certificate of designation or otherwise) to, the Restated Certificate of Incorporation or any provision thereof, or any other action to authorize or create, or increase the number of authorized or issued shares of, or any securities convertible into shares of, or reclassify any security into, any Parity Securities or Senior Securities or any other class or series of Capital Stock of the Corporation ranking senior to, or on a parity basis with, the Series B Convertible Preferred Stock as to dividend rights or rights on the distribution of assets on any voluntary or involuntary liquidation, dissolution or winding up of the affairs of the Corporation or (b) the issuance of any Parity Securities, Senior Securities or any other class or series of Capital Stock of the Corporation ranking senior to, or on a parity basis with, the Series B Convertible Preferred Stock;</w:t>
      </w:r>
    </w:p>
    <w:p>
      <w:pPr>
        <w:spacing w:after="0" w:line="81" w:lineRule="exact"/>
        <w:rPr>
          <w:rFonts w:ascii="Times New Roman" w:cs="Times New Roman" w:eastAsia="Times New Roman" w:hAnsi="Times New Roman"/>
          <w:sz w:val="18"/>
          <w:szCs w:val="18"/>
          <w:color w:val="auto"/>
        </w:rPr>
      </w:pPr>
    </w:p>
    <w:p>
      <w:pPr>
        <w:ind w:left="1300" w:hanging="32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of shares of additional Series B Convertible Preferred Stock after the Issuance Date;</w:t>
      </w:r>
    </w:p>
    <w:p>
      <w:pPr>
        <w:spacing w:after="0" w:line="117" w:lineRule="exact"/>
        <w:rPr>
          <w:rFonts w:ascii="Times New Roman" w:cs="Times New Roman" w:eastAsia="Times New Roman" w:hAnsi="Times New Roman"/>
          <w:sz w:val="18"/>
          <w:szCs w:val="18"/>
          <w:color w:val="auto"/>
        </w:rPr>
      </w:pPr>
    </w:p>
    <w:p>
      <w:pPr>
        <w:ind w:left="-20" w:firstLine="996"/>
        <w:spacing w:after="0" w:line="253" w:lineRule="auto"/>
        <w:tabs>
          <w:tab w:leader="none" w:pos="127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after the date hereof by the Corporation and its Subsidiaries of Indebtedness other than any Indebtedness that would be permitted to be incurred under Section 7.02 of the Credit Agreement as in effect on December 5, 2019, which amount includes the aggregate amount of term loans outstanding thereunder on December 5, 2019 and revolving credit facility available thereunder on December 5, 2019 (it being understood that determination under this clause (iv) of whether an incurrence of Indebtedness would be prohibited under Section 7.02 of the Credit Agreement as it exists on December 5, 2019 shall be made without regard to any limitations or conditions set forth therein based on collateral or subordination matters or credit support, absence of default under the Credit Agreement or application of “Applicable Requirements” as defined in the Credit Agreement), and other than (a) without duplication of the foregoing, any Indebtedness incurred to refinance or replace Indebtedness outstanding on the Issuance Date (including successive refinancings or replacements) in an aggregate principal amount at maturity not to exceed the sum of (1) the principal amount at maturity of the Indebtedness being refinanced, (2) accrued and unpaid interest on the Indebtedness being refinanced and (3) premiums, fees and expenses payable in connection with the repayment of such Indebtedness, and (b) Indebtedness the net proceeds of which are contemporaneously used to redeem all outstanding shares of Series B Convertible Preferred Stock; and</w:t>
      </w:r>
    </w:p>
    <w:p>
      <w:pPr>
        <w:spacing w:after="0" w:line="84" w:lineRule="exact"/>
        <w:rPr>
          <w:rFonts w:ascii="Times New Roman" w:cs="Times New Roman" w:eastAsia="Times New Roman" w:hAnsi="Times New Roman"/>
          <w:sz w:val="18"/>
          <w:szCs w:val="18"/>
          <w:color w:val="auto"/>
        </w:rPr>
      </w:pPr>
    </w:p>
    <w:p>
      <w:pPr>
        <w:ind w:left="-20" w:right="100" w:firstLine="996"/>
        <w:spacing w:after="0" w:line="256" w:lineRule="auto"/>
        <w:tabs>
          <w:tab w:leader="none" w:pos="12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assets outside the ordinary course of business of the Corporation after the date hereof (each, a “</w:t>
      </w:r>
      <w:r>
        <w:rPr>
          <w:rFonts w:ascii="Times New Roman" w:cs="Times New Roman" w:eastAsia="Times New Roman" w:hAnsi="Times New Roman"/>
          <w:sz w:val="18"/>
          <w:szCs w:val="18"/>
          <w:u w:val="single" w:color="auto"/>
          <w:color w:val="auto"/>
        </w:rPr>
        <w:t>Non-Ordinary Course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(it being understood any sale of assets with a fair market value not in excess of $10 million (as determined by the Board of Directors in its good faith discretion) shall be deemed not to be a sale of assets outside the ordinary course of business), unless (a) such assets are sold for fair market value (as determined in the good faith discretion of the Board of Directors), (b) 85% of the consideration received in connection with such asset sale is in the form of cash or cash equivalents and (c) and the Corporation uses the Net Cash Proceeds (as defined in the Credit Agreement) from such asset sale and all other Non-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6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Course Asset Sales to permanently repay Indebtedness and extinguish all commitments for the Indebtedness so repaid and, insofar as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Net Cash Proceeds from any Non-Ordinary Course Asset Sales after repayment and extinguishment of all such Indebtedness exceeds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such excess is applied to redeem shares of Series B Convertible Preferred Stock and/or pay Series B Dividend; provided, that nothing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(v) shall require the Corporation to violate the Credit Agreement;</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authorization or creation of, or the increase in the number of authorized or issued shares of, or any securities convertible into shares of, or the reclassification of any security (other than the Series B Convertible Preferred Stock) into, or the issuance of, Junior Securities will not require the vote of the holders of the Series B Convertible Preferred Stock as long as the proceeds from any such issuance consist entirely of cash and the net proceeds are used by the Corporation to repay indebtedness of the Corporation and/or its Subsidiaries from any such issuance (after payment of related expenses and underwriting, placement agent or broker fees in connection with such issuance) or to redeem shares of Series B Convertible Preferred Stock and/or pay any Series B Dividend, or such issuance is made in connection with a Qualifying Transaction (as defined in the Securities Purchase Agreement) or pursuant to an equity incentive plan.</w:t>
      </w:r>
    </w:p>
    <w:p>
      <w:pPr>
        <w:spacing w:after="0" w:line="81"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Additional Consent Rights</w:t>
      </w:r>
      <w:r>
        <w:rPr>
          <w:rFonts w:ascii="Times New Roman" w:cs="Times New Roman" w:eastAsia="Times New Roman" w:hAnsi="Times New Roman"/>
          <w:sz w:val="18"/>
          <w:szCs w:val="18"/>
          <w:color w:val="auto"/>
        </w:rPr>
        <w:t>. Until affiliates of Corre Partners Management, L.L.C. and Legion Partners Asset Management (the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cease to hold any Series B Convertible Preferred Stock, the Corporation shall not, without the prior consent of each Specified Holder, consummate an agreement that provides for a transaction that constitutes a Change of Control (as defined in the Securities Purchase Agreement), or otherwise effect such a Change of Control, other than (a) a Change of Control not approved by the Board of Directors prior to the consummation thereof or (b) a Qualifying Transaction (as defined in the Securities Purchase Agreement).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Conversion;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20" w:hanging="224"/>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28"/>
        <w:spacing w:after="0" w:line="254"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March 31, 2023 or as of the end of any subsequent fiscal quarter of the Corporation, the Consolidated Net Leverage Ratio is equal to or greater than 3.50 to 1.00, which determination will be made by the Corporation as of the date of the filing of the Corporation’s Quarterly Report on Form 10-Q for such quarterly period, or in the case of the fourth quarter, the Annual Report on Form 10-K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each holder of Series B Convertible Preferred Stock shall have the right for sixty (60) calendar days beginning immediately after notice of such determination is sent to the holders or disclosed on the Corporation’s investor relations website (the “</w:t>
      </w:r>
      <w:r>
        <w:rPr>
          <w:rFonts w:ascii="Times New Roman" w:cs="Times New Roman" w:eastAsia="Times New Roman" w:hAnsi="Times New Roman"/>
          <w:sz w:val="18"/>
          <w:szCs w:val="18"/>
          <w:u w:val="single" w:color="auto"/>
          <w:color w:val="auto"/>
        </w:rPr>
        <w:t>Determination Notice Date</w:t>
      </w:r>
      <w:r>
        <w:rPr>
          <w:rFonts w:ascii="Times New Roman" w:cs="Times New Roman" w:eastAsia="Times New Roman" w:hAnsi="Times New Roman"/>
          <w:sz w:val="18"/>
          <w:szCs w:val="18"/>
          <w:color w:val="auto"/>
        </w:rPr>
        <w:t>”) to elect to convert all or any portion of the shares of Series B Convertible Preferred Stock held by each holder into, with respect to each share of Series B Convertible Preferred Stock so converted, (i) the number of shares of Common Stock equal to the then-applicable Conversion Rate as of the Conversion Date and (ii) the right to receive a cash payment in lieu of fractional shares, if any. A holder may exercise its right of conversion pursuant to</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3" w:name="page14"/>
    <w:bookmarkEnd w:id="13"/>
    <w:p>
      <w:pPr>
        <w:jc w:val="both"/>
        <w:ind w:left="38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w:t>
      </w:r>
      <w:r>
        <w:rPr>
          <w:rFonts w:ascii="Times New Roman" w:cs="Times New Roman" w:eastAsia="Times New Roman" w:hAnsi="Times New Roman"/>
          <w:sz w:val="18"/>
          <w:szCs w:val="18"/>
          <w:u w:val="single" w:color="auto"/>
          <w:color w:val="auto"/>
        </w:rPr>
        <w:t>Section 7.1(i)(a)</w:t>
      </w:r>
      <w:r>
        <w:rPr>
          <w:rFonts w:ascii="Times New Roman" w:cs="Times New Roman" w:eastAsia="Times New Roman" w:hAnsi="Times New Roman"/>
          <w:sz w:val="18"/>
          <w:szCs w:val="18"/>
          <w:color w:val="auto"/>
        </w:rPr>
        <w:t xml:space="preserve"> in respect of all or any portion of such holder’s Series B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no right of conversion may be exercised by a holder on any particular Conversion Date in respect of less than 1,000 shares of Series B Convertible Preferred Stock (unless such conversion relates to all shares of Series B Convertible Preferred Stock held by such holder); and</w:t>
      </w:r>
    </w:p>
    <w:p>
      <w:pPr>
        <w:spacing w:after="0" w:line="68" w:lineRule="exact"/>
        <w:rPr>
          <w:sz w:val="20"/>
          <w:szCs w:val="20"/>
          <w:color w:val="auto"/>
        </w:rPr>
      </w:pPr>
    </w:p>
    <w:p>
      <w:pPr>
        <w:ind w:left="380" w:firstLine="428"/>
        <w:spacing w:after="0" w:line="253" w:lineRule="auto"/>
        <w:tabs>
          <w:tab w:leader="none" w:pos="10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completion of the Corporation’s fiscal year ending December 31, 2023, and each fiscal quarter thereafter, each holder shall have the right for the sixty (60) calendar days beginning immediately after the date of the end of such quarter, to convert all or any portion of the shares of Series B Convertible Preferred Stock held by such holder into, with respect to each share of Series B Convertible Preferred Stock so converted (i) the number of shares of Common Stock equal to the then-applicable Conversion Rate as of the Conversion Date and (ii) the right to receive a cash payment in lieu of fractional shares,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of any shares of Series B Convertible Preferred Stock converted pursuant to this </w:t>
      </w:r>
      <w:r>
        <w:rPr>
          <w:rFonts w:ascii="Times New Roman" w:cs="Times New Roman" w:eastAsia="Times New Roman" w:hAnsi="Times New Roman"/>
          <w:sz w:val="18"/>
          <w:szCs w:val="18"/>
          <w:u w:val="single" w:color="auto"/>
          <w:color w:val="auto"/>
        </w:rPr>
        <w:t>Section 7.1(i)(b)</w:t>
      </w:r>
      <w:r>
        <w:rPr>
          <w:rFonts w:ascii="Times New Roman" w:cs="Times New Roman" w:eastAsia="Times New Roman" w:hAnsi="Times New Roman"/>
          <w:sz w:val="18"/>
          <w:szCs w:val="18"/>
          <w:color w:val="auto"/>
        </w:rPr>
        <w:t xml:space="preserve"> by such holder in any single quarterly conversion quarter of the Corporation shall not exceed 25,000 multiplied by a fraction, the numerator of which shall be the number of shares of Series B Convertible Preferred Stock held by such holder as of the date of the filing of the end of the applicable quarter, and the denominator of which shall be the total number of shares of Series B Convertible Preferred Stock outstanding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right of conversion may be exercised by a holder on any particular Conversion Date in respect of less than 1,000 shares of Series B Convertible Preferred Stock (unless such conversion relates to all shares of Series B Convertible Preferred Stock held by such holder).</w:t>
      </w:r>
    </w:p>
    <w:p>
      <w:pPr>
        <w:spacing w:after="0" w:line="84" w:lineRule="exact"/>
        <w:rPr>
          <w:rFonts w:ascii="Times New Roman" w:cs="Times New Roman" w:eastAsia="Times New Roman" w:hAnsi="Times New Roman"/>
          <w:sz w:val="18"/>
          <w:szCs w:val="18"/>
          <w:color w:val="auto"/>
        </w:rPr>
      </w:pPr>
    </w:p>
    <w:p>
      <w:pPr>
        <w:ind w:left="-60" w:right="80" w:firstLine="996"/>
        <w:spacing w:after="0" w:line="252" w:lineRule="auto"/>
        <w:tabs>
          <w:tab w:leader="none" w:pos="11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Conversion Limitations</w:t>
      </w:r>
      <w:r>
        <w:rPr>
          <w:rFonts w:ascii="Times New Roman" w:cs="Times New Roman" w:eastAsia="Times New Roman" w:hAnsi="Times New Roman"/>
          <w:sz w:val="18"/>
          <w:szCs w:val="18"/>
          <w:color w:val="auto"/>
        </w:rPr>
        <w:t xml:space="preserve">. The Corporation shall not effect any conversion of any shares of Series B Convertible Preferred Stock, and a holder shall not have the right to convert any shares of Series B Convertible Preferred Stock,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otherwise, to the extent that after giving effect to such issuance after conversion as set forth on the applicable Notice of Conversion, the holder (together with its Affiliates, and any other Persons acting as a group together with the holder or any of the holder’s Affiliates), would, when aggregated with all other shares of Common Stock beneficially owned by such holder at such time, beneficially own shares of Common Stock, in excess of the Beneficial Ownership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conversion restriction shall not apply to any conversion in connection with, and subject to completion of, (x) a public sale of the shares of Common Stock to be issued upon such conversion, if following consummation of such sale such holder will not exceed the Beneficial Ownership Limitation or (y) a bona fide third party tender offer for the shares of Common Stock issuable upon conversion. For purposes of the foregoing sentence, the number of shares of Common Stock beneficially owned by the holder and its Affiliates shall include the number of shares of Common Stock issuable upon the conversion of the shares of Series B Convertible Preferred Stock with respect to which such determination is being made, but shall exclude the number of shares of Common Stock which would be issuable upon (i) conversion of the unconverted, remaining Series B Convertible Preferred Stock beneficially owned by the holder or any of its Affiliates and (ii) exercise or conversion of the unexercised or nonconverted portion of any other securities of the Corporation subject to a limitation on conversion or exercise analogous to the limitation contained herein beneficially owned by the holder or any of its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500" w:top="270" w:right="47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Affiliates, including for the avoidance of doubt, the Warrants held by such holder or any of its Affiliates. Except as set forth in the preceding sentence, for purposes of this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beneficial ownership shall be calculated in accordance with Section 13(d)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the rules and regulations promulgated thereunder, it being acknowledged by the holder that the Corporation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applies, the determination of whether certain shares of Series B Convertible Preferred Stock is then convertible (in relation to other securities owned by the holder together with any Affiliates) and the number of shares that may be elected for conversion in accordance with this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shall be in the sole discretion of the holder, and the submission of a Notice of Conversion shall be deemed to be the holder’s determination of whether such shares of Series B Convertible Preferred Stock elected for conversion are convertible (in relation to other securities owned by the holder together with any Affiliates) and the number of shares that may be elected for conversion, in each case subject to the Beneficial Ownership Limitation, and the Corporation shall have no obligation to verify or confirm the accuracy of such determination and shall have no liability for conversion of shares of Series B Convertible Preferred Stock that are not in compliance with the Beneficial Ownership Limitation. In addition, a determination as to any group status as contemplated above shall be determined in accordance with Section 13(d) of the Exchange Act and the rules and regulations promulgated thereunder and the Corporation shall have no obligation to verify or confirm the accuracy of such determination and shall have no liability for conversion of shares of Series B Convertible Preferred Stock that are not in compliance with the Beneficial Ownership Limitation. For purposes of this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in determining the number of outstanding shares of Common Stock, the holder may rely on the number of outstanding shares of Common Stock as reflected in (A) the Corporation’s most recent periodic or annual report filed with the Securities and Exchange Commission, as the case may be, (B) a more recent public announcement by the Corporation or (C) a more recent written notice by the Corporation or the Transfer Agent setting forth the number of shares of Common Stock outstanding. Upon the written request of the holder, the Corporation shall within two (2) trading days confirm to the holder the number of shares of Common Stock then outstanding. In any case, the number of outstanding shares of Common Stock shall be determined after giving effect to the conversion or exercise of securities of the Corporation, including shares of Series B Convertible Preferred Stock, by the holder or its Affiliates since the date as of which such number of outstanding shares of Common Stock was reported. The provisions of this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shall be construed and implemented in a manner otherwise than in strict conformity with the terms thereof to correct this paragraph (or any portion hereof) which may be defective or inconsistent with the intended Beneficial Ownership Limitation herein contained or to make changes or supplements necessary or desirable to properly give effect to such limitation or the application of the rules of The Nasdaq Stock Market.</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Procedures for Conversion</w:t>
      </w:r>
      <w:r>
        <w:rPr>
          <w:rFonts w:ascii="Times New Roman" w:cs="Times New Roman" w:eastAsia="Times New Roman" w:hAnsi="Times New Roman"/>
          <w:sz w:val="18"/>
          <w:szCs w:val="18"/>
          <w:color w:val="auto"/>
        </w:rPr>
        <w:t xml:space="preserve">. In order to convert shares of Series B Convertible Preferred Stock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 holder must</w:t>
      </w:r>
    </w:p>
    <w:p>
      <w:pPr>
        <w:spacing w:after="0" w:line="27" w:lineRule="exact"/>
        <w:rPr>
          <w:sz w:val="20"/>
          <w:szCs w:val="20"/>
          <w:color w:val="auto"/>
        </w:rPr>
      </w:pPr>
    </w:p>
    <w:p>
      <w:pPr>
        <w:jc w:val="both"/>
        <w:ind w:right="240" w:firstLine="4"/>
        <w:spacing w:after="0" w:line="255"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Corporation (or such other office or agency of the Corporation as it may designate by notice in writing to the registered holder at the address of the holder appearing on the books of the Corporation) (i) a duly completed and executed copy of a notice of conversion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(ii) the certificate or certificates (if any) of the Series B Convertible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5" w:name="page16"/>
    <w:bookmarkEnd w:id="1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Preferred Stock to be converted; and (iii) if required, appropriate endorsements and transfer documents; and (b) if required, pay any stock transfer, documentary, stamp or similar taxes payable by the holder under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The date on which such deliveries shall have taken place shall be referred to herein as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60" w:firstLine="441"/>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Adjustment for Reclassifications and Reorganizations</w:t>
      </w:r>
      <w:r>
        <w:rPr>
          <w:rFonts w:ascii="Times New Roman" w:cs="Times New Roman" w:eastAsia="Times New Roman" w:hAnsi="Times New Roman"/>
          <w:sz w:val="18"/>
          <w:szCs w:val="18"/>
          <w:color w:val="auto"/>
        </w:rPr>
        <w:t xml:space="preserve">. If the Common Stock issuable upon conversion of the shares of Series B Convertible Preferred Stock shall be changed into the same or a different number of shares of any other class or classes of stock, whether by capital reorganization, reclassification or otherwise (other than a merger or other reorganization provided for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then, in each such event, each Share shall thereafter be convertible into the kind and amount of shares of stock and other securities or property which the holder of that number of shares of Common Stock (or other securities) into which such shares of Series B Convertible Preferred Stock shall be convertible immediately prior to such event would be entitled to receive upon the occurrence of such event (using the Conversion Rate set forth in </w:t>
      </w:r>
      <w:r>
        <w:rPr>
          <w:rFonts w:ascii="Times New Roman" w:cs="Times New Roman" w:eastAsia="Times New Roman" w:hAnsi="Times New Roman"/>
          <w:sz w:val="18"/>
          <w:szCs w:val="18"/>
          <w:u w:val="single" w:color="auto"/>
          <w:color w:val="auto"/>
        </w:rPr>
        <w:t>Section 7.1(i)(b)</w:t>
      </w:r>
      <w:r>
        <w:rPr>
          <w:rFonts w:ascii="Times New Roman" w:cs="Times New Roman" w:eastAsia="Times New Roman" w:hAnsi="Times New Roman"/>
          <w:sz w:val="18"/>
          <w:szCs w:val="18"/>
          <w:color w:val="auto"/>
        </w:rPr>
        <w:t xml:space="preserve">). In every such case, appropriate adjustments shall be made in the application of 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with respect to the rights of the holders after such event to the end that the provisions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adjustment of the Conversion Price then in effect and the kind and amount of shares or other property into which the shares of Series B Convertible Preferred Stock may be converted), shall be applicable after that event, as nearly equivalent as may be practicable. In case any securities, other than Common Stock, shall at the time be receivable by any holder upon conversion of the shares of Series B Convertible Preferred Stock, and in case any additional shares of such securities or any securities convertible into or exchangeable for such securities shall be issued or sold for consideration so as to dilute the conversion rights of the shares of Series B Convertible Preferred Stock, then, in each such case, the Conversion Rate or number of shares of such securities receivable by the shares of Series B Convertible Preferred Stock upon conversion shall be adjusted substantially in the manner provided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so as to protect the holders against the effect of such dilution.</w:t>
      </w:r>
    </w:p>
    <w:p>
      <w:pPr>
        <w:spacing w:after="0" w:line="9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Adjustment for Merger or Consolidation</w:t>
      </w:r>
      <w:r>
        <w:rPr>
          <w:rFonts w:ascii="Times New Roman" w:cs="Times New Roman" w:eastAsia="Times New Roman" w:hAnsi="Times New Roman"/>
          <w:sz w:val="18"/>
          <w:szCs w:val="18"/>
          <w:color w:val="auto"/>
        </w:rPr>
        <w:t xml:space="preserve">. If the Corporation shall at any time merge or consolidate with or into another corporation (other than where the Corporation is the surviving corporation and there is no reclassification or change in the Common Stock into which the shares of Series B Convertible Preferred Stock may be converted) that, in each case, does not meet the definition of Change in Control (as defined in the Securities Purchase Agreement), provisions shall be made to assure that the holders shall thereafter be entitled to receive, upon conversion of the shares of Series B Convertible Preferred Stock, the kind and amount of shares of stock and other securities or property of the Corporation or the successor corporation resulting from such merger or consolidation, or such successor corporation’s or the Corporation’s parent, that the holders of that number of shares of Common Stock (or other securities) into which the shares of Series B Convertible Preferred Stock shall be convertible immediately prior to such merger or consolidation (at the Conversion Rate set forth in </w:t>
      </w:r>
      <w:r>
        <w:rPr>
          <w:rFonts w:ascii="Times New Roman" w:cs="Times New Roman" w:eastAsia="Times New Roman" w:hAnsi="Times New Roman"/>
          <w:sz w:val="18"/>
          <w:szCs w:val="18"/>
          <w:u w:val="single" w:color="auto"/>
          <w:color w:val="auto"/>
        </w:rPr>
        <w:t>Section 7.1(i)(b)</w:t>
      </w:r>
      <w:r>
        <w:rPr>
          <w:rFonts w:ascii="Times New Roman" w:cs="Times New Roman" w:eastAsia="Times New Roman" w:hAnsi="Times New Roman"/>
          <w:sz w:val="18"/>
          <w:szCs w:val="18"/>
          <w:color w:val="auto"/>
        </w:rPr>
        <w:t xml:space="preserve">) would be entitled to receive in such merger or consolidation. In every such case, appropriate adjustment shall be made in the application of the provision of this Section 7.4 with respect to the rights of the holders after the merger or consolidation to the end that 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(including adjustment of the Conversion Rate then in effect and the kind and amount of shares or other property into which the shares of Series B Convertible Preferred Stock may be converted) and the other terms set forth herein shall be applicable after that event, as nearly equivalent as may be practicable. In case 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6" w:name="page17"/>
    <w:bookmarkEnd w:id="16"/>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other than Common Stock, shall at the time be receivable by any holder upon the conversion of shares of Series B Convertible Preferred Stock, and in case any additional shares of such securities or any securities convertible into or convertible for such securities shall be issued or sold for a consideration such as to dilute the conversion rights of the shares of Series B Convertible Preferred Stock, then, in each such case, the Conversion Rate or number of shares of such securities receivable by the shares of Series B Convertible Preferred Stock upon conversion shall be adjusted substantially in the manner provided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so as to protect the holders against the effect of such dilution.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6"/>
        <w:spacing w:after="0" w:line="254" w:lineRule="auto"/>
        <w:tabs>
          <w:tab w:leader="none" w:pos="12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has the option in its sole discretion, from time to time other than in connection with a Liquidation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to redeem all or a portion (but in no less than $1,000,000 increments based on the Liquidation Preference as of the date of the Redemption Notice (or such lesser amount to the extent the Redemption Notice relates to all of the outstanding shares of the Series B Convertible Preferred Stock)) of the then outstanding shares of Series B Convertible Preferred Stock, for an amount per share of Series B Convertible Preferred Stock equal to (x) the applicable redemption price set forth below, expressed as a percentage of the Liquidation Preference of such share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plus</w:t>
      </w:r>
    </w:p>
    <w:p>
      <w:pPr>
        <w:spacing w:after="0" w:line="3" w:lineRule="exact"/>
        <w:rPr>
          <w:rFonts w:ascii="Times New Roman" w:cs="Times New Roman" w:eastAsia="Times New Roman" w:hAnsi="Times New Roman"/>
          <w:sz w:val="18"/>
          <w:szCs w:val="18"/>
          <w:color w:val="auto"/>
        </w:rPr>
      </w:pPr>
    </w:p>
    <w:p>
      <w:pPr>
        <w:ind w:right="140" w:firstLine="4"/>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Series B Dividend that is accrued but unpaid with respect to such share at the Redemption Date, minus (z) the 35% of the aggregate amount of any Dividend Withholding Taxes (as defined in the Securities Purchase Agreement) that the Company has paid prior to the Redemption Date with respect to such share, including for the avoidance of doubt, in connection with any dividends paid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will pay or otherwise be required to deduct and withhold in connection with any redemption of such share of Series B Convertible Preferred Stock, (it being understood that the Corporation shall be responsible for paying 65% of any Dividend Withholding Tax on such share and any Dividend Withholding Taxes or other withholding taxes imposed by Sections 1441 or 1442 of the Internal Revenue Code of 1986, as amended, on the amounts borne by the Corporation on behalf of the holder pursuant to Section 5.09(a) of the Securities Purchase Agreement) if redeemed during the periods indicated below:</w:t>
      </w:r>
    </w:p>
    <w:p>
      <w:pPr>
        <w:spacing w:after="0" w:line="19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960" w:type="dxa"/>
            <w:vAlign w:val="bottom"/>
            <w:gridSpan w:val="3"/>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522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65"/>
        </w:trPr>
        <w:tc>
          <w:tcPr>
            <w:tcW w:w="300" w:type="dxa"/>
            <w:vAlign w:val="bottom"/>
            <w:tcBorders>
              <w:bottom w:val="single" w:sz="8" w:color="auto"/>
            </w:tcBorders>
            <w:vMerge w:val="continue"/>
          </w:tcPr>
          <w:p>
            <w:pPr>
              <w:spacing w:after="0"/>
              <w:rPr>
                <w:sz w:val="13"/>
                <w:szCs w:val="13"/>
                <w:color w:val="auto"/>
              </w:rPr>
            </w:pPr>
          </w:p>
        </w:tc>
        <w:tc>
          <w:tcPr>
            <w:tcW w:w="52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On or prior to the Specified Date</w:t>
            </w:r>
          </w:p>
        </w:tc>
        <w:tc>
          <w:tcPr>
            <w:tcW w:w="9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105.00%</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Specified Date and on or prior to December 31, 2021</w:t>
            </w: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December 31, 2021 and on or prior to December 31, 2022</w:t>
            </w:r>
          </w:p>
        </w:tc>
        <w:tc>
          <w:tcPr>
            <w:tcW w:w="1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December 31, 2022</w:t>
            </w:r>
          </w:p>
        </w:tc>
        <w:tc>
          <w:tcPr>
            <w:tcW w:w="1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means March 31, 2021, but shall be deemed to be May 15, 2021 if the Corporation has, on or prior to March 31, 2021, entered into a legally binding, definitive agreement with respect to a transaction that constitutes a Change of Control (as defined in the Securities Purchase Agreement) and as of the applicable date of redemption such agreement has not been terminated. The Redemption Price and any accrued and unpaid Series B Dividend payable therewith shall be paid in cash unless the Corporation’s outstanding shares of Common Stock have a market capitalization in excess of $750 million on the date of the Redemption Notice (as defined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7" w:name="page18"/>
    <w:bookmarkEnd w:id="1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without giving effect to such redemption, in which case the Redemption Price may be paid either in cash or, at the Corporation’s option, a combination of cash and shares of Common Stock (“</w:t>
      </w:r>
      <w:r>
        <w:rPr>
          <w:rFonts w:ascii="Times New Roman" w:cs="Times New Roman" w:eastAsia="Times New Roman" w:hAnsi="Times New Roman"/>
          <w:sz w:val="18"/>
          <w:szCs w:val="18"/>
          <w:u w:val="single" w:color="auto"/>
          <w:color w:val="auto"/>
        </w:rPr>
        <w:t>Combination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Common Stock to be delivered in case of a Combination Settlement shall equal the portion of the Redemption Price and any accrued and unpaid Series B Dividend payable therewith (which may be up to all of the Redemption Price and any accrued and unpaid Series B Dividend payable therewith, but in any event may not, (i) exceed the Maximum Percentage (as defined below) and (ii) unless and until the Stockholder Approval has been obtained, exceed the maximum number of shares of Common Stock that can then be issued without exceeding the Share Cap or cause any holder of Series B Convertible Preferred Stock to exceed clause (b) of the Beneficial Ownership Limitation (in which case the excess of the Redemption Price over the Beneficial Ownership Limitation plus any accrued and unpaid Series B Dividend must be paid in cash)) elected by the Corporation to be delivered in shares of Common Stock dividend by 95% of the volume-weighted average closing sale price per share of Common Stock on the principal national securities exchange on which the Common Stock is listed, for the thirty (30) consecutive trading days ending on, and including, the second trading day prior to the applicable Redemption Date. The Corporation may exercise its redemption option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by delivery of written notice to the holders of shares of the Series B Convertible Preferred Stock (the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Such redemption shall be completed on a date specified in the Redemption Notice, which shall be not less than five (5) Business Days (or, in the case of a Combination Settlement, not less than fifteen (15) Business Days) and not more than thirty</w:t>
      </w:r>
    </w:p>
    <w:p>
      <w:pPr>
        <w:spacing w:after="0" w:line="2" w:lineRule="exact"/>
        <w:rPr>
          <w:sz w:val="20"/>
          <w:szCs w:val="20"/>
          <w:color w:val="auto"/>
        </w:rPr>
      </w:pPr>
    </w:p>
    <w:p>
      <w:pPr>
        <w:ind w:right="20" w:firstLine="4"/>
        <w:spacing w:after="0" w:line="254"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date of the Redemption Notice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and may be, at the Corporation’s discretion, be subject to one or more conditions precedent. If the Corporation redeems only a portion of the then outstanding shares of Series B Convertible Preferred Stock, the shares of Series B Convertible Preferred Stock subject to such redemption shall be allocated pro rata among the holders of the outstanding shares of Series B Convertible Preferred Stock.</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Limitations on Conversion or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6"/>
        <w:spacing w:after="0" w:line="255" w:lineRule="auto"/>
        <w:tabs>
          <w:tab w:leader="none" w:pos="12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Certificate of Designation to the contrary, the holders shall not have the right to acquire shares of Common Stock pursuant to a redemption or conversion of the Series B Convertible Preferred Stock, and the Corporation shall not issue shares of Common Stock pursuant to a redemption or conversion of the Series B Convertible Preferred Stock, in each case until following the first meeting of stockholders of the Corporation at which a vote is held on a proposal with respect to the Stockholder Approval. Notwithstanding anything in this Certificate of Designations to the contrary, unless and until the Stockholder Approval is obtained, the holders shall not have the right to acquire shares of Common Stock pursuant to a redemption or conversion of the Series B Convertible Preferred Stock, and the Corporation shall not issue shares of Common Stock pursuant to a redemption or conversion of the Series B Convertible Preferred Stock, which shares of Common Stock would exceed the Share Cap or that would cause a holder to exceed clause (b) of the definition of Beneficial Ownership Limitation.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8" w:name="page19"/>
    <w:bookmarkEnd w:id="18"/>
    <w:p>
      <w:pPr>
        <w:ind w:left="-20" w:firstLine="996"/>
        <w:spacing w:after="0" w:line="251" w:lineRule="auto"/>
        <w:tabs>
          <w:tab w:leader="none" w:pos="12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herein (including Section 7.6(i)), no holder shall be permitted to convert its shares of Series B Convertible Preferred Stock into Common Stock (and the Corporation shall not effect any such conversion) nor may the Corporation redeem such shares of Series B Convertible Preferred Stock for Common Stock to the extent that after giving effect to such conversion or redemption, the holder (together with any other Person whose beneficial ownership of Common Stock would be aggregated with the holder for purposes of Section 13(d) or Section 16 of the Exchange Act and the applicable regulations of the Commission thereunder, including any “group” of which any holder is or may be deemed a member (collectively, the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conversion or redemption. For purposes of the foregoing sentence, the aggregate number of shares of Common Stock beneficially owned by such holder and its Attribution Parties shall include the number of shares of Common Stock issuable upon the conversion or redemption of the shares of Series B Convertible Preferred Stock with respect to which the determination of such sentence is being made, but shall exclude the number of shares of Common Stock which would be issuable upon (A) conversion or redemption of the unconverted or unredeemed, remaining Series B Convertible Preferred Stock beneficially owned by the holder and its Attribution Parties and (ii) exercise or conversion of the unexercised or unconverted portion of any other securities of the Corporation subject to a limitation on conversion or exercise analogous to the limitation contained in this Section 7.6(ii) beneficially owned by the holder and its Attribution Parties, including for the avoidance of doubt, the Warrants held by such holder and its Attribution Parties. In the event that the issuance of shares of Common Stock to the holder upon conversion or redemption of any or all of the holders shares of Series B Convertible Preferred Stock results in the holder and its Attribution Parties being deemed to beneficially own, in the aggregate, more than the Maximum Percentage (as determined under Section 13(d) of the Exchange Act), the number of shares so issued by which the holder’s and its Attribution Parties’ aggregate beneficial ownership exceeds the applicable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shall not have the power to vote or to transfer such Excess Shares. Upon delivery of a written notice to the Corporation by any holder, the Maximum Percentage may be increased or decreased with respect to such holder to any other percentage as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Percentage shall be at all times subject to the applicable Beneficial Ownership Limitations;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any such increase or decrease in the Maximum Percentage will not be effective until the 75th day after such notice is delivered to the Corporation and (ii) any such increase or decrease will apply only to the holder and its Attribution Parties requesting such increase or decrease and not to any other holder of Series B Convertible Preferred Stock. For purposes of clarity, the shares of Common Stock issuable pursuant to the terms of the Series B Convertible Preferred Stock in excess of the Maximum Percentage shall not be deemed to be beneficially owned by any Attribution Party for any purpose including for purposes of Section 13(d) or Rule 16a-1(a)(1) of the Exchange Act. No prior inability to convert or redeem the Series B Convertible Preferred Stock pursuant to this paragraph shall have any effect on the applicability of the provisions of this paragraph with respect to any subsequent determination of conversion or redemption.</w:t>
      </w:r>
    </w:p>
    <w:p>
      <w:pPr>
        <w:spacing w:after="0" w:line="97" w:lineRule="exact"/>
        <w:rPr>
          <w:rFonts w:ascii="Times New Roman" w:cs="Times New Roman" w:eastAsia="Times New Roman" w:hAnsi="Times New Roman"/>
          <w:sz w:val="18"/>
          <w:szCs w:val="18"/>
          <w:color w:val="auto"/>
        </w:rPr>
      </w:pPr>
    </w:p>
    <w:p>
      <w:pPr>
        <w:ind w:left="-20" w:right="60" w:firstLine="996"/>
        <w:spacing w:after="0" w:line="261" w:lineRule="auto"/>
        <w:tabs>
          <w:tab w:leader="none" w:pos="12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7.6(ii)</w:t>
      </w:r>
      <w:r>
        <w:rPr>
          <w:rFonts w:ascii="Times New Roman" w:cs="Times New Roman" w:eastAsia="Times New Roman" w:hAnsi="Times New Roman"/>
          <w:sz w:val="18"/>
          <w:szCs w:val="18"/>
          <w:color w:val="auto"/>
        </w:rPr>
        <w:t>, in determining the number of outstanding shares of Common Stock, the applicable holder may rely on the number of outstanding shares of Common Stock as reflected in (A) the Corporation’s most recent periodic or annual report filed with the Securities and Exchange Commission, as the case may be, (B) a more recent public announcement by the Corporation or (C) a more recent written notice by the Corporation or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60" w:top="270" w:right="439" w:bottom="1440" w:gutter="0" w:footer="0" w:header="0"/>
        </w:sectPr>
      </w:pPr>
    </w:p>
    <w:bookmarkStart w:id="19" w:name="page20"/>
    <w:bookmarkEnd w:id="19"/>
    <w:p>
      <w:pPr>
        <w:ind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Agent (as defined below) setting forth the number of shares of Common Stock outstanding (such number of outstanding shares of Common Stock, the “</w:t>
      </w:r>
      <w:r>
        <w:rPr>
          <w:rFonts w:ascii="Times New Roman" w:cs="Times New Roman" w:eastAsia="Times New Roman" w:hAnsi="Times New Roman"/>
          <w:sz w:val="17"/>
          <w:szCs w:val="17"/>
          <w:u w:val="single" w:color="auto"/>
          <w:color w:val="auto"/>
        </w:rPr>
        <w:t>Reported Outstanding Share Number</w:t>
      </w:r>
      <w:r>
        <w:rPr>
          <w:rFonts w:ascii="Times New Roman" w:cs="Times New Roman" w:eastAsia="Times New Roman" w:hAnsi="Times New Roman"/>
          <w:sz w:val="17"/>
          <w:szCs w:val="17"/>
          <w:color w:val="auto"/>
        </w:rPr>
        <w:t xml:space="preserve">”). Upon the written request of any holder, the Corporation, or the Transfer Agent on behalf of the Corporation, shall, within two (2) trading days, confirm to the holder the number of shares of Common Stock then outstanding. In any case, the number of outstanding shares of Common Stock shall be determined after giving effect to the conversion or exercise of securities of the Corporation, including shares of Series B Convertible Preferred Stock and Warrants, by the holder or its Affiliates since the date as of which such number of outstanding shares of Common Stock was reported. If the Corporation receives a Notice of Conversion from a holder at a time when the actual number of outstanding shares of Common Stock is less than the Reported Outstanding Share Number, the Corporation shall notify the holder in writing of the number of shares of Common Stock then outstanding and, to the extent that such Notice of Conversion would otherwise cause the holder’s beneficial ownership, as determined pursuant to </w:t>
      </w:r>
      <w:r>
        <w:rPr>
          <w:rFonts w:ascii="Times New Roman" w:cs="Times New Roman" w:eastAsia="Times New Roman" w:hAnsi="Times New Roman"/>
          <w:sz w:val="17"/>
          <w:szCs w:val="17"/>
          <w:u w:val="single" w:color="auto"/>
          <w:color w:val="auto"/>
        </w:rPr>
        <w:t>Section 7.6(ii)</w:t>
      </w:r>
      <w:r>
        <w:rPr>
          <w:rFonts w:ascii="Times New Roman" w:cs="Times New Roman" w:eastAsia="Times New Roman" w:hAnsi="Times New Roman"/>
          <w:sz w:val="17"/>
          <w:szCs w:val="17"/>
          <w:color w:val="auto"/>
        </w:rPr>
        <w:t>, to exceed the Maximum Percentage, the holder must notify the Corporation of a reduced number of shares of Series B Convertible Preferred Stock to be converted pursuant to such Notice of Conversion (the number of shares by which such purchase is reduced, the “</w:t>
      </w:r>
      <w:r>
        <w:rPr>
          <w:rFonts w:ascii="Times New Roman" w:cs="Times New Roman" w:eastAsia="Times New Roman" w:hAnsi="Times New Roman"/>
          <w:sz w:val="17"/>
          <w:szCs w:val="17"/>
          <w:u w:val="single" w:color="auto"/>
          <w:color w:val="auto"/>
        </w:rPr>
        <w:t>Reduction Shares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Maximum Percentage shall at all times be subject to the applicable Beneficial Ownership Limitations.</w:t>
      </w:r>
    </w:p>
    <w:p>
      <w:pPr>
        <w:spacing w:after="0" w:line="174" w:lineRule="exact"/>
        <w:rPr>
          <w:sz w:val="20"/>
          <w:szCs w:val="20"/>
          <w:color w:val="auto"/>
        </w:rPr>
      </w:pPr>
    </w:p>
    <w:p>
      <w:pPr>
        <w:jc w:val="both"/>
        <w:ind w:right="20" w:firstLine="441"/>
        <w:spacing w:after="0" w:line="272"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beneficial ownership shall be calculated in accordance with Section 13(d) of the Exchange Act and the rules and regulations promulgated thereunder, it being acknowledged by the holder that the Corporation is not representing to the holder that such calculation is in compliance with Section 13(d) of the Exchange Act and the holder is solely responsible for any schedules required to be filed in accordance therewith.</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a determination as to any group status as contemplated above shall be determined in accordance with Section 13(d) of the Exchange Act and the rules and regulations promulgated thereunder and the Corporation shall have no obligation to verify or confirm the accuracy of such determination and shall have no liability for conversions or redemptions of the Series B Convertible Preferred Stock that are not in compliance with the Beneficial Ownership Limitation and the Maximum Percentage, it being understood that this in no way limits the Corporation’s requirement to enforce any such limitations. The Corporation shall have the sole right to enforce the provisions of </w:t>
      </w:r>
      <w:r>
        <w:rPr>
          <w:rFonts w:ascii="Times New Roman" w:cs="Times New Roman" w:eastAsia="Times New Roman" w:hAnsi="Times New Roman"/>
          <w:sz w:val="18"/>
          <w:szCs w:val="18"/>
          <w:u w:val="single" w:color="auto"/>
          <w:color w:val="auto"/>
        </w:rPr>
        <w:t>Section 7.6(ii)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or Maximum Percentage herein contained or to make changes or supplements necessary or desirable to properly give effect to such limitation or the application of the rules of The Nasdaq Stock Market.</w:t>
      </w:r>
    </w:p>
    <w:p>
      <w:pPr>
        <w:spacing w:after="0" w:line="72"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Effect of Conversion or Redemption</w:t>
      </w:r>
      <w:r>
        <w:rPr>
          <w:rFonts w:ascii="Times New Roman" w:cs="Times New Roman" w:eastAsia="Times New Roman" w:hAnsi="Times New Roman"/>
          <w:sz w:val="18"/>
          <w:szCs w:val="18"/>
          <w:color w:val="auto"/>
        </w:rPr>
        <w:t xml:space="preserve">. All shares of Series B Convertible Preferred Stock converted or redeemed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no longer be deemed outstanding as of the effective time of the applicable conversion or redemption, as the case may be, and all rights with respect to such shares shall immediately cease and terminate as of such time, other than the right of the holder to receive shares of Common Stock and/or cash in exchange therefor. Upon each conversion or redemption, as the case may be, the Corporation shall promptly, but in no event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than two (2) trading days after the applicable Redemption Date or Conversion Date, instruct the transfer agent for the Common Stock (the</w:t>
      </w:r>
    </w:p>
    <w:p>
      <w:pPr>
        <w:spacing w:after="0" w:line="2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record the issuance of the shares of Common Stock issuable upon such conversion or redemption to the holder in book-entry form pursuant to the Transfer Agent’s regular procedures, and, with respect to any portion of the Redemption Price that is paid in cash, then make such cash payment in no event later than two (2) trading days after the date of the Redemption Notice. Such underlying shares of Common Stock shall be deemed to have been issued, and the holder shall be deemed to have become a holder of record of such shares for all purposes, as of the Conversion Date or the Redemption Date, as the case may be.</w:t>
      </w:r>
    </w:p>
    <w:p>
      <w:pPr>
        <w:spacing w:after="0" w:line="187"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xml:space="preserve">. The Corporation shall at all times, when any shares of Series B Convertible Preferred Stock are outstanding, reserve and keep available out of its authorized but unissued Capital Stock, solely for the purpose of issuance upon the conversion, or redemption, as the case may be, of the shares of Series B Convertible Preferred Stock, such number of shares of Common Stock issuable upon the conversion of all outstanding shares of Series B Convertible Preferred Stock into the maximum number of shares of Common Stock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Corporation shall take all such reasonable actions as may be necessary to assure that all such shares of Common Stock may be so issued without violation of any applicable law or governmental regulation or any requirements of any domestic securities exchange upon which shares of Common Stock may be listed (except for official notice of issuance which shall be immediately delivered by the Corporation upon each such issuance). The shares of Common Stock which may be issued upon the conversion or redemption of the Series B Convertible Preferred Stock will be duly authorized, validly issued, fully paid and non-assessable and will be free of any preemptive rights or any liens.</w:t>
      </w:r>
    </w:p>
    <w:p>
      <w:pPr>
        <w:spacing w:after="0" w:line="18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No Charge or Payment</w:t>
      </w:r>
      <w:r>
        <w:rPr>
          <w:rFonts w:ascii="Times New Roman" w:cs="Times New Roman" w:eastAsia="Times New Roman" w:hAnsi="Times New Roman"/>
          <w:sz w:val="18"/>
          <w:szCs w:val="18"/>
          <w:color w:val="auto"/>
        </w:rPr>
        <w:t xml:space="preserve">. The issuance of shares of Common Stock upon conversion or redemption, as the case may be, of shares of Series B Convertible Preferred Stock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shall be made without payment of additional consideration by, or other charge, cost or tax to, the holder in respect thereof (other than taxes in respect of any transfer occurring contemporaneously with such issue).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Transfer; Registration</w:t>
      </w:r>
    </w:p>
    <w:p>
      <w:pPr>
        <w:spacing w:after="0" w:line="117"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The shares of Series B Convertible Preferred Stock (unless and until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transferred pursuant to Rule 144 promulgated under the Securities Act, or any successor rule or regulation hereafter adopted by the Securities and Exchange Commission, as such rule may be amended from time to time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will be stamped or imprinted with a legend in substantially the following form:</w:t>
      </w:r>
    </w:p>
    <w:p>
      <w:pPr>
        <w:spacing w:after="0" w:line="72" w:lineRule="exact"/>
        <w:rPr>
          <w:sz w:val="20"/>
          <w:szCs w:val="20"/>
          <w:color w:val="auto"/>
        </w:rPr>
      </w:pPr>
    </w:p>
    <w:p>
      <w:pPr>
        <w:ind w:left="440" w:right="60"/>
        <w:spacing w:after="0" w:line="277"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1" w:name="page22"/>
    <w:bookmarkEnd w:id="21"/>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any holder of Series B Convertible Preferred Stock may sell, assign, transfer, pledge or dispose of all or any portion of such holder’s shares of Series B Convertible Preferred Stock at any time or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the Specified Date, following any such transfer, unless the Corporation consents (such consent not to be unreasonably withheld or delayed), Corre Partners Management, L.L.C. (with its affiliates) and Legion Partners Asset Management (with its affiliates) each continue to hold a majority of the outstanding shares of Class B Convertible Preferred Stock issued to such respective Persons under the Securities Purchase Agreement (and not previously redeemed), and such Persons collectively continue to hold of a majority of the shares of Class B Convertible Preferred Stock then outstanding.</w:t>
      </w:r>
    </w:p>
    <w:p>
      <w:pPr>
        <w:spacing w:after="0" w:line="18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Corporation shall keep at its principal office a register for the registration of Series B Convertible Preferred Stock. Upon the surrender of any certificate representing Series B Convertible Preferred Stock at such place, the Corporation shall, at the request of the record holder of such certificate, execute and deliver (at the Corporation’s expense) a new certificate or certificates in exchange therefor representing in the aggregate the number of shares of Series B Convertible Preferred Stock represented by the surrendered certificate. Each such new certificate shall be registered in such name and shall represent such number of shares of Series B Convertible Preferred Stock as is requested by the holder of the surrendered certificate and shall be substantially identical in form to the surrendered certificate, and dividends shall accrue on the Series B Convertible Preferred Stock represented by such new certificate from the date to which dividends have been fully paid on such Series B Convertible Preferred Stock represented by the surrendered certificate.</w:t>
      </w:r>
    </w:p>
    <w:p>
      <w:pPr>
        <w:spacing w:after="0" w:line="185"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Replacement</w:t>
      </w:r>
      <w:r>
        <w:rPr>
          <w:rFonts w:ascii="Times New Roman" w:cs="Times New Roman" w:eastAsia="Times New Roman" w:hAnsi="Times New Roman"/>
          <w:sz w:val="18"/>
          <w:szCs w:val="18"/>
          <w:color w:val="auto"/>
        </w:rPr>
        <w:t>. Upon receipt of evidence reasonably satisfactory to the Corporation (an affidavit of the registered holder shall be satisfactory) of the ownership and the loss, theft, destruction or mutilation of any certificate evidencing shares of Series B Convertible Preferred Stock,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and dividends shall accrue on the Series B Convertible Preferred Stock represented by such new certificate from the date to which dividends have been fully paid on such lost, stolen, destroyed or mutilated certificate.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Certificate of Designation: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Appraiser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2" w:name="page23"/>
    <w:bookmarkEnd w:id="22"/>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who, directly or indirectly, controls, is controlled by, or under common control with such Person; for purposes of this definition,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correlative meanings of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control with</w:t>
      </w:r>
      <w:r>
        <w:rPr>
          <w:rFonts w:ascii="Times New Roman" w:cs="Times New Roman" w:eastAsia="Times New Roman" w:hAnsi="Times New Roman"/>
          <w:sz w:val="18"/>
          <w:szCs w:val="18"/>
          <w:color w:val="auto"/>
        </w:rPr>
        <w:t>”),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Appraiser</w:t>
      </w:r>
      <w:r>
        <w:rPr>
          <w:rFonts w:ascii="Times New Roman" w:cs="Times New Roman" w:eastAsia="Times New Roman" w:hAnsi="Times New Roman"/>
          <w:sz w:val="18"/>
          <w:szCs w:val="18"/>
          <w:color w:val="auto"/>
        </w:rPr>
        <w:t>” means any Initial Appraiser or Additional Appraiser.</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means any of, as applicable, (a) 25% of the number of shares of the Common Stock outstanding immediately after giving effect to the issuance of shares of Common Stock issuable upon conversion of the shares of Series B Convertible Preferred Stock elected for conversion, or (b) prior to receipt of the Stockholder Approval, either of (i) 19.99% of the number of shares of the Common Stock outstanding immediately after giving effect to the issuance of shares of Common Stock issuable upon conversion of the shares of Series B Convertible Preferred Stock elected for conversion or (ii) shares of Capital Stock representing 19.99% of the aggregate voting power of all the Corporation’s Voting Stock outstanding immediately after giving effect to the issuance of shares of Common Stock issuable upon conversion of the shares of Series B Convertible Preferred Stock elected for conversion.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(including any authorized committee thereof) of the Corporation.</w:t>
      </w:r>
    </w:p>
    <w:p>
      <w:pPr>
        <w:spacing w:after="0" w:line="225"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excluding Saturday, Sunday or any day which is a legal holiday under the laws of the State of New York or on which banking institutions are authorized or required by law or other governmental action to close.</w:t>
      </w:r>
    </w:p>
    <w:p>
      <w:pPr>
        <w:spacing w:after="0" w:line="162" w:lineRule="exact"/>
        <w:rPr>
          <w:sz w:val="20"/>
          <w:szCs w:val="20"/>
          <w:color w:val="auto"/>
        </w:rPr>
      </w:pPr>
    </w:p>
    <w:p>
      <w:pPr>
        <w:ind w:right="360" w:firstLine="44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(i) any capital stock of such Person, (ii) any security convertible, with or without consideration, into any capital stock of such Person, (iii) any other shares, interests, rights to purchase, warrants, options, participations or other equivalents of or interests in (however designated) the capital stock of such Person and (iv) any other equity interest in, or right to vote generally in elections of directors or the comparable governing body of, such Person.</w:t>
      </w:r>
    </w:p>
    <w:p>
      <w:pPr>
        <w:spacing w:after="0" w:line="180" w:lineRule="exact"/>
        <w:rPr>
          <w:sz w:val="20"/>
          <w:szCs w:val="20"/>
          <w:color w:val="auto"/>
        </w:rPr>
      </w:pPr>
    </w:p>
    <w:p>
      <w:pPr>
        <w:jc w:val="both"/>
        <w:ind w:right="68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collectively, the Corporation’s Common Stock and any Capital Stock of any class of the Corporation hereafter authorized which is not limited to a fixed sum or percentage of par or stated value in respect to the rights of the holders thereof to participate in dividends or in the distribution of assets upon any liquidation, dissolution or winding up of the Corporation.</w:t>
      </w:r>
    </w:p>
    <w:p>
      <w:pPr>
        <w:spacing w:after="0" w:line="176"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means, as of any date, the “Consolidated Net Leverage Ratio,” as defined in the Credit Agreement, for the most recently completed four fiscal quarters of the Corporation as of such date.</w:t>
      </w:r>
    </w:p>
    <w:p>
      <w:pPr>
        <w:spacing w:after="0" w:line="16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xml:space="preserve">” means the greater of (i) $1.00 and (ii) the volume-weighted average closing sale price per share of Common Stock on the principal national securities exchange on which the Common Stock is listed, for the thirty (30) trading days ending on, and including, the second trading day prior to the applicable Conversion Date multiplied, in the case of a conversion pursuant to </w:t>
      </w:r>
      <w:r>
        <w:rPr>
          <w:rFonts w:ascii="Times New Roman" w:cs="Times New Roman" w:eastAsia="Times New Roman" w:hAnsi="Times New Roman"/>
          <w:sz w:val="18"/>
          <w:szCs w:val="18"/>
          <w:u w:val="single" w:color="auto"/>
          <w:color w:val="auto"/>
        </w:rPr>
        <w:t>Section 7.1(i)(a)</w:t>
      </w:r>
      <w:r>
        <w:rPr>
          <w:rFonts w:ascii="Times New Roman" w:cs="Times New Roman" w:eastAsia="Times New Roman" w:hAnsi="Times New Roman"/>
          <w:sz w:val="18"/>
          <w:szCs w:val="18"/>
          <w:color w:val="auto"/>
        </w:rPr>
        <w:t>, by 0.90; provided that under no circumstances may the aggregate amount of Common Stock issued upon conversion of all Series B Convertible Preferred Stock exceed 40,000,000 shares unless the Corporation’s Restated Certificate of Incorporation is amended to increase the authorized number of shares of Common Stock.</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3" w:name="page24"/>
    <w:bookmarkEnd w:id="23"/>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means, for each share of Series B Convertible Preferred Stock, the quotient of (i) (x) the Liquidation Preference of such share plus any Series B Dividend that is accrued with respect to such share but unpaid at the Conversion Date (y) minus, in the case of a conversion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the 35% of the aggregate amount of any Dividend Withholding Taxes (as defined in the Securities Purchase Agreement) that the Company has paid prior to the Conversion Date, or will pay or otherwise be required to deduct and withhold in connection with any conversion of the Series B Convertible Preferred Stock (it being understood that the Corporation shall be responsible for paying 65% of any Dividend Withholding Taxes on such share pursuant to Section 5.09(a) of the Securities Purchase Agreement) divided by (ii) the then-applicable Conversion Price.</w:t>
      </w:r>
    </w:p>
    <w:p>
      <w:pPr>
        <w:spacing w:after="0" w:line="188" w:lineRule="exact"/>
        <w:rPr>
          <w:sz w:val="20"/>
          <w:szCs w:val="20"/>
          <w:color w:val="auto"/>
        </w:rPr>
      </w:pPr>
    </w:p>
    <w:p>
      <w:pPr>
        <w:jc w:val="both"/>
        <w:ind w:right="88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Amended and Restated Credit Agreement, dated as of September 30, 2016, as amended, modified and supplemented through December 5, 2019, by and among the Corporation, the lenders from time to time party thereto and SunTrust Bank, as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Series B Convertible Preferred Stock means a Person in whose name the shares of the Series B Convertible Preferred Stock are registered, which Person shall be treated by the Corporation, and any transfer agent, registrar, paying agent and conversion agent of the Corporation, as the absolute owner of the shares of Series B Convertible Preferred Stock for the purpose of making payment and settling conversions and for all other purposes; provided that, to the fullest extent permitted by law, no Person that has received shares of Series B Convertible Preferred Stock in violation of the Securities Purchase Agreement or this Certificate of Designation shall be a holder, and any such transfer agent, registrar, paying agent and conversion agent, as applicable, shall not, unless directed otherwise by the Corporation, recognize any such Person as a holder and the Person in whose name the shares of the Series B Convertible Preferred Stock were registered immediately prior to such transfer shall remain the holder of such shares.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has the meaning given to such term in the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Appraisers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means December 11, 2019.</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xml:space="preserve">” means any Capital Stock of the Corporation, except for the Series B Convertible Preferred Stock or any other class or series of the Corporation’s Capital Stock which is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B Convertible Preferred Stock with respect to preference and priority on dividends or liquidation as permitted by the terms of the Series B Convertible Preferred Stock hereunder.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$1,000 per share of Series B Convertible Preferred Stock.</w:t>
      </w:r>
    </w:p>
    <w:p>
      <w:pPr>
        <w:spacing w:after="0" w:line="225"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means any Capital Stock of the Corporation, the terms of which provide that such class or series ranks on a parity with the Series B Convertible Preferred Stock with respect to preference and priority on dividends or liquidation of the Corporation as permitted by the terms of the Series B Convertible Preferred Stock hereunder.</w:t>
      </w:r>
    </w:p>
    <w:p>
      <w:pPr>
        <w:spacing w:after="0" w:line="176"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shall mean that certain Securities Purchase Agreement, dated as of December 5, 2019, among the Corporation and other parties thereto.</w:t>
      </w:r>
    </w:p>
    <w:p>
      <w:pPr>
        <w:spacing w:after="0" w:line="162"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means any Capital Stock of the Corporation, the terms of which expressly provide that such class or series ranks senior to the Series B Convertible Preferred Stock with respect to preference and priority on dividends or liquidation of the Corporation as permitted by the terms of the Series B Convertible Preferred Stock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Dividend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Cap</w:t>
      </w:r>
      <w:r>
        <w:rPr>
          <w:rFonts w:ascii="Times New Roman" w:cs="Times New Roman" w:eastAsia="Times New Roman" w:hAnsi="Times New Roman"/>
          <w:sz w:val="18"/>
          <w:szCs w:val="18"/>
          <w:color w:val="auto"/>
        </w:rPr>
        <w:t>” means a number of shares of Common Stock equal to (a) the product of (i) 0.1999 and (ii) 42,314,888 (subject to proportional adjustment for any stock split, stock dividend or stock combination of the Common Stock occurring after the date of the Securities Purchase Agreement), minus (b) the number of shares of Common Stock issued and issuable under the Warrants and the number of shares of Common Stock previously issued upon conversion or redemption of shares of Series B Convertible Preferred Stock (in each case under this clause (b), subject to proportional adjustment for any stock split, stock dividend or stock combination of the Common Stock occurring after the date of the Securities Purchase Agreement).</w:t>
      </w:r>
    </w:p>
    <w:p>
      <w:pPr>
        <w:spacing w:after="0" w:line="188"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Stockholder Approval</w:t>
      </w:r>
      <w:r>
        <w:rPr>
          <w:rFonts w:ascii="Times New Roman" w:cs="Times New Roman" w:eastAsia="Times New Roman" w:hAnsi="Times New Roman"/>
          <w:sz w:val="17"/>
          <w:szCs w:val="17"/>
          <w:color w:val="auto"/>
        </w:rPr>
        <w:t>” means the approvals by the holders of Common Stock that are required under the listing standards of The Nasdaq Stock Market (and any successor thereto and any other trading market on which the Common Stock is listed), including Nasdaq Stock Market Rule 5635(b) and Rule 5635(d) to approve the issuance of, and the issuance of Common Stock upon conversion or redemption, as the case may be, of shares of the Series B Convertible Preferred Stock of the Corporation and the exercise of the Warrants issued pursuant to that certain Securities Purchase Agreement.</w:t>
      </w:r>
    </w:p>
    <w:p>
      <w:pPr>
        <w:spacing w:after="0" w:line="165"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as to any Person, any corporation or other entity of which: (a)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corporation or other entity shall have or might have voting power by reason of the happening of any contingency) is at the time directly or indirectly owned or controlled by such Person or one or more of its Subsidiaries; (b) such Person or a Subsidiary of such Person is a general partner or, in the case of a limited liability company, the managing member or sole manager thereof; or (c) any corporation or other entity as to which such Person consolidates for accounting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for the avoidance of doubt that the Wuxi JV (as defined in the Securities Purchase Agreement) shall not be considered a Subsidiary of the Corporation for purposes of this Agreement.</w:t>
      </w:r>
    </w:p>
    <w:p>
      <w:pPr>
        <w:spacing w:after="0" w:line="184"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and any other class or series of Capital Stock of the Corporation ordinarily having the power to vote generally for the election of directors of the board of directors of the Corporation or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Common Stock Purchase Warrants of the Corporation issued pursuant to the Securities Purchase Agreement.</w:t>
      </w:r>
    </w:p>
    <w:p>
      <w:pPr>
        <w:spacing w:after="0" w:line="225"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set forth herein, no amendment, modification, alteration, repeal or waiver of any provision of this Certificate of Designation shall be binding or effective without the prior written consent of the holders of a majority of the Series B Convertible Preferred Stock outstanding at the time such action is taken; provided that no amendment, modification, alteration, repeal or waiver of the terms or relative priorities of the Series B Convertible Preferred Stock may be accomplished by the merger, consolidation or other transaction of the Corporation with another corporation or entity unless the Corporation has obtained the prior written consent of the holders of a majority of the Series B Convertible Preferred Stock then outstanding.</w:t>
      </w:r>
    </w:p>
    <w:p>
      <w:pPr>
        <w:spacing w:after="0" w:line="188"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expressly provided hereunder, all notices referred to herein shall be in writing and all notices hereunder shall be deemed to have been given upon the earlier of receipt thereof or three (3) Business Days after the mailing thereof if sent by registered or certified mail with postage prepaid, or by private courier service addressed: (i) if to the Corporation, to its office at NN, Inc., 6210 Ardrey Kell Road, Charlotte, North Carolina 28277 (Attention: General Counsel)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88"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Other Rights</w:t>
      </w:r>
      <w:r>
        <w:rPr>
          <w:rFonts w:ascii="Times New Roman" w:cs="Times New Roman" w:eastAsia="Times New Roman" w:hAnsi="Times New Roman"/>
          <w:sz w:val="18"/>
          <w:szCs w:val="18"/>
          <w:color w:val="auto"/>
        </w:rPr>
        <w:t>. The shares of Series B Convertible Preferred Stock shall not have any rights, preferences, privileges or voting powers or relative, participating, optional or other special rights, or qualifications, limitations or restrictions thereof, other than as set forth herein or in the Corporation’s certificate of incorporation or as provided by applicable law and regulation.</w:t>
      </w:r>
    </w:p>
    <w:p>
      <w:pPr>
        <w:spacing w:after="0" w:line="176"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6" w:name="page27"/>
    <w:bookmarkEnd w:id="26"/>
    <w:p>
      <w:pPr>
        <w:ind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various sections and subsections hereof are for convenience of reference only and shall not affect the interpretation of any of the provisions hereof.</w:t>
      </w:r>
    </w:p>
    <w:p>
      <w:pPr>
        <w:spacing w:after="0" w:line="162"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Cancellation of Series B Convertible Preferred Stock</w:t>
      </w:r>
      <w:r>
        <w:rPr>
          <w:rFonts w:ascii="Times New Roman" w:cs="Times New Roman" w:eastAsia="Times New Roman" w:hAnsi="Times New Roman"/>
          <w:sz w:val="18"/>
          <w:szCs w:val="18"/>
          <w:color w:val="auto"/>
        </w:rPr>
        <w:t>. Any share of Series B Convertible Preferred Stock acquired (whether by repurchase, redemption, conversion or otherwise) by the Corporation or any of its Subsidiaries shall immediately upon acquisition of such shares of Series B Convertible Preferred Stock be cancelled and may not be held in treasury or otherwise by the Corporation or any of its Subsidiaries.</w:t>
      </w:r>
    </w:p>
    <w:p>
      <w:pPr>
        <w:spacing w:after="0" w:line="200" w:lineRule="exact"/>
        <w:rPr>
          <w:sz w:val="20"/>
          <w:szCs w:val="20"/>
          <w:color w:val="auto"/>
        </w:rPr>
      </w:pPr>
    </w:p>
    <w:p>
      <w:pPr>
        <w:spacing w:after="0" w:line="27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00"/>
          </w:cols>
          <w:pgMar w:left="440" w:top="270" w:right="659" w:bottom="1440" w:gutter="0" w:footer="0" w:header="0"/>
        </w:sectPr>
      </w:pPr>
    </w:p>
    <w:bookmarkStart w:id="27" w:name="page28"/>
    <w:bookmarkEnd w:id="27"/>
    <w:p>
      <w:pPr>
        <w:ind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Corporation has caused this Certificate of Designations to be signed and acknowledged by the undersigned this 11th day of December 2019.</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General Counsel and</w:t>
      </w:r>
    </w:p>
    <w:p>
      <w:pPr>
        <w:spacing w:after="0" w:line="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720"/>
          </w:cols>
          <w:pgMar w:left="440" w:top="270" w:right="7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Conversion</w:t>
      </w:r>
    </w:p>
    <w:p>
      <w:pPr>
        <w:spacing w:after="0" w:line="22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undersigned holder of Series B Convertible Preferred Stock hereby irrevocably elects to convert the number of shares of Series B Convertible Preferred Stock indicated below pursuant to Section 7 of the Certificate of Designation into shares of Common Stock. Capitalized terms utilized but not defined herein shall have the meaning ascribed to such terms in that certain Certificate of Designation of Series B Convertible Preferred Stock of NN, Inc. dated as of December 11, 2019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Calculations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 Convertible Preferred Stock owned prior to conversion: [_____]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 Convertible Preferred Stock to be converted: [_____]</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17145</wp:posOffset>
            </wp:positionV>
            <wp:extent cx="23069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9" w:name="page30"/>
    <w:bookmarkEnd w:id="29"/>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WARRANT AND THE SECURITIES ISSUABLE UPON EXERCISE OF THIS WARRANT HAVE NOT BEEN REGISTERED UNDER THE SECURITIES ACT OF 1933, AS AMENDED, OR THE SECURITIES LAWS OF ANY STATE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7"/>
          <w:szCs w:val="17"/>
          <w:color w:val="auto"/>
        </w:rPr>
        <w:t>Issue Date: December 11, 2019 (the “</w:t>
      </w:r>
      <w:r>
        <w:rPr>
          <w:rFonts w:ascii="Times New Roman" w:cs="Times New Roman" w:eastAsia="Times New Roman" w:hAnsi="Times New Roman"/>
          <w:sz w:val="17"/>
          <w:szCs w:val="17"/>
          <w:u w:val="single" w:color="auto"/>
          <w:color w:val="auto"/>
        </w:rPr>
        <w:t>Issue Date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THIS COMMON STOCK PURCHASE WARRANT (this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or its permitted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and on or prior to the Termination Date (as defined below), but not thereafter, to purchase from NN,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1,500,000 shares (subject to the limitations contained herein, including Section 3(g), and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Warrant Share shall be equal to the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as defined in Section 2(b).</w:t>
      </w:r>
    </w:p>
    <w:p>
      <w:pPr>
        <w:spacing w:after="0" w:line="207" w:lineRule="exact"/>
        <w:rPr>
          <w:sz w:val="20"/>
          <w:szCs w:val="20"/>
          <w:color w:val="auto"/>
        </w:rPr>
      </w:pPr>
    </w:p>
    <w:p>
      <w:pPr>
        <w:ind w:right="40" w:firstLine="992"/>
        <w:spacing w:after="0" w:line="268" w:lineRule="auto"/>
        <w:rPr>
          <w:sz w:val="20"/>
          <w:szCs w:val="20"/>
          <w:color w:val="auto"/>
        </w:rPr>
      </w:pPr>
      <w:r>
        <w:rPr>
          <w:rFonts w:ascii="Times New Roman" w:cs="Times New Roman" w:eastAsia="Times New Roman" w:hAnsi="Times New Roman"/>
          <w:sz w:val="17"/>
          <w:szCs w:val="17"/>
          <w:color w:val="auto"/>
        </w:rPr>
        <w:t>As used in this Warrant, (a) an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any Person, any other Person who, directly or indirectly, controls, is controlled by, or under common control with such Person; for purposes of this definition, the term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(including the correlative meanings of the terms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under common control with</w:t>
      </w:r>
      <w:r>
        <w:rPr>
          <w:rFonts w:ascii="Times New Roman" w:cs="Times New Roman" w:eastAsia="Times New Roman" w:hAnsi="Times New Roman"/>
          <w:sz w:val="17"/>
          <w:szCs w:val="17"/>
          <w:color w:val="auto"/>
        </w:rPr>
        <w:t>”), as used with respect to any Person, means the possession, directly or indirectly, of the power to direct or cause the direction of the management policies of such Person, whether through the ownership of voting securities or by contract or otherwise, (b) a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excluding Saturday, Sunday or any day which is a legal holiday under the laws of the State of New York or a day on which banking institutions are authorized or required by law or other governmental action to close, (c) “</w:t>
      </w:r>
      <w:r>
        <w:rPr>
          <w:rFonts w:ascii="Times New Roman" w:cs="Times New Roman" w:eastAsia="Times New Roman" w:hAnsi="Times New Roman"/>
          <w:sz w:val="17"/>
          <w:szCs w:val="17"/>
          <w:u w:val="single" w:color="auto"/>
          <w:color w:val="auto"/>
        </w:rPr>
        <w:t>Capital Stock</w:t>
      </w:r>
      <w:r>
        <w:rPr>
          <w:rFonts w:ascii="Times New Roman" w:cs="Times New Roman" w:eastAsia="Times New Roman" w:hAnsi="Times New Roman"/>
          <w:sz w:val="17"/>
          <w:szCs w:val="17"/>
          <w:color w:val="auto"/>
        </w:rPr>
        <w:t>” means, with respect to any Person, (i) any capital stock of such Person, (ii) any security convertible, with or without consideration, into any capital stock of such Person,</w:t>
      </w:r>
    </w:p>
    <w:p>
      <w:pPr>
        <w:spacing w:after="0" w:line="3" w:lineRule="exact"/>
        <w:rPr>
          <w:sz w:val="20"/>
          <w:szCs w:val="20"/>
          <w:color w:val="auto"/>
        </w:rPr>
      </w:pPr>
    </w:p>
    <w:p>
      <w:pPr>
        <w:ind w:right="40" w:firstLine="4"/>
        <w:spacing w:after="0" w:line="252"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shares, interests, rights to purchase, warrants, options, participations or other equivalents of or interests in (however designated) the capital stock of such Person and (iv) any other equity interest in, or right to vote generally in elections of directors or the comparable governing body of, such Person, (d)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the Common Stock on any date of determination means (i) if the Common Stock is listed for trading on a national securities exchange, the closing sale price per share of the Common Stock on the trading day immediately prior to such date of determination, as reported by the national securities exchange, (ii) if the Common Stock is not listed on a national securities exchange but is listed in the over-the-counter market, the average last quoted sale price for the Common Stock (or, if no sale price is reported, the average of the high bid and low asked price for such date) on the trading day immediately prior to such date of determination, in the over-</w:t>
      </w:r>
    </w:p>
    <w:p>
      <w:pPr>
        <w:sectPr>
          <w:pgSz w:w="11900" w:h="16838" w:orient="portrait"/>
          <w:cols w:equalWidth="0" w:num="1">
            <w:col w:w="11020"/>
          </w:cols>
          <w:pgMar w:left="440" w:top="117" w:right="43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the-counter market as reported by OTC Markets Group Inc. or other similar organization, or (iii) in all other cases, in the sole discretion of the Board of Directors, (A) as agreed upon in good faith by the Holder and the Company or (B) as determined by an independent accounting, appraisal or investment banking firm or consultant of nationally recognized standing that is retained at the sole cost and expense of the Company, (e)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association, joint stock company, trust, joint venture, unincorporated organization or governmental entity (or any department, agency, or political subdivision thereof), (f)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the approvals by the holders of Common Stock that are required under the listing standards of The Nasdaq Stock Market (and any successor thereto and any other trading market on which the Common Stock is listed), including Nasdaq Stock Market Rule 5635(b) and Rule 5635(d), to approve the issuance of Common Stock above relevant thresholds included in such rules, upon exercise or conversion of, this Warrant and the Series B Preferred Stock of the Company and the other warrants issued pursuant to that certain Securities Purchase Agreement among the Company and the other parties thereto, dated as of December 5, 2019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(g)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and any other class or series of Capital Stock of the Company ordinarily having the power to vote generally for the election of directors of the board of directors of the Company or its successor, and (h)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shall mean the close of business on December 11, 2026.</w:t>
      </w:r>
    </w:p>
    <w:p>
      <w:pPr>
        <w:spacing w:after="0" w:line="191"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Vesting; Exercisability</w:t>
      </w:r>
      <w:r>
        <w:rPr>
          <w:rFonts w:ascii="Times New Roman" w:cs="Times New Roman" w:eastAsia="Times New Roman" w:hAnsi="Times New Roman"/>
          <w:sz w:val="18"/>
          <w:szCs w:val="18"/>
          <w:color w:val="auto"/>
        </w:rPr>
        <w:t>. The Holder’s right to exercise this Warrant with respect to the Warrant Shares is subject to vesting and limitations on exercisability as follows:</w:t>
      </w:r>
    </w:p>
    <w:p>
      <w:pPr>
        <w:spacing w:after="0" w:line="54" w:lineRule="exact"/>
        <w:rPr>
          <w:sz w:val="20"/>
          <w:szCs w:val="20"/>
          <w:color w:val="auto"/>
        </w:rPr>
      </w:pPr>
    </w:p>
    <w:p>
      <w:pPr>
        <w:jc w:val="both"/>
        <w:ind w:right="80" w:firstLine="444"/>
        <w:spacing w:after="0" w:line="261"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Holder’s rights hereunder with respect to the Warrant Shares (subject to adjustment or otherwise to the restrictions as set forth in this Warrant, including, without limitation, Section 2(d) and Section 3) will vest and become exercisable on the Issue Date; provided, however, that, notwithstanding anything to the contrary in this Warrant, this Warrant may not be exercised until following the first meeting of stockholders of the Company at which a vote is held on a proposal with respect to the Stockholder Approval.</w:t>
      </w:r>
    </w:p>
    <w:p>
      <w:pPr>
        <w:spacing w:after="0" w:line="71" w:lineRule="exact"/>
        <w:rPr>
          <w:rFonts w:ascii="Times New Roman" w:cs="Times New Roman" w:eastAsia="Times New Roman" w:hAnsi="Times New Roman"/>
          <w:sz w:val="18"/>
          <w:szCs w:val="18"/>
          <w:color w:val="auto"/>
        </w:rPr>
      </w:pPr>
    </w:p>
    <w:p>
      <w:pPr>
        <w:ind w:right="200" w:firstLine="444"/>
        <w:spacing w:after="0" w:line="282" w:lineRule="auto"/>
        <w:tabs>
          <w:tab w:leader="none" w:pos="6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adjustment required by Section 3 or elsewhere in this Warrant, notwithstanding anything to the contrary in this Warrant, in no event shall this Warrant be exercisable for more than 1,500,000 Warrant Shares.</w:t>
      </w:r>
    </w:p>
    <w:p>
      <w:pPr>
        <w:spacing w:after="0" w:line="53" w:lineRule="exact"/>
        <w:rPr>
          <w:rFonts w:ascii="Times New Roman" w:cs="Times New Roman" w:eastAsia="Times New Roman" w:hAnsi="Times New Roman"/>
          <w:sz w:val="18"/>
          <w:szCs w:val="18"/>
          <w:color w:val="auto"/>
        </w:rPr>
      </w:pPr>
    </w:p>
    <w:p>
      <w:pPr>
        <w:ind w:right="240" w:firstLine="444"/>
        <w:spacing w:after="0" w:line="266"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right to receive the Warrant Shares, and the Company’s obligation to issue such Warrant Shares, upon exercise of this Warrant shall be subject to: (i) unless and until the Stockholder Approval is obtained, the limitations in clause (b) of the definition of Beneficial Ownership Limitation and (ii) the limitations set forth in Section 2(d)(ii).</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444"/>
        <w:spacing w:after="0" w:line="258"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 exercise of the purchase rights represented by this Warrant with respect to vested Warrant Shares may be made, in whole or in part, at any time or times on or after the Issue Date and on or before the Termination Date by delivery to the Company (or such other office or agency of the Company as it may designate by notice in writing to the registered Holder at the address of the Holder appearing on the books of the Company) of a duly completed and executed copy of a notice of exercise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shall be the date on which such delivery shall have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1" w:name="page32"/>
    <w:bookmarkEnd w:id="31"/>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taken place (or be deemed to have taken place) unless a later date is specified in the Notice of Exercise. Within two (2) trading days following the date of exercise as aforesaid, the Holder shall deliver the aggregate Exercise Price for the shares specified in the applicable Notice of Exercise, at its option,</w:t>
      </w:r>
    </w:p>
    <w:p>
      <w:pPr>
        <w:ind w:firstLine="4"/>
        <w:spacing w:after="0" w:line="250"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wire transfer or cashier’s check drawn on a United States bank, (ii) by cashless exercise as set forth in Section 2(e) or (iii) any combination of cash and cashless exercise as set forth in Section 2(e);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event that the Holder has not delivered such aggregate Exercise Price within two (2) trading days following the date of such exercise as aforesaid, the Company shall not be obligated to deliver such Warrant Shares hereunder until such payment is made.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promptly after the relevant event shall have occurred.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and the Holder may request that a new Warrant be issued to it representing the amount of Underlying Shares not purchased and the Company shall promptly comply with such request. The Company shall deliver any objection to any Notice of Exercise within two (2) Business Days of receipt of such notice. </w:t>
      </w:r>
      <w:r>
        <w:rPr>
          <w:rFonts w:ascii="Times New Roman" w:cs="Times New Roman" w:eastAsia="Times New Roman" w:hAnsi="Times New Roman"/>
          <w:sz w:val="18"/>
          <w:szCs w:val="18"/>
          <w:b w:val="1"/>
          <w:bCs w:val="1"/>
          <w:color w:val="auto"/>
        </w:rPr>
        <w:t>The</w:t>
      </w:r>
    </w:p>
    <w:p>
      <w:pPr>
        <w:spacing w:after="0" w:line="5"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 by acceptance of this Warrant, acknowledges and agrees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78"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per Warrant Share shall be $12.00, subject to any adjustment required by Section 3.</w:t>
      </w:r>
    </w:p>
    <w:p>
      <w:pPr>
        <w:spacing w:after="0" w:line="117"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96"/>
        <w:spacing w:after="0" w:line="256" w:lineRule="auto"/>
        <w:tabs>
          <w:tab w:leader="none" w:pos="120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w:t>
      </w:r>
      <w:r>
        <w:rPr>
          <w:rFonts w:ascii="Times New Roman" w:cs="Times New Roman" w:eastAsia="Times New Roman" w:hAnsi="Times New Roman"/>
          <w:sz w:val="18"/>
          <w:szCs w:val="18"/>
          <w:color w:val="auto"/>
        </w:rPr>
        <w:t>e. Upon each exercise of this Warrant, the Company shall promptly, but in no event later than two (2) trading days after delivery of the applicable Notice of Exercise (subject to delivery by the Holder to the Company of the aggregate Exercise Price payable pursuant to Section 2(b) or pursuant to the cashless exercise provisions of Section 2(e)), instruct the transfer agent for the Common Stock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record the issuance of the Warrant Shares purchased hereunder to the Holder in book-entry form pursuant to the Transfer Agent’s regular procedures. The Warrant Shares shall be deemed to have been issued, and the Holder shall be deemed to have become a holder of record of such shares for all purposes, as of the Exercise Date with payment to the Company of the Exercise Price having been paid.</w:t>
      </w:r>
    </w:p>
    <w:p>
      <w:pPr>
        <w:spacing w:after="0" w:line="79" w:lineRule="exact"/>
        <w:rPr>
          <w:rFonts w:ascii="Times New Roman" w:cs="Times New Roman" w:eastAsia="Times New Roman" w:hAnsi="Times New Roman"/>
          <w:sz w:val="18"/>
          <w:szCs w:val="18"/>
          <w:color w:val="auto"/>
        </w:rPr>
      </w:pPr>
    </w:p>
    <w:p>
      <w:pPr>
        <w:ind w:firstLine="996"/>
        <w:spacing w:after="0" w:line="257" w:lineRule="auto"/>
        <w:tabs>
          <w:tab w:leader="none" w:pos="1257"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issue or cause to have issued the Warrant Shares pursuant to Section 2(c)(i) or does not issue Warrant Shares as a result of the limitations in Section 1(c) or Section 2(d) within two (2) trading days after delivery of the applicable Notice of Exercise, then the Holder will have the right to rescind such exercise in its sole discretion. The right of rescission of the Holder under this Section 2(c)</w:t>
      </w:r>
    </w:p>
    <w:p>
      <w:pPr>
        <w:spacing w:after="0" w:line="1"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delivery by the Holder of the aggregate Exercise Price payable pursuant to Section 2(b) or Section 2(e).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2" w:name="page33"/>
    <w:bookmarkEnd w:id="32"/>
    <w:p>
      <w:pPr>
        <w:ind w:left="-40" w:right="100" w:firstLine="996"/>
        <w:spacing w:after="0" w:line="261" w:lineRule="auto"/>
        <w:tabs>
          <w:tab w:leader="none" w:pos="12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Fractional Shares or Scri</w:t>
      </w:r>
      <w:r>
        <w:rPr>
          <w:rFonts w:ascii="Times New Roman" w:cs="Times New Roman" w:eastAsia="Times New Roman" w:hAnsi="Times New Roman"/>
          <w:sz w:val="18"/>
          <w:szCs w:val="18"/>
          <w:color w:val="auto"/>
        </w:rPr>
        <w:t>p.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Fair Market Value or round up to the next whole share.</w:t>
      </w:r>
    </w:p>
    <w:p>
      <w:pPr>
        <w:spacing w:after="0" w:line="71" w:lineRule="exact"/>
        <w:rPr>
          <w:rFonts w:ascii="Times New Roman" w:cs="Times New Roman" w:eastAsia="Times New Roman" w:hAnsi="Times New Roman"/>
          <w:sz w:val="18"/>
          <w:szCs w:val="18"/>
          <w:color w:val="auto"/>
        </w:rPr>
      </w:pPr>
    </w:p>
    <w:p>
      <w:pPr>
        <w:ind w:left="-40" w:right="40" w:firstLine="996"/>
        <w:spacing w:after="0" w:line="258" w:lineRule="auto"/>
        <w:tabs>
          <w:tab w:leader="none" w:pos="12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Issuance of Warrant Shares shall be made without charge to the Holder for any issue, transfer, stamp or other tax or other incidental expense in respect of the issuance of such Warrant Shares, all of which taxes and expenses shall be paid by the Company, and such Warrant Shares shall be issued in the name of the Holder. Without limiting the generality of the foregoing, the Company shall pay all fees required for same-day processing of any Notice of Exercise and all other expenses of the Company and its registrar(s) and transfer agent(s) in connection with delivery of the Warrant Shares and replacement warrants.</w:t>
      </w:r>
    </w:p>
    <w:p>
      <w:pPr>
        <w:spacing w:after="0" w:line="75" w:lineRule="exact"/>
        <w:rPr>
          <w:rFonts w:ascii="Times New Roman" w:cs="Times New Roman" w:eastAsia="Times New Roman" w:hAnsi="Times New Roman"/>
          <w:sz w:val="18"/>
          <w:szCs w:val="18"/>
          <w:color w:val="auto"/>
        </w:rPr>
      </w:pPr>
    </w:p>
    <w:p>
      <w:pPr>
        <w:ind w:left="-40" w:right="180" w:firstLine="996"/>
        <w:spacing w:after="0" w:line="282" w:lineRule="auto"/>
        <w:tabs>
          <w:tab w:leader="none" w:pos="12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40" w:right="20" w:firstLine="996"/>
        <w:spacing w:after="0" w:line="258" w:lineRule="auto"/>
        <w:tabs>
          <w:tab w:leader="none" w:pos="12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Stock by the Holder</w:t>
      </w:r>
      <w:r>
        <w:rPr>
          <w:rFonts w:ascii="Times New Roman" w:cs="Times New Roman" w:eastAsia="Times New Roman" w:hAnsi="Times New Roman"/>
          <w:sz w:val="18"/>
          <w:szCs w:val="18"/>
          <w:color w:val="auto"/>
        </w:rPr>
        <w:t>. Notwithstanding any other provision hereof, if an exercise of any portion of this Warrant is to be made in connection with a public offering of the Common Stock (pursuant to a merger, sale of stock, or otherwise), a Change of Control (as defined in the Securities Purchase Agreement), or in connection with a tender or exchange offer for shares of Common Stock of the Company, such exercise may at the election of the Holder be conditioned upon the consummation of such transaction, in which case such exercise shall not be deemed to be effective until immediately prior to the consummation of such transaction.</w:t>
      </w:r>
    </w:p>
    <w:p>
      <w:pPr>
        <w:spacing w:after="0" w:line="75"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firstLine="996"/>
        <w:spacing w:after="0" w:line="253" w:lineRule="auto"/>
        <w:tabs>
          <w:tab w:leader="none" w:pos="11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when aggregated with all other shares of Common Stock beneficially owned by such Holder at such time, beneficially own shares of Common Stock, in excess of the Beneficial Ownership Limitation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exercise restriction shall not apply to any exercise in connection with, and subject to completion of, (x) a public sale of the shares of Common Stock to be issued upon such conversion, if following consummation of such sale such holder will not exceed the Beneficial Ownership Limitation or (y) a bona fide third party tender offer for the shares of Common Stock issuable upon exercise. For purposes of the foregoing sentence, the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(A) exercise of the remaining, nonexercised portion of this Warrant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0"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beneficially owned by the Holder or any of its Affiliates and (B) exercise or conversion of the unexercised or nonconverted portion of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the Company subject to a limitation on conversion or exercise analogous to the limitation contained herein beneficially owned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or any of its Affiliates. To the extent that the limitation contained in this Section 2(d) applies, the determination of whether this Warrant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(in relation to other securities owned by the Holder together with any Affiliates) and of which portion of this Warrant is exercisable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sole discretion of the Holder, and the submission of a Notice of Exercise shall be deemed to be the Holder’s determination of whether this Warrant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exercisable (in relation to other securities owned by the Holder together with any Affiliates) and of which portion of this Warrant is exercisable,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case subject to the Beneficial Ownership Limitation, and the Company shall have no obligation to verify or confirm the accuracy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and shall have no liability for exercises of the Warrant that are not in compliance with the Beneficial Ownership Limitation. For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Section 2(d), in determining the number of outstanding shares of Common Stock, the Holder may rely on the number of outstanding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as reflected in (x) the Company’s most recent periodic or annual report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the case may be, (y) a more recent public announcement by the Company or (z) a more recent written notice by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setting forth the number of shares of Common Stock outstanding (such number of outstanding shares of Common Stock, the “</w:t>
      </w:r>
      <w:r>
        <w:rPr>
          <w:rFonts w:ascii="Times New Roman" w:cs="Times New Roman" w:eastAsia="Times New Roman" w:hAnsi="Times New Roman"/>
          <w:sz w:val="18"/>
          <w:szCs w:val="18"/>
          <w:u w:val="single" w:color="auto"/>
          <w:color w:val="auto"/>
        </w:rPr>
        <w:t>Reported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Share Number</w:t>
      </w:r>
      <w:r>
        <w:rPr>
          <w:rFonts w:ascii="Times New Roman" w:cs="Times New Roman" w:eastAsia="Times New Roman" w:hAnsi="Times New Roman"/>
          <w:sz w:val="18"/>
          <w:szCs w:val="18"/>
          <w:color w:val="auto"/>
        </w:rPr>
        <w:t>”). Upon the written or oral request of the Holder, the Company, or the Transfer Agent on behalf of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two (2) trading days confirm orally and in writing to the Holder the accuracy of the Reported Outstanding Share Number and, if not accurate,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then outstanding. In any case, the number of outstanding shares of Common Stock shall be determined after giving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to the conversion or exercise of securities of the Company, including this Warrant, by the Holder or its Affiliates since the date as of which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outstanding shares of Common Stock was reported. As used in this Warrant,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means any of, as applicable,</w:t>
      </w:r>
    </w:p>
    <w:p>
      <w:pPr>
        <w:spacing w:after="0" w:line="9" w:lineRule="exact"/>
        <w:rPr>
          <w:sz w:val="20"/>
          <w:szCs w:val="20"/>
          <w:color w:val="auto"/>
        </w:rPr>
      </w:pPr>
    </w:p>
    <w:p>
      <w:pPr>
        <w:ind w:right="100" w:firstLine="4"/>
        <w:spacing w:after="0" w:line="253"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number of shares of the Common Stock outstanding immediately after giving effect to the issuance of shares of Common Stock issuable upon exercise of this Warrant, or (b) prior to receipt of the Stockholder Approval, either of (i) 19.99% of the number of shares of the Common Stock outstanding immediately after giving effect to the issuance of shares of Common Stock issuable upon exercise of this Warrant or (ii) shares of Capital Stock of the Company representing 19.99% of the aggregate voting power of all the Company’s Voting Stock outstanding immediately after giving effect to the issuance of shares of Common Stock issuable upon exercise of this Warrant.</w:t>
      </w:r>
    </w:p>
    <w:p>
      <w:pPr>
        <w:spacing w:after="0" w:line="79" w:lineRule="exact"/>
        <w:rPr>
          <w:rFonts w:ascii="Times New Roman" w:cs="Times New Roman" w:eastAsia="Times New Roman" w:hAnsi="Times New Roman"/>
          <w:sz w:val="18"/>
          <w:szCs w:val="18"/>
          <w:color w:val="auto"/>
        </w:rPr>
      </w:pPr>
    </w:p>
    <w:p>
      <w:pPr>
        <w:ind w:right="20" w:firstLine="996"/>
        <w:spacing w:after="0" w:line="255" w:lineRule="auto"/>
        <w:tabs>
          <w:tab w:leader="none" w:pos="12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Warrant (including Section 2(d)(i)), the Company shall not effect the exercise of any portion of this Warrant, and, no Holder shall have the right to exercise any portion of this Warrant, pursuant to the terms and conditions of this Warrant and any such exercise shall be null and void and treated as if never made, to the extent that after giving effect to such exercise, any Holder (together with any other Person whose beneficial ownership of Common Stock would be aggregated with such Holder’s for purposes of Section 13(d) or Section 16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applicable regulations of the Commission thereunder, including any “group” of which any Holder is or may be deemed a member (collectively, the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9.99%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4" w:name="page35"/>
    <w:bookmarkEnd w:id="3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owned by such Holder and its Attribution Parties shall include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and its Attribution Parties and (B) exercise or conversion of the unexercised or unconverted portion of any other securities of the Company (including, without limitation, any Series B Preferred Stock) beneficially owned by the Holder or any of its Attribution Parties subject to a limitation on conversion or exercise analogous to the limitation contained in this Section 2(d)(ii). In the event that the issuance of shares of Common Stock to the Holder upon exercise of this Warrant results in the Holder and its Attribution Parties being deemed to beneficially own, in the aggregate, more than the Maximum Percentage (as determined under Section 13(d) of the Exchange Act), the number of shares so issued by which the Holder’s and its Attribution Parties’ aggregate beneficial ownership exceeds the applicable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xml:space="preserve">”)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by any Holder, the Maximum Percentage may be increased or decreased with respect to such Holder to any other percentage as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Percentage shall be at all times subject to the applicable Beneficial Ownership Limitations;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any such increase or decrease in the Maximum Percentage will not be effective until the 75th day after such notice is delivered to the Company and (ii) any such increase or decrease will apply only to the Holder and its Attribution Parties requesting such increase or decrease and not to any other Holder of this Warrant. For purposes of clarity, the shares of Common Stock issuable pursuant to the terms of this Warrant in excess of the Maximum Percentage shall not be deemed to be beneficially owned by any Attribution Party for any purpose including for purposes of Section 13(d) or Rule 16a-1(a)(1) of the Exchange Act. No prior inability to exercise this Warrant pursuant to this paragraph shall have any effect on the applicability of the provisions of this paragraph with respect to any subsequent determination of exercisability.</w:t>
      </w:r>
    </w:p>
    <w:p>
      <w:pPr>
        <w:spacing w:after="0" w:line="84" w:lineRule="exact"/>
        <w:rPr>
          <w:sz w:val="20"/>
          <w:szCs w:val="20"/>
          <w:color w:val="auto"/>
        </w:rPr>
      </w:pPr>
    </w:p>
    <w:p>
      <w:pPr>
        <w:ind w:firstLine="996"/>
        <w:spacing w:after="0" w:line="255" w:lineRule="auto"/>
        <w:tabs>
          <w:tab w:leader="none" w:pos="13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exclusions to calculating beneficial ownership in Sections 2(d)(i)(A) and (B) and (ii)(A) and (B), for purposes of this Section 2(d),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and the Maximum Percentage. The Company shall have the sole right to enforce the provisions of Section 2(d)(i) and 2(d)(ii).</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5" w:name="page36"/>
    <w:bookmarkEnd w:id="35"/>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receives a Notice of Exercise from a Holder at a time when the actual number of outstanding shares of Common Stock is less than the Reported Outstanding Share Number, the Company shall (i) notify the Holder in writing of the number of shares of Common Stock then outstanding and, to the extent that such Notice of Exercise would otherwise cause the Holder’s beneficial ownership, as determined pursuant to Section 2(d)(ii), to exceed the Maximum Percentage, the Holder must notify the Company of a reduced number of Warrant Shares to be purchased pursuant to such Notice of Exercise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w:t>
      </w:r>
    </w:p>
    <w:p>
      <w:pPr>
        <w:spacing w:after="0" w:line="188"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provisions of this Section 2(d) shall be construed and implemented in a manner otherwise than in strict conformity with the terms of this Section 2(d) to correct this paragraph (or any portion hereof) which may be defective or inconsistent with the intended Beneficial Ownership Limitation or Maximum Percentage herein contained or to make changes or supplements necessary or desirable to properly give effect to such limitation or the application of the rules of The Nasdaq Stock Market.</w:t>
      </w:r>
    </w:p>
    <w:p>
      <w:pPr>
        <w:spacing w:after="0" w:line="72" w:lineRule="exact"/>
        <w:rPr>
          <w:sz w:val="20"/>
          <w:szCs w:val="20"/>
          <w:color w:val="auto"/>
        </w:rPr>
      </w:pPr>
    </w:p>
    <w:p>
      <w:pPr>
        <w:ind w:firstLine="444"/>
        <w:spacing w:after="0" w:line="25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paying the aggregate Exercise Price for the Warrant Shares specified in the applicable Notice of Exercise by wire transfer or check drawn on a United States bank pursuant to Section 2(a), the Holder may elect to exercise the purchase rights represented by this Warrant by authorizing the Company to withhold and not issue to the Holder, in payment of the Exercise Price thereof, a number of such Warrant Shares equal to (x) the number of Warrant Shares for which the Warrant is being exercised, multiplied by (y) the Exercise Price, and divided by (z) the Fair Market Value on the Exercise Date (any such exercise,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and such withheld Warrant Shares shall no longer be issuable under the Warrant, and the Holder shall not have any rights or be entitled to any payment with respect to such withheld Warrant Shares. The Company and Holder agree to treat the Cashless Exercise of this Warrant pursuant to this Section 2(e) as a recapitalization under Section 368(a)(1)(E) of the Internal Revenue Code of 1986, as amended. In the event of a Change of Control (as defined in the Securities Purchase Agreement) in which the Common Stock is converted into solely the right to receive cash upon closing of such Change of Control, if this Warrant has not previously been exercised in full on an Exercise Date occurring before the third Business Day prior to the consummation of such Change of Control, any unexercised portion of this Warrant shall be deemed exercised in full, without the delivery of a Notice of Exercise, effective immediately prior to the consummation of such Change of Control and the Holder shall be entitled to receive cash in an amount equal to the amount of cash payable in such Change of Control in respect of a number of shares of Common Stock equal to the number of Warrant Shares that would be deliverable upon an exercise of this Warrant in full immediately prior to consummation of such Change of Control pursuant to this Section 2(e) of the unexercised portion of this Warrant, where Fair Market Value of a share of Common Stock in such an exercise is deemed for these purposes to be the cash payable in respect of a share of Common Stock in such Change of Control; provided, that, for the avoidance of doubt, if the cash payable in respect of a share of Common Stock in such Change of Control in which the Common Stock is converted into solely the right to receive cash upon closing of such Change of Control is less than the then-applicable Exercise Price, then upon consummation of such Change of Control the unexercised portion of this Warrant shall be cancelled for no consideration.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Subdivision, Combinations and Consolidations</w:t>
      </w:r>
      <w:r>
        <w:rPr>
          <w:rFonts w:ascii="Times New Roman" w:cs="Times New Roman" w:eastAsia="Times New Roman" w:hAnsi="Times New Roman"/>
          <w:sz w:val="17"/>
          <w:szCs w:val="17"/>
          <w:color w:val="auto"/>
        </w:rPr>
        <w:t>. If the Company, at any time while this Warrant is outstanding (in whole or in</w:t>
      </w:r>
    </w:p>
    <w:p>
      <w:pPr>
        <w:spacing w:after="0" w:line="38" w:lineRule="exact"/>
        <w:rPr>
          <w:rFonts w:ascii="Times New Roman" w:cs="Times New Roman" w:eastAsia="Times New Roman" w:hAnsi="Times New Roman"/>
          <w:sz w:val="17"/>
          <w:szCs w:val="17"/>
          <w:color w:val="auto"/>
        </w:rPr>
      </w:pPr>
    </w:p>
    <w:p>
      <w:pPr>
        <w:ind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 (i) pays a stock dividend or otherwise makes a distribution or distributions on shares of its Common Stock (or other class of Capital Stock of the Company then issuable upon exercise of this Warrant) or any other equity or equity equivalent securities payable in shares of Common Stock (or such other class of Capital Stock) (which, for avoidance of doubt, shall not include any shares of Common Stock (or such other class of Capital Stock) issued by the Company upon exercise of this Warrant), (ii) subdivides outstanding shares of Common Stock (or other class of Capital Stock of the Company then issuable upon exercise of this Warrant) into a larger number of shares or (iii) combines or consolidates (including, without limitation, by reverse stock split) outstanding shares of Common Stock (or other class of Capital Stock of the Company then issuable upon exercise of this Warrant) into a smaller number of shares, then in each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consolidation. If the Company, at any time while this Warrant is outstanding (in whole or in part) distributes rights on shares of its Common Stock (or other class of Capital Stock of the Company then issuable upon exercise of this Warrant) in connection with a shareholder rights plan, no adjustment shall be made pursuant to this Section 3 and any such rights shall accompany the Warrant Shares issued pursuant to this Warrant if such shareholder rights plan remains in effect.</w:t>
      </w:r>
    </w:p>
    <w:p>
      <w:pPr>
        <w:spacing w:after="0" w:line="83" w:lineRule="exact"/>
        <w:rPr>
          <w:rFonts w:ascii="Times New Roman" w:cs="Times New Roman" w:eastAsia="Times New Roman" w:hAnsi="Times New Roman"/>
          <w:sz w:val="17"/>
          <w:szCs w:val="17"/>
          <w:color w:val="auto"/>
        </w:rPr>
      </w:pPr>
    </w:p>
    <w:p>
      <w:pPr>
        <w:ind w:firstLine="444"/>
        <w:spacing w:after="0" w:line="252"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Reclassifications, Reorganizations, Consolidations, Mergers and Sales</w:t>
      </w:r>
      <w:r>
        <w:rPr>
          <w:rFonts w:ascii="Times New Roman" w:cs="Times New Roman" w:eastAsia="Times New Roman" w:hAnsi="Times New Roman"/>
          <w:sz w:val="18"/>
          <w:szCs w:val="18"/>
          <w:color w:val="auto"/>
        </w:rPr>
        <w:t>. Other than in a transaction contemplated by the last sentence of Section 2(e), in the event of (i) any capital reorganization of the Company, (ii) any reclassification or recapitalization of the stock of the Company (other than (x) a change in par value or from par value to no par value or from no par value to par value or (y) as a result of a stock dividend, subdivision, combination or consolidation of shares as to which Section 3(a) shall apply), (iii) any consolidation or merger of the Company with or into another Person (where the Company is not the surviving corporation or where there is a change in or distribution with respect to the Common Stock or any other class of Capital Stock then issuable upon exercise of this Warrant), (iv) any sale of all or substantially all of the assets of the Company, or (v) any similar transaction, this Warrant shall remain outstanding and, after such reorganization, reclassification, recapitalization, consolidation, merger, sale or similar transaction, be exercisable for the kind and number of shares of stock or other securities or property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of the Company or of the successor corporation resulting from such consolidation or sale, or surviving such merger, if any, to which the holder of the number of Warrant Shares underlying this Warrant (at the time of such reorganization, reclassification, recapitalization, consolidation, merger, sale or similar transaction, and subject to the limitations set forth in Section 1 and Section 2) would have been entitled upon such reorganization, reclassification, recapitalization, consolidation, merger, sale or similar transaction. In such event, the aggregate Exercise Price otherwise payable for the shares of Common Stock (or such other class of Capital Stock) issuable upon exercise of this Warrant shall be allocated among the Alternative Consideration receivable as a result of such reorganization, reclassification, recapitalization, consolidation, merger, sale or similar transaction, in proportion to the respective fair market values of such Alternate Consideration. If and to the extent that the holders of Common Stock (or such</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class of Capital Stock) have the right to elect the kind or amount of consideration receivable upon consummation of such reorganization, reclassification, recapitalization, consolidation, merger, sale or similar transaction, then the consideration that the Holder shall be entitled to receive upon exercise shall be specified by the Holder, which specification shall be made by the Holder by the later of (A) ten (10) Business Days after the Holder is provided with a final version of all material information concerning such choice as is provided to the holders of Common Stock (or such other class of Capital Stock), and (B) the last time at which the holders of Common Stock (or such other class of Capital Stock) are permitted to make their specifications known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Holder fails to make any specification within such time period, the Holder’s choice shall be deemed to be whatever choice is made by a plurality of all holders of Common Stock (or such other class of Capital Stock) that are not affiliated with the Company (or, in the case of a consolidation, merger, sale or similar transaction, any other party thereto) and affirmatively make an election (or of all such holders if none of them makes an election). From and after any such reorganization, reclassification, recapitalization, consolidation, merger, sale or similar transaction, all references to “Warrant Shares” herein shall be deemed to refer to the Alternate Consideration to which the Holder is entitled pursuant to this Section 3(b). The provisions of this clause shall similarly apply to successive reorganizations, reclassifications, recapitalizations, consolidations, mergers or sales.</w:t>
      </w:r>
    </w:p>
    <w:p>
      <w:pPr>
        <w:spacing w:after="0" w:line="83" w:lineRule="exact"/>
        <w:rPr>
          <w:sz w:val="20"/>
          <w:szCs w:val="20"/>
          <w:color w:val="auto"/>
        </w:rPr>
      </w:pPr>
    </w:p>
    <w:p>
      <w:pPr>
        <w:ind w:left="680" w:hanging="236"/>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Below Market Issuances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996"/>
        <w:spacing w:after="0" w:line="252" w:lineRule="auto"/>
        <w:tabs>
          <w:tab w:leader="none" w:pos="12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Issue of Common Stock</w:t>
      </w:r>
      <w:r>
        <w:rPr>
          <w:rFonts w:ascii="Times New Roman" w:cs="Times New Roman" w:eastAsia="Times New Roman" w:hAnsi="Times New Roman"/>
          <w:sz w:val="18"/>
          <w:szCs w:val="18"/>
          <w:color w:val="auto"/>
        </w:rPr>
        <w:t>. Other than Excluded Issuances (as defined below), if the Company at any time after the issuance of the Warrants but prior to the Termination Date shall issue any warrants or other rights or options to subscribe for or purchase Common Stock or Convertible Securities (as defined below)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or any securities (directly or indirectly) convertible into or exchangeable for Common Stock, but excluding Options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xml:space="preserve">”), or shall fix a record date for the determination of holders of shares of the Common Stock to receive any such Options or Convertible Securities, then the maximum number of shares of Common Stock (as set forth in the instrument relating thereto, assuming the satisfaction of any conditions to exercisability, convertibility or exchangeability, including payment of any conversion or exercise price,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Common Stock issued as of the time of such issue of Options or Convertible Securities or, in case such a record date shall have been fixed, as of 5:00 p.m. (New York City time) on such record date and the provisions hereof that are applicable to the issuance of Additional Common Stock shall apply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Common Stock shall not be deemed to have been issued unless the consideration per share (as determined in accordance with Section 3(d)(ii)) of such Additional Common Stock would be less than the Fair Market Value as of such issue date or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any such case in which Additional Common Stock is deemed to be issued, no further adjustments in the Exercise Price shall be made upon the subsequent issue of Convertible Securities or Common Stock upon the exercise of such Options or the conversion or exchange of such Convertible Securities.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8" w:name="page39"/>
    <w:bookmarkEnd w:id="38"/>
    <w:p>
      <w:pPr>
        <w:ind w:firstLine="996"/>
        <w:spacing w:after="0" w:line="273" w:lineRule="auto"/>
        <w:tabs>
          <w:tab w:leader="none" w:pos="125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terms of any Option or Convertible Security, the issuance of which resulted in an adjustment to the Exercise Price pursuant to the terms of this Section 3(c), are revised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effective upon such increase or decrease becoming effective, the Exercise Price computed after giving effect to the original issue of such Option or Convertible Security (or upon the occurrence of a record date with respect thereto) shall be readjusted to the Exercise Price as would have been obtained had such revised terms been in effect upon the original date of issuance of such Option or Convertible Security and calculated in accordance with this Section 3(c).</w:t>
      </w:r>
    </w:p>
    <w:p>
      <w:pPr>
        <w:spacing w:after="0" w:line="64" w:lineRule="exact"/>
        <w:rPr>
          <w:rFonts w:ascii="Times New Roman" w:cs="Times New Roman" w:eastAsia="Times New Roman" w:hAnsi="Times New Roman"/>
          <w:sz w:val="17"/>
          <w:szCs w:val="17"/>
          <w:color w:val="auto"/>
        </w:rPr>
      </w:pPr>
    </w:p>
    <w:p>
      <w:pPr>
        <w:ind w:right="40" w:firstLine="996"/>
        <w:spacing w:after="0" w:line="255" w:lineRule="auto"/>
        <w:tabs>
          <w:tab w:leader="none" w:pos="130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terms of any Option or Convertible Security, the issuance of which did not result in an adjustment to the Exercise Price pursuant to the terms of this Section 3(c) (either because the consideration per Additional Common Stock subject thereto was equal to or greater than the Fair Market Value, or because such Option or Convertible Security was issued before the date hereof), are revised after the date hereof (either automatically, pursuant to the provisions contained therein, or as a result of an amendment to such terms) to provide for either any increase or decrease in (i) the number of shares of Common Stock issuable upon the exercise, conversion or exchange of any such Option or Convertible Security or (ii) the consideration payable to the Company upon such exercise, conversion or exchange, then such Option or Convertible Security, as so amended, and the Additional Common Stock subject thereto shall be deemed to have been issued effective upon such increase or decrease becoming effective.</w:t>
      </w:r>
    </w:p>
    <w:p>
      <w:pPr>
        <w:spacing w:after="0" w:line="81" w:lineRule="exact"/>
        <w:rPr>
          <w:rFonts w:ascii="Times New Roman" w:cs="Times New Roman" w:eastAsia="Times New Roman" w:hAnsi="Times New Roman"/>
          <w:sz w:val="18"/>
          <w:szCs w:val="18"/>
          <w:color w:val="auto"/>
        </w:rPr>
      </w:pPr>
    </w:p>
    <w:p>
      <w:pPr>
        <w:jc w:val="both"/>
        <w:ind w:right="300" w:firstLine="996"/>
        <w:spacing w:after="0" w:line="266" w:lineRule="auto"/>
        <w:tabs>
          <w:tab w:leader="none" w:pos="12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termination of any unexercised Option or unconverted or unexchanged Convertible Security which resulted (either upon its original issuance or upon a revision of its terms) in an adjustment to the Exercise Price pursuant to the terms of this Section 3(c), the Exercise Price shall be readjusted to such Exercise Price as would have been obtained had such Option or Convertible Security never been issued.</w:t>
      </w:r>
    </w:p>
    <w:p>
      <w:pPr>
        <w:spacing w:after="0" w:line="68" w:lineRule="exact"/>
        <w:rPr>
          <w:rFonts w:ascii="Times New Roman" w:cs="Times New Roman" w:eastAsia="Times New Roman" w:hAnsi="Times New Roman"/>
          <w:sz w:val="18"/>
          <w:szCs w:val="18"/>
          <w:color w:val="auto"/>
        </w:rPr>
      </w:pPr>
    </w:p>
    <w:p>
      <w:pPr>
        <w:ind w:right="20" w:firstLine="996"/>
        <w:spacing w:after="0" w:line="254" w:lineRule="auto"/>
        <w:tabs>
          <w:tab w:leader="none" w:pos="12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Excluded Issuances, in the event the Company shall at any time after the date hereof issue or sell additional Common Stock (“</w:t>
      </w:r>
      <w:r>
        <w:rPr>
          <w:rFonts w:ascii="Times New Roman" w:cs="Times New Roman" w:eastAsia="Times New Roman" w:hAnsi="Times New Roman"/>
          <w:sz w:val="18"/>
          <w:szCs w:val="18"/>
          <w:u w:val="single" w:color="auto"/>
          <w:color w:val="auto"/>
        </w:rPr>
        <w:t>Additional Common Stock</w:t>
      </w:r>
      <w:r>
        <w:rPr>
          <w:rFonts w:ascii="Times New Roman" w:cs="Times New Roman" w:eastAsia="Times New Roman" w:hAnsi="Times New Roman"/>
          <w:sz w:val="18"/>
          <w:szCs w:val="18"/>
          <w:color w:val="auto"/>
        </w:rPr>
        <w:t>”), including Additional Common Stock deemed to be issued pursuant to Section 3(c)(i), for consideration per share of Common Stock less than the Fair Market Value and less than the Exercise Price, then the Exercise Price shall be reduced, concurrently with such issue, to a price equal to the Exercise Price in effect immediately prior to such issue of Additional Common Stock multiplied by a fraction of which (A) the numerator shall be the number of shares of Common Stock outstanding immediately before such event, plus the number of shares of Common Stock which the aggregate consideration expected to be received by the Company (as reasonably determined in good faith by the Company) would purchase at the Fair Market Value and of which (B) the denominator shall be the number of shares of Common Stock outstanding immediately before such event, plus the number of such shares of Additional Common Stock issued in such transaction (including, in the case of (A) and (B), any shares issuable upon exercise of Options or conversion of Convertible Securities).</w:t>
      </w:r>
    </w:p>
    <w:p>
      <w:pPr>
        <w:spacing w:after="0" w:line="81" w:lineRule="exact"/>
        <w:rPr>
          <w:rFonts w:ascii="Times New Roman" w:cs="Times New Roman" w:eastAsia="Times New Roman" w:hAnsi="Times New Roman"/>
          <w:sz w:val="18"/>
          <w:szCs w:val="18"/>
          <w:color w:val="auto"/>
        </w:rPr>
      </w:pPr>
    </w:p>
    <w:p>
      <w:pPr>
        <w:ind w:left="1300" w:hanging="30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adjustment to the Exercise Price will be made under this Section 3(c) in respect of the issuance of:</w:t>
      </w:r>
    </w:p>
    <w:p>
      <w:pPr>
        <w:spacing w:after="0" w:line="27" w:lineRule="exact"/>
        <w:rPr>
          <w:rFonts w:ascii="Times New Roman" w:cs="Times New Roman" w:eastAsia="Times New Roman" w:hAnsi="Times New Roman"/>
          <w:sz w:val="18"/>
          <w:szCs w:val="18"/>
          <w:color w:val="auto"/>
        </w:rPr>
      </w:pPr>
    </w:p>
    <w:p>
      <w:pPr>
        <w:ind w:right="720" w:firstLine="4"/>
        <w:spacing w:after="0" w:line="261" w:lineRule="auto"/>
        <w:tabs>
          <w:tab w:leader="none" w:pos="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(including restricted stock) or Options or other equity awards to purchase Common Stock to directors, officers or employees of the Company in their capacity as such pursuant to a duly authorized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9" w:name="page40"/>
    <w:bookmarkEnd w:id="3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incentive plan; (B) shares of Common Stock issued upon the conversion or exercise of any Options or Convertible Securities (other than Options or other equity awards to purchase Common Stock issued pursuant to a duly authorized Company equity incentive plan covered by clause (A) above) issued prior to the date hereof, or upon exercise or conversion of securities or rights issued pursuant to a Distribution pursuant to Section 3(e); (C) shares of Common Stock or any Options or Convertible Securities issued in connection with an acquisition, merger or other business combination; (D) the Warrant Shares and shares of Common Stock issuable pursuant other warrants issued on the Issue Date or issued pursuant to the terms of the Company’s Series B Preferred Stock; and (E) the issuance of securities in a transaction described in Section 3(a) or Section 3(b) or a Distribution pursuant to Section 3(e) (collectively,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120" w:firstLine="996"/>
        <w:spacing w:after="0" w:line="256" w:lineRule="auto"/>
        <w:tabs>
          <w:tab w:leader="none" w:pos="13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Warrant, prior to receipt of the Stockholder Approval, in no event shall the Exercise Price be adjusted pursuant to Section 3(c) to a price that is less than the lower of: (i) the closing price of the Common Stock (as reflected on Nasdaq.com) immediately preceding the signing of the Securities Purchase Agreement, or (ii) the average closing price of the Common Stock (as reflected on Nasdaq.com) for the five trading days immediately preceding the signing of the Securities Purchase Agreement, in each case as proportionally adjusted for any stock split, stock dividend or stock combination of the Common Stock occurring after the date of the signing of the Securities Purchase Agreement.</w:t>
      </w:r>
    </w:p>
    <w:p>
      <w:pPr>
        <w:spacing w:after="0" w:line="79" w:lineRule="exact"/>
        <w:rPr>
          <w:rFonts w:ascii="Times New Roman" w:cs="Times New Roman" w:eastAsia="Times New Roman" w:hAnsi="Times New Roman"/>
          <w:sz w:val="18"/>
          <w:szCs w:val="18"/>
          <w:color w:val="auto"/>
        </w:rPr>
      </w:pPr>
    </w:p>
    <w:p>
      <w:pPr>
        <w:ind w:right="20" w:firstLine="444"/>
        <w:spacing w:after="0" w:line="282" w:lineRule="auto"/>
        <w:tabs>
          <w:tab w:leader="none" w:pos="6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3(c), the consideration received by the Company for the issue of any Additional Common Stock shall be computed as follows:</w:t>
      </w:r>
    </w:p>
    <w:p>
      <w:pPr>
        <w:spacing w:after="0" w:line="53" w:lineRule="exact"/>
        <w:rPr>
          <w:rFonts w:ascii="Times New Roman" w:cs="Times New Roman" w:eastAsia="Times New Roman" w:hAnsi="Times New Roman"/>
          <w:sz w:val="18"/>
          <w:szCs w:val="18"/>
          <w:color w:val="auto"/>
        </w:rPr>
      </w:pPr>
    </w:p>
    <w:p>
      <w:pPr>
        <w:ind w:firstLine="996"/>
        <w:spacing w:after="0" w:line="258" w:lineRule="auto"/>
        <w:tabs>
          <w:tab w:leader="none" w:pos="120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 (A) insofar as it consists of cash, be computed at the aggregate amount of cash received by the Company, excluding amounts paid or payable for accrued interest; (B) insofar as it consists of property other than cash, be computed at the fair market value thereof at the time of such issue, as determined reasonably in good faith by the Board of Directors, and (C) in the event Additional Common Stock is issued together with other interests or securities or other assets of the Company for consideration which covers both, be the proportion of such consideration so received, computed as provided in clauses (A) and (B) above, as determined in good faith by the Board of Directors.</w:t>
      </w:r>
    </w:p>
    <w:p>
      <w:pPr>
        <w:spacing w:after="0" w:line="75" w:lineRule="exact"/>
        <w:rPr>
          <w:rFonts w:ascii="Times New Roman" w:cs="Times New Roman" w:eastAsia="Times New Roman" w:hAnsi="Times New Roman"/>
          <w:sz w:val="18"/>
          <w:szCs w:val="18"/>
          <w:color w:val="auto"/>
        </w:rPr>
      </w:pPr>
    </w:p>
    <w:p>
      <w:pPr>
        <w:ind w:firstLine="996"/>
        <w:spacing w:after="0" w:line="254" w:lineRule="auto"/>
        <w:tabs>
          <w:tab w:leader="none" w:pos="12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 and Convertible Securities</w:t>
      </w:r>
      <w:r>
        <w:rPr>
          <w:rFonts w:ascii="Times New Roman" w:cs="Times New Roman" w:eastAsia="Times New Roman" w:hAnsi="Times New Roman"/>
          <w:sz w:val="18"/>
          <w:szCs w:val="18"/>
          <w:color w:val="auto"/>
        </w:rPr>
        <w:t>. The consideration per share received by the Company for Additional Common Stock deemed to have been issued pursuant to Section 3(c)(i), relating to Options and Convertible Securities, shall be determined by dividing: (A)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 (B) 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40" w:name="page41"/>
    <w:bookmarkEnd w:id="40"/>
    <w:p>
      <w:pPr>
        <w:ind w:right="60" w:firstLine="996"/>
        <w:spacing w:after="0" w:line="261" w:lineRule="auto"/>
        <w:tabs>
          <w:tab w:leader="none" w:pos="130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Company shall issue on more than one date Additional Common Stock that is a part of one transaction or a series of related transactions and that would result in an adjustment to the Exercise Price pursuant to the terms of Section 3(c), then, upon such final issuance, the Exercise Price shall be readjusted to give effect to all such issuances as if they occurred on the date of the first such issuance (and without additional giving effect to any adjustments as a result of any subsequent issuances within such period).</w:t>
      </w:r>
    </w:p>
    <w:p>
      <w:pPr>
        <w:spacing w:after="0" w:line="71" w:lineRule="exact"/>
        <w:rPr>
          <w:rFonts w:ascii="Times New Roman" w:cs="Times New Roman" w:eastAsia="Times New Roman" w:hAnsi="Times New Roman"/>
          <w:sz w:val="18"/>
          <w:szCs w:val="18"/>
          <w:color w:val="auto"/>
        </w:rPr>
      </w:pPr>
    </w:p>
    <w:p>
      <w:pPr>
        <w:ind w:firstLine="444"/>
        <w:spacing w:after="0" w:line="25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any dividend or distribution referred to in Section 3(a) or Section 3(b)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and the Maximum Percentage, as applicable)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or the Maximum Percentage, as applicable,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or Maximum Percentage, as applicable).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89" w:lineRule="exact"/>
        <w:rPr>
          <w:rFonts w:ascii="Times New Roman" w:cs="Times New Roman" w:eastAsia="Times New Roman" w:hAnsi="Times New Roman"/>
          <w:sz w:val="18"/>
          <w:szCs w:val="18"/>
          <w:color w:val="auto"/>
        </w:rPr>
      </w:pPr>
    </w:p>
    <w:p>
      <w:pPr>
        <w:jc w:val="both"/>
        <w:ind w:right="240" w:firstLine="444"/>
        <w:spacing w:after="0" w:line="261" w:lineRule="auto"/>
        <w:tabs>
          <w:tab w:leader="none" w:pos="6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(or such other Company security as is then issuable upon exercise of this Warrant) deemed to be issued and outstanding as of a given date shall be the sum of the number of shares of Common Stock (or such other Company security) (excluding treasury shares, if any) issued and outstanding on such date.</w:t>
      </w:r>
    </w:p>
    <w:p>
      <w:pPr>
        <w:spacing w:after="0" w:line="71"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80" w:firstLine="996"/>
        <w:spacing w:after="0" w:line="261" w:lineRule="auto"/>
        <w:tabs>
          <w:tab w:leader="none" w:pos="12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Terms of Warran</w:t>
      </w:r>
      <w:r>
        <w:rPr>
          <w:rFonts w:ascii="Times New Roman" w:cs="Times New Roman" w:eastAsia="Times New Roman" w:hAnsi="Times New Roman"/>
          <w:sz w:val="18"/>
          <w:szCs w:val="18"/>
          <w:color w:val="auto"/>
        </w:rPr>
        <w:t>t. Whenever any of the terms of this Warrant are adjusted pursuant to any provision of this Section 3 or any other applicable provision hereof, the Company shall promptly send to the Holder a notice signed by a duly authorized officer of the Company and setting forth (x) the Exercise Price, number of Warrant Shares and, if applicable, the kind and amount of Alternate Consideration purchasable hereunder after such adjustment and (y) the facts requiring such adjustment in reasonable detail.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41" w:name="page42"/>
    <w:bookmarkEnd w:id="41"/>
    <w:p>
      <w:pPr>
        <w:ind w:left="-20" w:firstLine="996"/>
        <w:spacing w:after="0" w:line="252" w:lineRule="auto"/>
        <w:tabs>
          <w:tab w:leader="none" w:pos="123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to Allow Exercise by Holde</w:t>
      </w:r>
      <w:r>
        <w:rPr>
          <w:rFonts w:ascii="Times New Roman" w:cs="Times New Roman" w:eastAsia="Times New Roman" w:hAnsi="Times New Roman"/>
          <w:sz w:val="18"/>
          <w:szCs w:val="18"/>
          <w:color w:val="auto"/>
        </w:rPr>
        <w:t>r. If, during the period in which this Warrant is outstanding,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To the extent that any notice provided hereunder constitutes, or contains, material, non -public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of Warrant and Warrant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444"/>
        <w:spacing w:after="0" w:line="261"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w:t>
      </w:r>
      <w:r>
        <w:rPr>
          <w:rFonts w:ascii="Times New Roman" w:cs="Times New Roman" w:eastAsia="Times New Roman" w:hAnsi="Times New Roman"/>
          <w:sz w:val="18"/>
          <w:szCs w:val="18"/>
          <w:color w:val="auto"/>
        </w:rPr>
        <w:t>. Until such time as no longer required by applicable securities laws, the Warrant Shares (unless and until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transferred pursuant to Rule 144 promulgated under the Securities Act, or any successor rule or regulation hereafter adopted by the Commission, as such rule may be amended from time to time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will be stamped or imprinted with a legend in substantially the following form:</w:t>
      </w:r>
    </w:p>
    <w:p>
      <w:pPr>
        <w:spacing w:after="0" w:line="72" w:lineRule="exact"/>
        <w:rPr>
          <w:sz w:val="20"/>
          <w:szCs w:val="20"/>
          <w:color w:val="auto"/>
        </w:rPr>
      </w:pPr>
    </w:p>
    <w:p>
      <w:pPr>
        <w:ind w:left="420" w:right="40"/>
        <w:spacing w:after="0" w:line="277"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60" w:top="270" w:right="459" w:bottom="1440" w:gutter="0" w:footer="0" w:header="0"/>
        </w:sectPr>
      </w:pPr>
    </w:p>
    <w:bookmarkStart w:id="42" w:name="page43"/>
    <w:bookmarkEnd w:id="42"/>
    <w:p>
      <w:pPr>
        <w:ind w:left="-40" w:right="140" w:firstLine="444"/>
        <w:spacing w:after="0" w:line="25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xml:space="preserve">. Subject to the provisions of Section 4(a), the Holder may sell, assign, transfer, pledge or dispose of all or any portion of this Warrant at any time or from time to time. In connection with any transfer of all or any portion of this Warrant, the Holder must provide an assignment form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by the Holder or any such subsequent Holder, as applicable, and the proposed transferee must consent in writing to be bound by the terms and conditions of this Warrant. Any transfer of all or any portion of this Warrant shall also be subject to the Securities Act and other applicable federal or state securities or blue sky laws. Upon any transfer of this Warrant in full, the Holder shall be required to physically surrender this Warrant to the Company within three (3) trading days of the date the Holder delivers an assignment form to the Company assigning this Warrant in full. The Warrant, if properly assigned in accordance herewith, may be exercised by a new holder for the purchase of Warrant Shares without having a new Warrant issued. This Warrant or any portion thereof shall not be sold, assigned, transferred, pledged or disposed of in violation of the Securities Act, federal or state securities laws or the Company’s certificate of incorporation.</w:t>
      </w:r>
    </w:p>
    <w:p>
      <w:pPr>
        <w:spacing w:after="0" w:line="81" w:lineRule="exact"/>
        <w:rPr>
          <w:rFonts w:ascii="Times New Roman" w:cs="Times New Roman" w:eastAsia="Times New Roman" w:hAnsi="Times New Roman"/>
          <w:sz w:val="18"/>
          <w:szCs w:val="18"/>
          <w:color w:val="auto"/>
        </w:rPr>
      </w:pPr>
    </w:p>
    <w:p>
      <w:pPr>
        <w:jc w:val="both"/>
        <w:ind w:left="-40" w:firstLine="444"/>
        <w:spacing w:after="0" w:line="261" w:lineRule="auto"/>
        <w:tabs>
          <w:tab w:leader="none" w:pos="6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w:t>
      </w:r>
      <w:r>
        <w:rPr>
          <w:rFonts w:ascii="Times New Roman" w:cs="Times New Roman" w:eastAsia="Times New Roman" w:hAnsi="Times New Roman"/>
          <w:sz w:val="18"/>
          <w:szCs w:val="18"/>
          <w:color w:val="auto"/>
        </w:rPr>
        <w:t>r. The Company shall register this Warrant upon records to be maintained by or on behalf of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Absent manifest error or actual notice to the contrary, the Company may deem and treat the Holder of this Warrant so registered as the absolute owner hereof for the purpose of any exercise hereof or any distribution to the Holder, and for all other purposes.</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300" w:firstLine="444"/>
        <w:spacing w:after="0" w:line="282"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w:t>
      </w:r>
      <w:r>
        <w:rPr>
          <w:rFonts w:ascii="Times New Roman" w:cs="Times New Roman" w:eastAsia="Times New Roman" w:hAnsi="Times New Roman"/>
          <w:sz w:val="18"/>
          <w:szCs w:val="18"/>
          <w:color w:val="auto"/>
        </w:rPr>
        <w:t>e. Except as expressly set forth herein, this Warrant does not entitle the Holder to any voting rights, dividends or other rights as a stockholder of the Company prior to the exercise hereof as set forth in Section 2(c).</w:t>
      </w:r>
    </w:p>
    <w:p>
      <w:pPr>
        <w:spacing w:after="0" w:line="53" w:lineRule="exact"/>
        <w:rPr>
          <w:rFonts w:ascii="Times New Roman" w:cs="Times New Roman" w:eastAsia="Times New Roman" w:hAnsi="Times New Roman"/>
          <w:sz w:val="18"/>
          <w:szCs w:val="18"/>
          <w:color w:val="auto"/>
        </w:rPr>
      </w:pPr>
    </w:p>
    <w:p>
      <w:pPr>
        <w:ind w:left="-40" w:right="160" w:firstLine="444"/>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delivery by the Holder to the Company of (i) notice of the loss, theft, destruction or mutilation of this Warrant and (ii) in the case of loss, theft or destruction, an indemnity agreement in a form and amount reasonably satisfactory to the Company or, in the case of mutilation, surrender of the mutilated Warrant, the Company will make and deliver a new Warrant of like tenor dated as of the Issue Date.</w:t>
      </w:r>
    </w:p>
    <w:p>
      <w:pPr>
        <w:spacing w:after="0" w:line="71" w:lineRule="exact"/>
        <w:rPr>
          <w:rFonts w:ascii="Times New Roman" w:cs="Times New Roman" w:eastAsia="Times New Roman" w:hAnsi="Times New Roman"/>
          <w:sz w:val="18"/>
          <w:szCs w:val="18"/>
          <w:color w:val="auto"/>
        </w:rPr>
      </w:pPr>
    </w:p>
    <w:p>
      <w:pPr>
        <w:ind w:left="-40" w:right="280" w:firstLine="444"/>
        <w:spacing w:after="0" w:line="282" w:lineRule="auto"/>
        <w:tabs>
          <w:tab w:leader="none" w:pos="6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53" w:lineRule="exact"/>
        <w:rPr>
          <w:rFonts w:ascii="Times New Roman" w:cs="Times New Roman" w:eastAsia="Times New Roman" w:hAnsi="Times New Roman"/>
          <w:sz w:val="18"/>
          <w:szCs w:val="18"/>
          <w:color w:val="auto"/>
        </w:rPr>
      </w:pPr>
    </w:p>
    <w:p>
      <w:pPr>
        <w:jc w:val="both"/>
        <w:ind w:left="-40" w:right="300" w:firstLine="444"/>
        <w:spacing w:after="0" w:line="26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this Warrant is exercisable (in whole or in part), it will reserve from its authorized and unissued Common Stock, free from any preemptive rights and free from all taxes, liens and charges, a sufficient number of shares to provide for the issuance of the Warrant Shares upon the exercise of any purchase rights under this Warrant. The Company further covenants that its issuance of this Warrant shall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80" w:top="270" w:right="4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constitute full authority to its officers who are charged with the duty of executing stock certificates to execute and issue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any national securities exchange upon which the Common Stock is listed or traded and that upon issuance, the Warrant Shares will be listed on any national securities exchange upon which the Common Stock is listed. The Company covenants that all Warrant Shares which may be issued upon the exercise of the purchase rights represented by this Warrant will, upon exercise of the purchase rights represented by this Warrant and full payment for such Warrant Shares in accordance herewith, be duly authorized, validly issued, fully paid and non-assessable, not subject to any preemptive rights and free from all taxes, liens and charges created by the Company in respect of the issue thereof (other than taxes in respect of any transfer occurring contemporaneously with such issue).</w:t>
      </w:r>
    </w:p>
    <w:p>
      <w:pPr>
        <w:spacing w:after="0" w:line="81" w:lineRule="exact"/>
        <w:rPr>
          <w:sz w:val="20"/>
          <w:szCs w:val="20"/>
          <w:color w:val="auto"/>
        </w:rPr>
      </w:pPr>
    </w:p>
    <w:p>
      <w:pPr>
        <w:jc w:val="both"/>
        <w:ind w:right="180" w:firstLine="444"/>
        <w:spacing w:after="0" w:line="261" w:lineRule="auto"/>
        <w:tabs>
          <w:tab w:leader="none" w:pos="68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Upon receipt of evidence reasonably satisfactory to the Company of the loss, theft, destruction or mutilation of this Warrant and (in the case of loss, theft or destruction) upon delivery of a customary indemnity agreement reasonably satisfactory to the Company or (in the case of mutilation) upon surrender and cancellation of this Warrant, the Company will issue, in lieu thereof, a new Warrant of the same tenor and date.</w:t>
      </w:r>
    </w:p>
    <w:p>
      <w:pPr>
        <w:spacing w:after="0" w:line="71" w:lineRule="exact"/>
        <w:rPr>
          <w:rFonts w:ascii="Times New Roman" w:cs="Times New Roman" w:eastAsia="Times New Roman" w:hAnsi="Times New Roman"/>
          <w:sz w:val="18"/>
          <w:szCs w:val="18"/>
          <w:color w:val="auto"/>
        </w:rPr>
      </w:pPr>
    </w:p>
    <w:p>
      <w:pPr>
        <w:jc w:val="both"/>
        <w:ind w:right="80" w:firstLine="444"/>
        <w:spacing w:after="0" w:line="261" w:lineRule="auto"/>
        <w:tabs>
          <w:tab w:leader="none" w:pos="66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New York without giving effect to the principles of conflict of laws thereof. EACH PARTY HEREBY IRREVOCABLY WAIVES ANY RIGHT IT MAY HAVE, AND AGREES NOT TO REQUEST, A JURY TRIAL FOR THE ADJUDICATION OF ANY DISPUTE HEREUNDER OR IN CONNECTION HEREWITH OR ARISING OUT OF THIS WARRANT OR ANY TRANSACTION CONTEMPLATED HEREBY.</w:t>
      </w:r>
    </w:p>
    <w:p>
      <w:pPr>
        <w:spacing w:after="0" w:line="71" w:lineRule="exact"/>
        <w:rPr>
          <w:rFonts w:ascii="Times New Roman" w:cs="Times New Roman" w:eastAsia="Times New Roman" w:hAnsi="Times New Roman"/>
          <w:sz w:val="18"/>
          <w:szCs w:val="18"/>
          <w:color w:val="auto"/>
        </w:rPr>
      </w:pPr>
    </w:p>
    <w:p>
      <w:pPr>
        <w:ind w:right="80" w:firstLine="444"/>
        <w:spacing w:after="0" w:line="282" w:lineRule="auto"/>
        <w:tabs>
          <w:tab w:leader="none" w:pos="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w:t>
      </w:r>
      <w:r>
        <w:rPr>
          <w:rFonts w:ascii="Times New Roman" w:cs="Times New Roman" w:eastAsia="Times New Roman" w:hAnsi="Times New Roman"/>
          <w:sz w:val="18"/>
          <w:szCs w:val="18"/>
          <w:color w:val="auto"/>
        </w:rPr>
        <w:t>r. No course of dealing or any delay or failure to exercise any right hereunder on the part of Holder shall operate as a waiver of such right or otherwise prejudice the Holder’s rights, powers or remedies.</w:t>
      </w:r>
    </w:p>
    <w:p>
      <w:pPr>
        <w:spacing w:after="0" w:line="53" w:lineRule="exact"/>
        <w:rPr>
          <w:rFonts w:ascii="Times New Roman" w:cs="Times New Roman" w:eastAsia="Times New Roman" w:hAnsi="Times New Roman"/>
          <w:sz w:val="18"/>
          <w:szCs w:val="18"/>
          <w:color w:val="auto"/>
        </w:rPr>
      </w:pPr>
    </w:p>
    <w:p>
      <w:pPr>
        <w:ind w:right="40" w:firstLine="444"/>
        <w:spacing w:after="0" w:line="270" w:lineRule="auto"/>
        <w:tabs>
          <w:tab w:leader="none" w:pos="69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referred to herein shall be in writing and, unless otherwise specified herein, all notices hereunder shall be deemed to have been given upon the earlier of receipt thereof or three (3) Business Days after the mailing thereof if sent by registered or certified mail with postage prepaid, or by private courier service addressed: (i) if to the Company, to its office at NN, Inc., 6210 Ardrey Kell Road, Charlotte, North Carolina 28277 (Attention: General Counsel), (ii) if to any Holder, to such Holder at the address of such Holder as listed in the stock record books of the Company or</w:t>
      </w:r>
    </w:p>
    <w:p>
      <w:pPr>
        <w:spacing w:after="0" w:line="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other address as the Company or any such Holder, as the case may be, shall have designated by notice similarly given.</w:t>
      </w:r>
    </w:p>
    <w:p>
      <w:pPr>
        <w:spacing w:after="0" w:line="98" w:lineRule="exact"/>
        <w:rPr>
          <w:rFonts w:ascii="Times New Roman" w:cs="Times New Roman" w:eastAsia="Times New Roman" w:hAnsi="Times New Roman"/>
          <w:sz w:val="18"/>
          <w:szCs w:val="18"/>
          <w:color w:val="auto"/>
        </w:rPr>
      </w:pPr>
    </w:p>
    <w:p>
      <w:pPr>
        <w:ind w:firstLine="444"/>
        <w:spacing w:after="0" w:line="266" w:lineRule="auto"/>
        <w:tabs>
          <w:tab w:leader="none" w:pos="6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w:t>
      </w:r>
      <w:r>
        <w:rPr>
          <w:rFonts w:ascii="Times New Roman" w:cs="Times New Roman" w:eastAsia="Times New Roman" w:hAnsi="Times New Roman"/>
          <w:sz w:val="18"/>
          <w:szCs w:val="18"/>
          <w:color w:val="auto"/>
        </w:rPr>
        <w:t>y.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44" w:name="page45"/>
    <w:bookmarkEnd w:id="44"/>
    <w:p>
      <w:pPr>
        <w:ind w:right="20" w:firstLine="444"/>
        <w:spacing w:after="0" w:line="289"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permitted assigns of Holder. The provisions of this Warrant are intended to be for the benefit of any Holder from time to time of this Warrant and shall be enforceable by the Holder or holder of Warrant Shares.</w:t>
      </w:r>
    </w:p>
    <w:p>
      <w:pPr>
        <w:spacing w:after="0" w:line="50" w:lineRule="exact"/>
        <w:rPr>
          <w:rFonts w:ascii="Times New Roman" w:cs="Times New Roman" w:eastAsia="Times New Roman" w:hAnsi="Times New Roman"/>
          <w:sz w:val="17"/>
          <w:szCs w:val="17"/>
          <w:color w:val="auto"/>
        </w:rPr>
      </w:pPr>
    </w:p>
    <w:p>
      <w:pPr>
        <w:ind w:right="180" w:firstLine="444"/>
        <w:spacing w:after="0" w:line="282"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w:t>
      </w:r>
      <w:r>
        <w:rPr>
          <w:rFonts w:ascii="Times New Roman" w:cs="Times New Roman" w:eastAsia="Times New Roman" w:hAnsi="Times New Roman"/>
          <w:sz w:val="18"/>
          <w:szCs w:val="18"/>
          <w:color w:val="auto"/>
        </w:rPr>
        <w:t>t. Subject to the requirements of Section 2(d)(ii), this Warrant may be modified or amended or the provisions hereof waived with the written consent of the Company and the Holder.</w:t>
      </w:r>
    </w:p>
    <w:p>
      <w:pPr>
        <w:spacing w:after="0" w:line="53" w:lineRule="exact"/>
        <w:rPr>
          <w:rFonts w:ascii="Times New Roman" w:cs="Times New Roman" w:eastAsia="Times New Roman" w:hAnsi="Times New Roman"/>
          <w:sz w:val="18"/>
          <w:szCs w:val="18"/>
          <w:color w:val="auto"/>
        </w:rPr>
      </w:pPr>
    </w:p>
    <w:p>
      <w:pPr>
        <w:ind w:firstLine="444"/>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w:t>
      </w:r>
      <w:r>
        <w:rPr>
          <w:rFonts w:ascii="Times New Roman" w:cs="Times New Roman" w:eastAsia="Times New Roman" w:hAnsi="Times New Roman"/>
          <w:sz w:val="18"/>
          <w:szCs w:val="18"/>
          <w:color w:val="auto"/>
        </w:rPr>
        <w: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8"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Contained on the Following Page]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Company has caused this Warrant to be executed by its officer thereunto duly authorized as of the Issue Date.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25641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Warrant]</w:t>
      </w:r>
    </w:p>
    <w:p>
      <w:pPr>
        <w:sectPr>
          <w:pgSz w:w="11900" w:h="16838" w:orient="portrait"/>
          <w:cols w:equalWidth="0" w:num="1">
            <w:col w:w="10160"/>
          </w:cols>
          <w:pgMar w:left="880" w:top="270" w:right="8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NN, INC.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that certain Common Stock Purchase Warrant (the “Warrant”) issued by NN, Inc. (the “Company”) on December 11,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the respective meanings give thereto in the Warrant.</w:t>
      </w:r>
    </w:p>
    <w:p>
      <w:pPr>
        <w:spacing w:after="0" w:line="99" w:lineRule="exact"/>
        <w:rPr>
          <w:sz w:val="20"/>
          <w:szCs w:val="20"/>
          <w:color w:val="auto"/>
        </w:rPr>
      </w:pPr>
    </w:p>
    <w:p>
      <w:pPr>
        <w:ind w:left="1260" w:hanging="264"/>
        <w:spacing w:after="0"/>
        <w:tabs>
          <w:tab w:leader="none" w:pos="1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of the Warrant hereby elects to exercise the Warrant for ______ Warrant Shares, subject to (check one):</w:t>
      </w:r>
    </w:p>
    <w:p>
      <w:pPr>
        <w:spacing w:after="0" w:line="117" w:lineRule="exact"/>
        <w:rPr>
          <w:rFonts w:ascii="Times New Roman" w:cs="Times New Roman" w:eastAsia="Times New Roman" w:hAnsi="Times New Roman"/>
          <w:sz w:val="18"/>
          <w:szCs w:val="18"/>
          <w:color w:val="auto"/>
        </w:rPr>
      </w:pPr>
    </w:p>
    <w:p>
      <w:pPr>
        <w:ind w:left="1080" w:hanging="212"/>
        <w:spacing w:after="0"/>
        <w:tabs>
          <w:tab w:leader="none" w:pos="1080"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delivery of the aggregate Exercise Price for the Warrant Shares as to which the Warrant is so exercised; or</w:t>
      </w:r>
    </w:p>
    <w:p>
      <w:pPr>
        <w:spacing w:after="0" w:line="117" w:lineRule="exact"/>
        <w:rPr>
          <w:rFonts w:ascii="MS PGothic" w:cs="MS PGothic" w:eastAsia="MS PGothic" w:hAnsi="MS PGothic"/>
          <w:sz w:val="18"/>
          <w:szCs w:val="18"/>
          <w:color w:val="auto"/>
        </w:rPr>
      </w:pPr>
    </w:p>
    <w:p>
      <w:pPr>
        <w:ind w:left="1080" w:hanging="212"/>
        <w:spacing w:after="0"/>
        <w:tabs>
          <w:tab w:leader="none" w:pos="1080" w:val="left"/>
        </w:tabs>
        <w:numPr>
          <w:ilvl w:val="0"/>
          <w:numId w:val="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tender of ______ Warrants pursuant to the cashless exercise provisions of Section 2(e) of the Warrant.</w:t>
      </w:r>
    </w:p>
    <w:p>
      <w:pPr>
        <w:spacing w:after="0" w:line="225"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undersigned Holder hereby instructs the Company to issue the applicable number of Warrant Shares, or the net number of shares of Common Stock issuable upon exercise of the Warrant pursuant to the cashless exercise provisions of Section 2(e) of the Warrant, in the name of the undersigned Holder.</w:t>
      </w:r>
    </w:p>
    <w:p>
      <w:pPr>
        <w:spacing w:after="0" w:line="68" w:lineRule="exact"/>
        <w:rPr>
          <w:sz w:val="20"/>
          <w:szCs w:val="20"/>
          <w:color w:val="auto"/>
        </w:rPr>
      </w:pPr>
    </w:p>
    <w:p>
      <w:pPr>
        <w:ind w:left="1260" w:hanging="264"/>
        <w:spacing w:after="0"/>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represents and warrants to the Company that, as of the date hereof:</w:t>
      </w:r>
    </w:p>
    <w:p>
      <w:pPr>
        <w:spacing w:after="0" w:line="117" w:lineRule="exact"/>
        <w:rPr>
          <w:rFonts w:ascii="Times New Roman" w:cs="Times New Roman" w:eastAsia="Times New Roman" w:hAnsi="Times New Roman"/>
          <w:sz w:val="18"/>
          <w:szCs w:val="18"/>
          <w:color w:val="auto"/>
        </w:rPr>
      </w:pPr>
    </w:p>
    <w:p>
      <w:pPr>
        <w:ind w:left="440" w:right="200" w:firstLine="428"/>
        <w:spacing w:after="0" w:line="266" w:lineRule="auto"/>
        <w:tabs>
          <w:tab w:leader="none" w:pos="10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Accredited Investor Status</w:t>
      </w:r>
      <w:r>
        <w:rPr>
          <w:rFonts w:ascii="Times New Roman" w:cs="Times New Roman" w:eastAsia="Times New Roman" w:hAnsi="Times New Roman"/>
          <w:sz w:val="18"/>
          <w:szCs w:val="18"/>
          <w:color w:val="auto"/>
        </w:rPr>
        <w:t>. The Holder (i) is an accredited investor as that term is defined in Rule 501 of Regulation D promulgated under the Securities Act, (ii) is capable of evaluating the merits and risks of its investment in the Company, (iii) has the capacity to protect its own interests, and (iv) has the financial ability to bear the economic risk of its investment in the Company.</w:t>
      </w:r>
    </w:p>
    <w:p>
      <w:pPr>
        <w:spacing w:after="0" w:line="68" w:lineRule="exact"/>
        <w:rPr>
          <w:rFonts w:ascii="Times New Roman" w:cs="Times New Roman" w:eastAsia="Times New Roman" w:hAnsi="Times New Roman"/>
          <w:sz w:val="18"/>
          <w:szCs w:val="18"/>
          <w:color w:val="auto"/>
        </w:rPr>
      </w:pPr>
    </w:p>
    <w:p>
      <w:pPr>
        <w:ind w:left="440" w:firstLine="428"/>
        <w:spacing w:after="0" w:line="256" w:lineRule="auto"/>
        <w:tabs>
          <w:tab w:leader="none" w:pos="10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Information</w:t>
      </w:r>
      <w:r>
        <w:rPr>
          <w:rFonts w:ascii="Times New Roman" w:cs="Times New Roman" w:eastAsia="Times New Roman" w:hAnsi="Times New Roman"/>
          <w:sz w:val="18"/>
          <w:szCs w:val="18"/>
          <w:color w:val="auto"/>
        </w:rPr>
        <w:t>. The Holder has been provided access to all information regarding the business and financial condition of the Company, its expected plans for future business activities, material contracts, intellectual property, and the merits and risks of its purchase of the Warrant Shares, which it has requested or otherwise needs to evaluate an investment in the Warrant Shares. It has had an opportunity to discuss the Company’s business, management and financial affairs with directors, officers and management of the Company and has had the opportunity to review the Company’s operations and facilities. It has also had the opportunity to ask questions of, and receive answers from, the Company and its management regarding the terms and conditions of this investment and all such questions have been answered to its satisfaction.</w:t>
      </w:r>
    </w:p>
    <w:p>
      <w:pPr>
        <w:spacing w:after="0" w:line="79" w:lineRule="exact"/>
        <w:rPr>
          <w:rFonts w:ascii="Times New Roman" w:cs="Times New Roman" w:eastAsia="Times New Roman" w:hAnsi="Times New Roman"/>
          <w:sz w:val="18"/>
          <w:szCs w:val="18"/>
          <w:color w:val="auto"/>
        </w:rPr>
      </w:pPr>
    </w:p>
    <w:p>
      <w:pPr>
        <w:ind w:left="440" w:right="200" w:firstLine="428"/>
        <w:spacing w:after="0" w:line="266" w:lineRule="auto"/>
        <w:tabs>
          <w:tab w:leader="none" w:pos="10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The Holder has not been formed solely for the purpose of making this investment and is acquiring the Warrant Shares for investment for its own account, not as a nominee or agent, and not with the view to, or for resale in connection with, any distribution of any part thereof. It understands that the Warrant Shares have not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020"/>
          </w:cols>
          <w:pgMar w:left="440" w:top="266" w:right="439" w:bottom="1440" w:gutter="0" w:footer="0" w:header="0"/>
        </w:sectPr>
      </w:pPr>
    </w:p>
    <w:bookmarkStart w:id="47" w:name="page48"/>
    <w:bookmarkEnd w:id="47"/>
    <w:p>
      <w:pPr>
        <w:ind w:lef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registered under the Securities Act or applicable state and other securities laws and are being issued by reason of a specific exemption from the registration provisions of the Securities Act and applicable state and other securities laws, the availability of which depends upon, among other things, the bona fide nature of the investment intent and the accuracy of its representations as expressed herein.</w:t>
      </w:r>
    </w:p>
    <w:p>
      <w:pPr>
        <w:spacing w:after="0" w:line="68" w:lineRule="exact"/>
        <w:rPr>
          <w:sz w:val="20"/>
          <w:szCs w:val="20"/>
          <w:color w:val="auto"/>
        </w:rPr>
      </w:pPr>
    </w:p>
    <w:p>
      <w:pPr>
        <w:ind w:left="440" w:firstLine="428"/>
        <w:spacing w:after="0" w:line="261" w:lineRule="auto"/>
        <w:tabs>
          <w:tab w:leader="none" w:pos="10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Holder acknowledges and understands that (i) transfers of the Warrant Shares are subject to transfer restrictions under the federal securities laws and (ii) it may have to bear the economic risk of this investment for an indefinite period of time unless the Warrant Shares are subsequently registered under the Securities Act and applicable state and other securities laws or unless an exemption from such registration is available.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1287780</wp:posOffset>
            </wp:positionH>
            <wp:positionV relativeFrom="paragraph">
              <wp:posOffset>-7620</wp:posOffset>
            </wp:positionV>
            <wp:extent cx="47720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720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9715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Registered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-7620</wp:posOffset>
            </wp:positionV>
            <wp:extent cx="3543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33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8572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-7620</wp:posOffset>
            </wp:positionV>
            <wp:extent cx="47148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8572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-7620</wp:posOffset>
            </wp:positionV>
            <wp:extent cx="4714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48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914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-7620</wp:posOffset>
            </wp:positionV>
            <wp:extent cx="67151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151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128905</wp:posOffset>
            </wp:positionV>
            <wp:extent cx="1143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A-2</w:t>
      </w:r>
    </w:p>
    <w:p>
      <w:pPr>
        <w:sectPr>
          <w:pgSz w:w="11900" w:h="16838" w:orient="portrait"/>
          <w:cols w:equalWidth="0" w:num="1">
            <w:col w:w="11000"/>
          </w:cols>
          <w:pgMar w:left="440" w:top="270" w:right="459" w:bottom="1440" w:gutter="0" w:footer="0" w:header="0"/>
        </w:sectPr>
      </w:pPr>
    </w:p>
    <w:bookmarkStart w:id="48" w:name="page49"/>
    <w:bookmarkEnd w:id="48"/>
    <w:p>
      <w:pPr>
        <w:jc w:val="center"/>
        <w:ind w:right="-10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879"/>
        <w:spacing w:after="0" w:line="5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 assign the foregoing Warrant, execute this form and supply required information. Do not use this form to purchase shares.</w:t>
      </w:r>
      <w:r>
        <w:rPr>
          <w:rFonts w:ascii="Times New Roman" w:cs="Times New Roman" w:eastAsia="Times New Roman" w:hAnsi="Times New Roman"/>
          <w:sz w:val="18"/>
          <w:szCs w:val="18"/>
          <w:color w:val="auto"/>
        </w:rPr>
        <w:t>) FOR VALUE RECEIVED, the foregoing Warrant and all rights evidenced thereby are hereby assigned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17145</wp:posOffset>
            </wp:positionV>
            <wp:extent cx="3353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17145</wp:posOffset>
            </wp:positionV>
            <wp:extent cx="3353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 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-19050</wp:posOffset>
            </wp:positionV>
            <wp:extent cx="162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-19050</wp:posOffset>
            </wp:positionV>
            <wp:extent cx="16859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85925" cy="8890"/>
                    </a:xfrm>
                    <a:prstGeom prst="rect">
                      <a:avLst/>
                    </a:prstGeom>
                    <a:noFill/>
                  </pic:spPr>
                </pic:pic>
              </a:graphicData>
            </a:graphic>
          </wp:anchor>
        </w:drawing>
      </w:r>
    </w:p>
    <w:p>
      <w:pPr>
        <w:spacing w:after="0" w:line="36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0019"/>
          </w:cols>
          <w:pgMar w:left="440" w:top="266"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SECURITIES PURCHASE AGREEMENT</w:t>
      </w: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THE PURCHASERS PARTY HERETO</w:t>
      </w:r>
    </w:p>
    <w:p>
      <w:pPr>
        <w:spacing w:after="0" w:line="2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December 5, 2019</w:t>
      </w:r>
    </w:p>
    <w:p>
      <w:pPr>
        <w:sectPr>
          <w:pgSz w:w="11900" w:h="16838" w:orient="portrait"/>
          <w:cols w:equalWidth="0" w:num="1">
            <w:col w:w="10020"/>
          </w:cols>
          <w:pgMar w:left="1440" w:top="117"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32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TABLE OF CONTENTS</w:t>
            </w: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28"/>
        </w:trPr>
        <w:tc>
          <w:tcPr>
            <w:tcW w:w="872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7"/>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Accounting Procedures and Interpretation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AGREEMENT TO SELL AND PURCHASE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2.01   Sale and Purchase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Closing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Conditions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Conditions to Each Purchaser’s Obligations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Conditions to the Company’s Obligations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Deliveries at the Closing</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   Independent Nature of Purchasers’ Obligations and Rights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RELATED TO THE COMPANY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3.01   Existence, Qualification and Power</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Capitalization and Valid Issuance of Securities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3.03   Ownership of the Material Subsidiaries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3.04   Company SEC Documents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Controls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   Disclosure Controls and Procedures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3.08   No Material Adverse Change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3.09   No Registration Required</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3.10   No Restrictions or Registration Rights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3.12   Compliance with Law</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3.13   No Existing Defaults; No Conflicts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Enforceability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Approvals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3.16   Investment Company Status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Fees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3.19   Listing and Maintenance Requirements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3.21   Tax Returns; Taxes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3.22   Required Disclosures and Descriptions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3.24   Title to Property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1" w:name="page52"/>
    <w:bookmarkEnd w:id="51"/>
    <w:tbl>
      <w:tblPr>
        <w:tblLayout w:type="fixed"/>
        <w:tblInd w:w="0" w:type="dxa"/>
        <w:tblCellMar>
          <w:top w:w="0" w:type="dxa"/>
          <w:left w:w="0" w:type="dxa"/>
          <w:bottom w:w="0" w:type="dxa"/>
          <w:right w:w="0" w:type="dxa"/>
        </w:tblCellMar>
      </w:tblP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3.25   Anti-Corruption Laws and Sanctions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3.26   Form S-3 Eligibility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3.27   No Directed Selling Efforts or General Solicitation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3.28   No Integrated Offering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3.29</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3.30</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Occupational Safety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Technology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PURCHASERS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Breach</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Fees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Unregistered Securities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Sufficient Funds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4.07   Ownership; No Prohibited Trading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4.08   No General Solicitation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4.09</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Reliance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4.10   Use of Proceeds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Cooperation; Further Assurances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Approvals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Use of Proceeds; Amended &amp; Restated Credit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5.04   Subsequent Equity Sales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5.07</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Qualifying Transactions.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   Removal of Legend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5.10   Listing; SEC Compliance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Blockers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COSTS AND EXPENSES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0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Indemnification by the Company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Certain Effects of 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2" w:name="page53"/>
    <w:bookmarkEnd w:id="52"/>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8.03   Survival of Provisions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No Waiver: Modifications in Writing</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8.05   Binding Effect; Assignment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8.09   Governing Law; Submission to Jurisdiction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8.10   Waiver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8.11   No Recourse Against Others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8.12   No Third-Party Beneficiaries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8.13   Execution in Counterparts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41"/>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 – Purchaser Allocations of Purchased Preferred Stock and Purchased Warrants</w:t>
            </w:r>
          </w:p>
        </w:tc>
        <w:tc>
          <w:tcPr>
            <w:tcW w:w="2240" w:type="dxa"/>
            <w:vAlign w:val="bottom"/>
          </w:tcPr>
          <w:p>
            <w:pPr>
              <w:spacing w:after="0"/>
              <w:rPr>
                <w:sz w:val="24"/>
                <w:szCs w:val="24"/>
                <w:color w:val="auto"/>
              </w:rPr>
            </w:pP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B – Purchaser Ownership of Common Stock</w:t>
            </w:r>
          </w:p>
        </w:tc>
        <w:tc>
          <w:tcPr>
            <w:tcW w:w="2240" w:type="dxa"/>
            <w:vAlign w:val="bottom"/>
          </w:tcPr>
          <w:p>
            <w:pPr>
              <w:spacing w:after="0"/>
              <w:rPr>
                <w:sz w:val="20"/>
                <w:szCs w:val="20"/>
                <w:color w:val="auto"/>
              </w:rPr>
            </w:pPr>
          </w:p>
        </w:tc>
      </w:tr>
      <w:tr>
        <w:trPr>
          <w:trHeight w:val="41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Form of Registration Rights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 Form of Certificate of Designation for the Series B Convertible Preferred Stock</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 – Form of Warrant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 – Tax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Legal Opinion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bl>
    <w:p>
      <w:pPr>
        <w:jc w:val="right"/>
        <w:spacing w:after="0"/>
        <w:rPr>
          <w:sz w:val="20"/>
          <w:szCs w:val="20"/>
          <w:color w:val="auto"/>
        </w:rPr>
        <w:sectPr>
          <w:pgSz w:w="11900" w:h="16838" w:orient="portrait"/>
          <w:cols w:equalWidth="0" w:num="1">
            <w:col w:w="10980"/>
          </w:cols>
          <w:pgMar w:left="440" w:top="270"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PURCHASE AGREEMENT</w:t>
      </w:r>
    </w:p>
    <w:p>
      <w:pPr>
        <w:spacing w:after="0" w:line="225" w:lineRule="exact"/>
        <w:rPr>
          <w:sz w:val="20"/>
          <w:szCs w:val="20"/>
          <w:color w:val="auto"/>
        </w:rPr>
      </w:pPr>
    </w:p>
    <w:p>
      <w:pPr>
        <w:ind w:right="40" w:firstLine="992"/>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dated as of December 5, 2019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purchasers set forth in Schedule A hereto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4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issue and sell to the Purchasers, and the Purchasers desire to purchase from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Securities (as defined below), in accordance with the provisions of this Agreement; and</w:t>
      </w:r>
    </w:p>
    <w:p>
      <w:pPr>
        <w:spacing w:after="0" w:line="155"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issuance of the Purchased Securities pursuant to this Agreement, the Company and the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enter into a registration rights agreement (the “</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pursuant to which the Company will provide the Purchasers with certain registration rights with respect to the Purchased Preferred Stock and Underlying Shares acquired pursuant hereto.</w:t>
      </w:r>
    </w:p>
    <w:p>
      <w:pPr>
        <w:spacing w:after="0" w:line="171" w:lineRule="exact"/>
        <w:rPr>
          <w:sz w:val="20"/>
          <w:szCs w:val="20"/>
          <w:color w:val="auto"/>
        </w:rPr>
      </w:pPr>
    </w:p>
    <w:p>
      <w:pPr>
        <w:ind w:right="8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set forth herein and for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is hereby acknowledged, the parties hereby agree as follows: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2020 Stockholder Meeting</w:t>
      </w:r>
      <w:r>
        <w:rPr>
          <w:rFonts w:ascii="Times New Roman" w:cs="Times New Roman" w:eastAsia="Times New Roman" w:hAnsi="Times New Roman"/>
          <w:sz w:val="18"/>
          <w:szCs w:val="18"/>
          <w:color w:val="auto"/>
        </w:rPr>
        <w:t>” has the meaning specified in Section 5.05.</w:t>
      </w:r>
    </w:p>
    <w:p>
      <w:pPr>
        <w:spacing w:after="0" w:line="225"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For the avoidance of doubt, for purposes of this Agreement, (a) the Company Entities, on the one hand, and any Purchaser, on the other, shall not be considered Affiliates and (b) any fund or account managed, advised or subadvised, directly or indirectly, by a Purchaser or its Affiliates, shall be considered an Affiliate of such Purchaser. In addition, the Wuxi JV shall not be considered an Affiliate of the Company or any other Company Entity for purposes of this Agreement.</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means J.P. Morgan Securities LLC.</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12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Allocated Purchase Price</w:t>
      </w:r>
      <w:r>
        <w:rPr>
          <w:rFonts w:ascii="Times New Roman" w:cs="Times New Roman" w:eastAsia="Times New Roman" w:hAnsi="Times New Roman"/>
          <w:sz w:val="18"/>
          <w:szCs w:val="18"/>
          <w:color w:val="auto"/>
        </w:rPr>
        <w:t xml:space="preserve">” means with respect to each Purchaser, the dollar amount set forth opposite such Purchaser’s name under the heading “Allocated Purchase Price”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hereto.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54" w:name="page55"/>
    <w:bookmarkEnd w:id="54"/>
    <w:p>
      <w:pPr>
        <w:ind w:right="20" w:firstLine="99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Amended and Restated Credit Agreement</w:t>
      </w:r>
      <w:r>
        <w:rPr>
          <w:rFonts w:ascii="Times New Roman" w:cs="Times New Roman" w:eastAsia="Times New Roman" w:hAnsi="Times New Roman"/>
          <w:sz w:val="18"/>
          <w:szCs w:val="18"/>
          <w:color w:val="auto"/>
        </w:rPr>
        <w:t>” means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Amendment No. 3 to Amended and Restated Credit Agreement, dated as of November 24, 2017 and Amendment No. 4 to Amended and Restated Credit Agreement, dated as of May 7, 2018, Amendment No. 5 to Amended and Restated Credit Agreement, dated as of December 26, 2018, Amendment No. 6 to Amended and Restated Credit Agreement, dated as of March 15, 2019 and Amendment No. 7 to Amended and Restated Credit Agreement, dated June 11, 2019 and as it may be further amended, restated, amended and restated or otherwise modified from time to time), by and among the Company, as the Borrower, SunTrust Bank, as Administrative Agent, Regions Bank, as Syndication Agent and Co-Documentation Agent, and Keybank National Association, as Co-Documentation Agent.</w:t>
      </w:r>
    </w:p>
    <w:p>
      <w:pPr>
        <w:spacing w:after="0" w:line="182" w:lineRule="exact"/>
        <w:rPr>
          <w:sz w:val="20"/>
          <w:szCs w:val="20"/>
          <w:color w:val="auto"/>
        </w:rPr>
      </w:pPr>
    </w:p>
    <w:p>
      <w:pPr>
        <w:ind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Company or its Subsidiaries from time to time concerning or relating to bribery, money-laundering or corruption.</w:t>
      </w:r>
    </w:p>
    <w:p>
      <w:pPr>
        <w:spacing w:after="0" w:line="155" w:lineRule="exact"/>
        <w:rPr>
          <w:sz w:val="20"/>
          <w:szCs w:val="20"/>
          <w:color w:val="auto"/>
        </w:rPr>
      </w:pPr>
    </w:p>
    <w:p>
      <w:pPr>
        <w:ind w:right="200" w:firstLine="992"/>
        <w:spacing w:after="0" w:line="268" w:lineRule="auto"/>
        <w:rPr>
          <w:sz w:val="20"/>
          <w:szCs w:val="20"/>
          <w:color w:val="auto"/>
        </w:rPr>
      </w:pPr>
      <w:r>
        <w:rPr>
          <w:rFonts w:ascii="Times New Roman" w:cs="Times New Roman" w:eastAsia="Times New Roman" w:hAnsi="Times New Roman"/>
          <w:sz w:val="18"/>
          <w:szCs w:val="18"/>
          <w:color w:val="auto"/>
        </w:rPr>
        <w:t>Any Person shall be deemed to “</w:t>
      </w:r>
      <w:r>
        <w:rPr>
          <w:rFonts w:ascii="Times New Roman" w:cs="Times New Roman" w:eastAsia="Times New Roman" w:hAnsi="Times New Roman"/>
          <w:sz w:val="18"/>
          <w:szCs w:val="18"/>
          <w:b w:val="1"/>
          <w:bCs w:val="1"/>
          <w:u w:val="single" w:color="auto"/>
          <w:color w:val="auto"/>
        </w:rPr>
        <w:t>beneficially own</w:t>
      </w:r>
      <w:r>
        <w:rPr>
          <w:rFonts w:ascii="Times New Roman" w:cs="Times New Roman" w:eastAsia="Times New Roman" w:hAnsi="Times New Roman"/>
          <w:sz w:val="18"/>
          <w:szCs w:val="18"/>
          <w:color w:val="auto"/>
        </w:rPr>
        <w:t>”, to have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of, or to be “</w:t>
      </w:r>
      <w:r>
        <w:rPr>
          <w:rFonts w:ascii="Times New Roman" w:cs="Times New Roman" w:eastAsia="Times New Roman" w:hAnsi="Times New Roman"/>
          <w:sz w:val="18"/>
          <w:szCs w:val="18"/>
          <w:b w:val="1"/>
          <w:bCs w:val="1"/>
          <w:u w:val="single" w:color="auto"/>
          <w:color w:val="auto"/>
        </w:rPr>
        <w:t>beneficially owning</w:t>
      </w:r>
      <w:r>
        <w:rPr>
          <w:rFonts w:ascii="Times New Roman" w:cs="Times New Roman" w:eastAsia="Times New Roman" w:hAnsi="Times New Roman"/>
          <w:sz w:val="18"/>
          <w:szCs w:val="18"/>
          <w:color w:val="auto"/>
        </w:rPr>
        <w:t>” any securities (which securities shall also be deemed “</w:t>
      </w:r>
      <w:r>
        <w:rPr>
          <w:rFonts w:ascii="Times New Roman" w:cs="Times New Roman" w:eastAsia="Times New Roman" w:hAnsi="Times New Roman"/>
          <w:sz w:val="18"/>
          <w:szCs w:val="18"/>
          <w:b w:val="1"/>
          <w:bCs w:val="1"/>
          <w:u w:val="single" w:color="auto"/>
          <w:color w:val="auto"/>
        </w:rPr>
        <w:t>beneficially owned</w:t>
      </w:r>
      <w:r>
        <w:rPr>
          <w:rFonts w:ascii="Times New Roman" w:cs="Times New Roman" w:eastAsia="Times New Roman" w:hAnsi="Times New Roman"/>
          <w:sz w:val="18"/>
          <w:szCs w:val="18"/>
          <w:color w:val="auto"/>
        </w:rPr>
        <w:t>” by such Person) that such Person is deemed to “beneficially own” within the meaning of Rules 13d-3 and 13d-5 under the Exchange Act.</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Balance Sheet Date</w:t>
      </w:r>
      <w:r>
        <w:rPr>
          <w:rFonts w:ascii="Times New Roman" w:cs="Times New Roman" w:eastAsia="Times New Roman" w:hAnsi="Times New Roman"/>
          <w:sz w:val="18"/>
          <w:szCs w:val="18"/>
          <w:color w:val="auto"/>
        </w:rPr>
        <w:t>” has the meaning specified in Section 3.05(b).</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14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are authorized or required by Law or other governmental action to close.</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color w:val="auto"/>
        </w:rPr>
        <w:t>” has the meaning specified in Section 2.04(d).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shall be deemed to have occurred at such time as any of the following events shall occur:</w:t>
      </w:r>
    </w:p>
    <w:p>
      <w:pPr>
        <w:spacing w:after="0" w:line="121" w:lineRule="exact"/>
        <w:rPr>
          <w:sz w:val="20"/>
          <w:szCs w:val="20"/>
          <w:color w:val="auto"/>
        </w:rPr>
      </w:pPr>
    </w:p>
    <w:p>
      <w:pPr>
        <w:ind w:right="60" w:firstLine="1436"/>
        <w:spacing w:after="0" w:line="274" w:lineRule="auto"/>
        <w:tabs>
          <w:tab w:leader="none" w:pos="167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other than the Company, its Subsidiaries or any employee benefits plan of the Company or its Subsidiaries, files, or is required by applicable law to file, a Schedule 13D (or any successor schedule, form or report) pursuant to the Exchange Act, disclosing that such person has become the direct or indirect beneficial owner of shares with a majority of the total voting power of the Company’s outstanding Common Stock or the Company becomes otherwise aware that any person or group has become the direct or indirect beneficial owner of shares with a majority of the total voting power of the Company’s outstanding Common Stock; unless such beneficial ownership arises solely as a result of a revocable proxy delivered in response to a proxy or consent solicitation made pursuant to applicable rules and regulations under the Exchange Act;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5" w:name="page56"/>
    <w:bookmarkEnd w:id="55"/>
    <w:p>
      <w:pPr>
        <w:ind w:firstLine="1436"/>
        <w:spacing w:after="0" w:line="255" w:lineRule="auto"/>
        <w:tabs>
          <w:tab w:leader="none" w:pos="16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consolidates with or merges with or into another person (other than a Subsidiary of the Company), or sells, conveys, transfers, leases or otherwise disposes of all or substantially all of the consolidated properties and assets of the Company and its Subsidiaries to any person (other than a Subsidiary of the Company) or any person (other than a Subsidiary of the Company) consolidates with, or merges with or into the Company, provided that none of the circumstances set forth in this clause (b) shall be a Change of Control if persons that beneficially own the Common Stock of the Company immediately prior to the transaction own, directly or indirectly, shares with a majority of the total voting power of all outstanding Common Stock of the surviving or transferee person immediately after the transaction in substantially the same proportion as their ownership of the Company’s Common Stock immediately prior to the transaction; or</w:t>
      </w:r>
    </w:p>
    <w:p>
      <w:pPr>
        <w:spacing w:after="0" w:line="81" w:lineRule="exact"/>
        <w:rPr>
          <w:rFonts w:ascii="Times New Roman" w:cs="Times New Roman" w:eastAsia="Times New Roman" w:hAnsi="Times New Roman"/>
          <w:sz w:val="18"/>
          <w:szCs w:val="18"/>
          <w:color w:val="auto"/>
        </w:rPr>
      </w:pPr>
    </w:p>
    <w:p>
      <w:pPr>
        <w:ind w:right="40" w:firstLine="1436"/>
        <w:spacing w:after="0" w:line="266" w:lineRule="auto"/>
        <w:tabs>
          <w:tab w:leader="none" w:pos="16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ceases to be listed or quoted on any of the New York Stock Exchange, New York Stock Exchange American, the NASDAQ Global Select Market or the NASDAQ Global Market or any other national securities exchange regulated under Section 6(a) of the Exchange Act.</w:t>
      </w:r>
    </w:p>
    <w:p>
      <w:pPr>
        <w:spacing w:after="0" w:line="17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has the meaning specified in Section 2.02.</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Entities</w:t>
      </w:r>
      <w:r>
        <w:rPr>
          <w:rFonts w:ascii="Times New Roman" w:cs="Times New Roman" w:eastAsia="Times New Roman" w:hAnsi="Times New Roman"/>
          <w:sz w:val="18"/>
          <w:szCs w:val="18"/>
          <w:color w:val="auto"/>
        </w:rPr>
        <w:t>” means, collectively, the Company and Company’s Subsidiaries.</w:t>
      </w:r>
    </w:p>
    <w:p>
      <w:pPr>
        <w:spacing w:after="0" w:line="225" w:lineRule="exact"/>
        <w:rPr>
          <w:sz w:val="20"/>
          <w:szCs w:val="20"/>
          <w:color w:val="auto"/>
        </w:rPr>
      </w:pPr>
    </w:p>
    <w:p>
      <w:pPr>
        <w:ind w:right="12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SEC Documents</w:t>
      </w:r>
      <w:r>
        <w:rPr>
          <w:rFonts w:ascii="Times New Roman" w:cs="Times New Roman" w:eastAsia="Times New Roman" w:hAnsi="Times New Roman"/>
          <w:sz w:val="18"/>
          <w:szCs w:val="18"/>
          <w:color w:val="auto"/>
        </w:rPr>
        <w:t>” means the Company’s forms, registration statements, reports, schedules and statements or other document (including exhibits) filed with, or furnished to, the Commission and publicly available after December 31, 2017 and prior to the date hereof.</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has the meaning specified in Section 3.15.</w:t>
      </w:r>
    </w:p>
    <w:p>
      <w:pPr>
        <w:spacing w:after="0" w:line="225" w:lineRule="exact"/>
        <w:rPr>
          <w:sz w:val="20"/>
          <w:szCs w:val="20"/>
          <w:color w:val="auto"/>
        </w:rPr>
      </w:pPr>
    </w:p>
    <w:p>
      <w:pPr>
        <w:ind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w:t>
      </w:r>
      <w:r>
        <w:rPr>
          <w:rFonts w:ascii="Times New Roman" w:cs="Times New Roman" w:eastAsia="Times New Roman" w:hAnsi="Times New Roman"/>
          <w:sz w:val="18"/>
          <w:szCs w:val="18"/>
          <w:color w:val="auto"/>
        </w:rPr>
        <w:t>” means any contract, agreement, indenture, note, bond, mortgage, deed of trust, loan, instrument, lease, license, commitment or other arrangement, understanding, undertaking, commitment or obligation, in each case that is legally binding, whether written or oral.</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DGCL</w:t>
      </w:r>
      <w:r>
        <w:rPr>
          <w:rFonts w:ascii="Times New Roman" w:cs="Times New Roman" w:eastAsia="Times New Roman" w:hAnsi="Times New Roman"/>
          <w:sz w:val="18"/>
          <w:szCs w:val="18"/>
          <w:color w:val="auto"/>
        </w:rPr>
        <w:t>” means the Delaware General Corporation Law, as may be amended or revised from time to time.</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6" w:name="page57"/>
    <w:bookmarkEnd w:id="56"/>
    <w:p>
      <w:pPr>
        <w:ind w:firstLine="992"/>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Dividend Withholding Taxes</w:t>
      </w:r>
      <w:r>
        <w:rPr>
          <w:rFonts w:ascii="Times New Roman" w:cs="Times New Roman" w:eastAsia="Times New Roman" w:hAnsi="Times New Roman"/>
          <w:sz w:val="18"/>
          <w:szCs w:val="18"/>
          <w:color w:val="auto"/>
        </w:rPr>
        <w:t>” means any taxes withheld by the Company under Sections 1441 and 1442 of the Code with respect to dividend income (including deemed dividends under Section 305 of the Code) attributable to the Purchased Preferred Stock. For the avoidance of doubt, Dividend Withholding Taxes shall not include any backup withholding or withholding under Sections 1471 through 1474 of the Code.</w:t>
      </w:r>
    </w:p>
    <w:p>
      <w:pPr>
        <w:spacing w:after="0" w:line="171" w:lineRule="exact"/>
        <w:rPr>
          <w:sz w:val="20"/>
          <w:szCs w:val="20"/>
          <w:color w:val="auto"/>
        </w:rPr>
      </w:pPr>
    </w:p>
    <w:p>
      <w:pPr>
        <w:ind w:firstLine="99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water or public wastewater treatment systems, applicable in, or pursuant to the laws of, any jurisdiction.</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8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55" w:lineRule="exact"/>
        <w:rPr>
          <w:sz w:val="20"/>
          <w:szCs w:val="20"/>
          <w:color w:val="auto"/>
        </w:rPr>
      </w:pPr>
    </w:p>
    <w:p>
      <w:pPr>
        <w:ind w:right="60" w:firstLine="992"/>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any Pension Plan or the treatment of a Pension Plan amendment, in each case, as a termination under</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Section 4041 or 4041A of ERISA; (e) the institution by the PBGC of proceedings to terminate a Pension Plan; (f) any event or condition which constitutes grounds under Section 4042 of ERISA for the termination of, or the appointment of a trustee to administer, any Pension Plan; or (g) the determination that any Pension Plan is considered an at-risk plan or a plan in endangered or critical status within the meaning of Sections 430, 431 and 432 of the Code or Sections 303, 304 and 305 of ERISA.</w:t>
      </w:r>
    </w:p>
    <w:p>
      <w:pPr>
        <w:spacing w:after="0" w:line="182" w:lineRule="exact"/>
        <w:rPr>
          <w:sz w:val="20"/>
          <w:szCs w:val="20"/>
          <w:color w:val="auto"/>
        </w:rPr>
      </w:pPr>
    </w:p>
    <w:p>
      <w:pPr>
        <w:ind w:right="72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Government Scheme or Arrangement</w:t>
      </w:r>
      <w:r>
        <w:rPr>
          <w:rFonts w:ascii="Times New Roman" w:cs="Times New Roman" w:eastAsia="Times New Roman" w:hAnsi="Times New Roman"/>
          <w:sz w:val="18"/>
          <w:szCs w:val="18"/>
          <w:color w:val="auto"/>
        </w:rPr>
        <w:t>” has the meaning specified in Section 3.20(e).</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Plan</w:t>
      </w:r>
      <w:r>
        <w:rPr>
          <w:rFonts w:ascii="Times New Roman" w:cs="Times New Roman" w:eastAsia="Times New Roman" w:hAnsi="Times New Roman"/>
          <w:sz w:val="18"/>
          <w:szCs w:val="18"/>
          <w:color w:val="auto"/>
        </w:rPr>
        <w:t>” has the meaning specified in Section 3.20(e).</w:t>
      </w:r>
    </w:p>
    <w:p>
      <w:pPr>
        <w:spacing w:after="0" w:line="225" w:lineRule="exact"/>
        <w:rPr>
          <w:sz w:val="20"/>
          <w:szCs w:val="20"/>
          <w:color w:val="auto"/>
        </w:rPr>
      </w:pPr>
    </w:p>
    <w:p>
      <w:pPr>
        <w:ind w:right="620"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57" w:name="page58"/>
    <w:bookmarkEnd w:id="57"/>
    <w:p>
      <w:pPr>
        <w:ind w:right="260" w:firstLine="992"/>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has the meaning specified in Section 6.02(b).</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has the meaning specified in Section 6.02(b).</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has the meaning specified in Section 3.31.</w:t>
      </w:r>
    </w:p>
    <w:p>
      <w:pPr>
        <w:spacing w:after="0" w:line="225" w:lineRule="exact"/>
        <w:rPr>
          <w:sz w:val="20"/>
          <w:szCs w:val="20"/>
          <w:color w:val="auto"/>
        </w:rPr>
      </w:pPr>
    </w:p>
    <w:p>
      <w:pPr>
        <w:ind w:right="300" w:firstLine="992"/>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Law</w:t>
      </w:r>
      <w:r>
        <w:rPr>
          <w:rFonts w:ascii="Times New Roman" w:cs="Times New Roman" w:eastAsia="Times New Roman" w:hAnsi="Times New Roman"/>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62" w:lineRule="exact"/>
        <w:rPr>
          <w:sz w:val="20"/>
          <w:szCs w:val="20"/>
          <w:color w:val="auto"/>
        </w:rPr>
      </w:pPr>
    </w:p>
    <w:p>
      <w:pPr>
        <w:ind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means any mortgage, pledge, lien (statutory or otherwise), security interest, security agreement, or other encumbrance upon or with respect to any property of any kind.</w:t>
      </w:r>
    </w:p>
    <w:p>
      <w:pPr>
        <w:spacing w:after="0" w:line="155" w:lineRule="exact"/>
        <w:rPr>
          <w:sz w:val="20"/>
          <w:szCs w:val="20"/>
          <w:color w:val="auto"/>
        </w:rPr>
      </w:pPr>
    </w:p>
    <w:p>
      <w:pPr>
        <w:ind w:right="20" w:firstLine="992"/>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xml:space="preserve">” means (a) a material adverse change in, or a material adverse effect upon the operations, business, properties, assets, or condition (financial or otherwise) of the Company or the Company Entities, taken as a whole; or (b) a material impairment of the ability of the Company Entities, taken as a whole to perform their obligations under the Transaction Documents to which they are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a Material Adverse Effect shall not include any material and adverse effect on the foregoing to the extent such material and adverse effect result from, arises out of, or relates to (1) the announcement of the transactions contemplated by this Agreement or the satisfaction of the obligations set forth herein,</w:t>
      </w:r>
    </w:p>
    <w:p>
      <w:pPr>
        <w:spacing w:after="0" w:line="3" w:lineRule="exact"/>
        <w:rPr>
          <w:sz w:val="20"/>
          <w:szCs w:val="20"/>
          <w:color w:val="auto"/>
        </w:rPr>
      </w:pPr>
    </w:p>
    <w:p>
      <w:pPr>
        <w:ind w:right="20" w:firstLine="4"/>
        <w:spacing w:after="0" w:line="252"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deterioration in the industry in which the Company operates, (3) a general deterioration in the economy, credit or financial or capital markets, in the United States or elsewhere in the world, in which the Company operates, including changes in interest or exchange rates, (4) any change or decline in market price or change in trading volume, of the capital stock of the Company, or (5) the outbreak or escalation of hostilities involving the United States, the declaration by the United States of a national emergency or war or the occurrence of any other calamity or crisis, including acts of terrorism; except, in each case with respect to subclauses (b)(2) or (b)(5), to the extent that such event, change or development disproportionately affects the Company Entities, taken as a whole, relative to other similar situated companies in the industries in which the Company Entities operate.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58" w:name="page59"/>
    <w:bookmarkEnd w:id="58"/>
    <w:p>
      <w:pPr>
        <w:ind w:right="300" w:firstLine="992"/>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means the Subsidiaries of the Company that are “significant subsidiaries” of the Company as defined in Rule 1-02(w) of Regulation S-X under the Exchange Act.</w:t>
      </w:r>
    </w:p>
    <w:p>
      <w:pPr>
        <w:spacing w:after="0" w:line="155" w:lineRule="exact"/>
        <w:rPr>
          <w:sz w:val="20"/>
          <w:szCs w:val="20"/>
          <w:color w:val="auto"/>
        </w:rPr>
      </w:pPr>
    </w:p>
    <w:p>
      <w:pPr>
        <w:ind w:right="18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Minimum Ownership Requirement</w:t>
      </w:r>
      <w:r>
        <w:rPr>
          <w:rFonts w:ascii="Times New Roman" w:cs="Times New Roman" w:eastAsia="Times New Roman" w:hAnsi="Times New Roman"/>
          <w:sz w:val="18"/>
          <w:szCs w:val="18"/>
          <w:color w:val="auto"/>
        </w:rPr>
        <w:t>” for any Purchaser means that such Purchaser continues to beneficially own at all times shares of Series B Convertible Preferred Stock with an aggregate liquidation preference of at least $10 million.</w:t>
      </w:r>
    </w:p>
    <w:p>
      <w:pPr>
        <w:spacing w:after="0" w:line="155" w:lineRule="exact"/>
        <w:rPr>
          <w:sz w:val="20"/>
          <w:szCs w:val="20"/>
          <w:color w:val="auto"/>
        </w:rPr>
      </w:pPr>
    </w:p>
    <w:p>
      <w:pPr>
        <w:ind w:right="40"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71" w:lineRule="exact"/>
        <w:rPr>
          <w:sz w:val="20"/>
          <w:szCs w:val="20"/>
          <w:color w:val="auto"/>
        </w:rPr>
      </w:pPr>
    </w:p>
    <w:p>
      <w:pPr>
        <w:ind w:right="14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means the NASDAQ Stock Market, Inc.</w:t>
      </w:r>
    </w:p>
    <w:p>
      <w:pPr>
        <w:spacing w:after="0" w:line="225"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means, (a) (i)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(b) with respect to entities incorporated in any non-U.S. jurisdiction, equivalent or comparable constitutive documents.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Outside Date</w:t>
      </w:r>
      <w:r>
        <w:rPr>
          <w:rFonts w:ascii="Times New Roman" w:cs="Times New Roman" w:eastAsia="Times New Roman" w:hAnsi="Times New Roman"/>
          <w:sz w:val="18"/>
          <w:szCs w:val="18"/>
          <w:color w:val="auto"/>
        </w:rPr>
        <w:t>” has the meaning specified in Section 7.01(c).</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firstLine="99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177" w:lineRule="exact"/>
        <w:rPr>
          <w:sz w:val="20"/>
          <w:szCs w:val="20"/>
          <w:color w:val="auto"/>
        </w:rPr>
      </w:pPr>
    </w:p>
    <w:p>
      <w:pPr>
        <w:ind w:right="480"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59" w:name="page60"/>
    <w:bookmarkEnd w:id="59"/>
    <w:p>
      <w:pPr>
        <w:ind w:right="220" w:firstLine="992"/>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Personal Data</w:t>
      </w:r>
      <w:r>
        <w:rPr>
          <w:rFonts w:ascii="Times New Roman" w:cs="Times New Roman" w:eastAsia="Times New Roman" w:hAnsi="Times New Roman"/>
          <w:sz w:val="18"/>
          <w:szCs w:val="18"/>
          <w:color w:val="auto"/>
        </w:rPr>
        <w:t>” has the meaning specified in Section 3.31.</w:t>
      </w:r>
    </w:p>
    <w:p>
      <w:pPr>
        <w:spacing w:after="0" w:line="225"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Proxy Statement</w:t>
      </w:r>
      <w:r>
        <w:rPr>
          <w:rFonts w:ascii="Times New Roman" w:cs="Times New Roman" w:eastAsia="Times New Roman" w:hAnsi="Times New Roman"/>
          <w:sz w:val="18"/>
          <w:szCs w:val="18"/>
          <w:color w:val="auto"/>
        </w:rPr>
        <w:t>” has the meaning specified in Section 5.05.</w:t>
      </w:r>
    </w:p>
    <w:p>
      <w:pPr>
        <w:spacing w:after="0" w:line="225" w:lineRule="exact"/>
        <w:rPr>
          <w:sz w:val="20"/>
          <w:szCs w:val="20"/>
          <w:color w:val="auto"/>
        </w:rPr>
      </w:pPr>
    </w:p>
    <w:p>
      <w:pPr>
        <w:ind w:right="8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Preferred Stock</w:t>
      </w:r>
      <w:r>
        <w:rPr>
          <w:rFonts w:ascii="Times New Roman" w:cs="Times New Roman" w:eastAsia="Times New Roman" w:hAnsi="Times New Roman"/>
          <w:sz w:val="18"/>
          <w:szCs w:val="18"/>
          <w:color w:val="auto"/>
        </w:rPr>
        <w:t xml:space="preserve">” means, with respect to each Purchaser, the number of shares of Series B Convertible Preferred Stock as set forth opposite such Purchaser’s name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Securities</w:t>
      </w:r>
      <w:r>
        <w:rPr>
          <w:rFonts w:ascii="Times New Roman" w:cs="Times New Roman" w:eastAsia="Times New Roman" w:hAnsi="Times New Roman"/>
          <w:sz w:val="18"/>
          <w:szCs w:val="18"/>
          <w:color w:val="auto"/>
        </w:rPr>
        <w:t>” means the Purchased Preferred Stock and the Purchased Warrants, collectively.</w:t>
      </w:r>
    </w:p>
    <w:p>
      <w:pPr>
        <w:spacing w:after="0" w:line="225" w:lineRule="exact"/>
        <w:rPr>
          <w:sz w:val="20"/>
          <w:szCs w:val="20"/>
          <w:color w:val="auto"/>
        </w:rPr>
      </w:pPr>
    </w:p>
    <w:p>
      <w:pPr>
        <w:ind w:right="30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Warrants</w:t>
      </w:r>
      <w:r>
        <w:rPr>
          <w:rFonts w:ascii="Times New Roman" w:cs="Times New Roman" w:eastAsia="Times New Roman" w:hAnsi="Times New Roman"/>
          <w:sz w:val="18"/>
          <w:szCs w:val="18"/>
          <w:color w:val="auto"/>
        </w:rPr>
        <w:t xml:space="preserve">” means, with respect to each Purchaser, the number of Warrants as set forth opposite such Purchaser’s name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 Related Parties</w:t>
      </w:r>
      <w:r>
        <w:rPr>
          <w:rFonts w:ascii="Times New Roman" w:cs="Times New Roman" w:eastAsia="Times New Roman" w:hAnsi="Times New Roman"/>
          <w:sz w:val="18"/>
          <w:szCs w:val="18"/>
          <w:color w:val="auto"/>
        </w:rPr>
        <w:t>” has the meaning specified in Section 6.01.</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Qualifying Tender/Exchange Offer</w:t>
      </w:r>
      <w:r>
        <w:rPr>
          <w:rFonts w:ascii="Times New Roman" w:cs="Times New Roman" w:eastAsia="Times New Roman" w:hAnsi="Times New Roman"/>
          <w:sz w:val="18"/>
          <w:szCs w:val="18"/>
          <w:color w:val="auto"/>
        </w:rPr>
        <w:t>” shall have the meaning specified in Section 5.07(d).</w:t>
      </w:r>
    </w:p>
    <w:p>
      <w:pPr>
        <w:spacing w:after="0" w:line="225" w:lineRule="exact"/>
        <w:rPr>
          <w:sz w:val="20"/>
          <w:szCs w:val="20"/>
          <w:color w:val="auto"/>
        </w:rPr>
      </w:pPr>
    </w:p>
    <w:p>
      <w:pPr>
        <w:ind w:right="200" w:firstLine="992"/>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Qualifying Transaction</w:t>
      </w:r>
      <w:r>
        <w:rPr>
          <w:rFonts w:ascii="Times New Roman" w:cs="Times New Roman" w:eastAsia="Times New Roman" w:hAnsi="Times New Roman"/>
          <w:sz w:val="17"/>
          <w:szCs w:val="17"/>
          <w:color w:val="auto"/>
        </w:rPr>
        <w:t>” means a Change of Control (a) with regard to which the holder of Series B Convertible Preferred Stock is entitled to receive in respect of its Series B Convertible Preferred Stock, in connection with the consummation of such transaction (without regard to limitations or restrictions on conversion), consideration consisting solely of cash in an amount per outstanding share of Series B Convertible Preferred Stock that is at least equal to: (x) the applicable “Redemption Price” (as defined in the Certificate of Designation) that would be paid to the holder of such share if a redemption of such share of the Series B Convertible Preferred Stock were to occur, as of the date of closing of the Qualifying Transaction; plus (y) any accrued dividends on the Series B Convertible Preferred Stock that have not been paid to the date of such closing; minus</w:t>
      </w:r>
    </w:p>
    <w:p>
      <w:pPr>
        <w:spacing w:after="0" w:line="4" w:lineRule="exact"/>
        <w:rPr>
          <w:sz w:val="20"/>
          <w:szCs w:val="20"/>
          <w:color w:val="auto"/>
        </w:rPr>
      </w:pPr>
    </w:p>
    <w:p>
      <w:pPr>
        <w:ind w:right="20" w:firstLine="4"/>
        <w:spacing w:after="0" w:line="253" w:lineRule="auto"/>
        <w:tabs>
          <w:tab w:leader="none" w:pos="2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35% of the aggregate amount of any Dividend Withholding Taxes as of such closing that the Company has paid prior to such closing with respect to such share of Series B Convertible Preferred Stock, or will pay or otherwise be required to deduct and withhold in connection with the payment of the consideration in respect of such share of the Series B Convertible Preferred Stock in the Qualifying Transaction (following repayment of all “Loan Obligations,” under the Credit Agreement, it being understood that the requirement to repay the Credit Agreement in no way modifies the requirement for the Redemption Price of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60" w:name="page61"/>
    <w:bookmarkEnd w:id="6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Convertible Preferred Stock to be paid in full, whether by the Company or a third party, in cash upon consummation of the applicable transaction for the Change of Control to qualify as a Qualifying Transaction) or (b) that is otherwise consented to by (i) the holders of a majority of the outstanding Series B Convertible Preferred Stock and (ii) each Purchaser party to this Agreement so long as such Purchaser continues to satisfy the Minimum Ownership Requirement.</w:t>
      </w:r>
    </w:p>
    <w:p>
      <w:pPr>
        <w:spacing w:after="0" w:line="176" w:lineRule="exact"/>
        <w:rPr>
          <w:sz w:val="20"/>
          <w:szCs w:val="20"/>
          <w:color w:val="auto"/>
        </w:rPr>
      </w:pPr>
    </w:p>
    <w:p>
      <w:pPr>
        <w:ind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to be entered into at the Closing, between the Company and the Purchasers, substantially in the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55" w:lineRule="exact"/>
        <w:rPr>
          <w:sz w:val="20"/>
          <w:szCs w:val="20"/>
          <w:color w:val="auto"/>
        </w:rPr>
      </w:pPr>
    </w:p>
    <w:p>
      <w:pPr>
        <w:jc w:val="both"/>
        <w:ind w:right="10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means, with respect to a specified Person, the Purchasers, Affiliates, officers, directors, managers, employees, agents, advisors, counsel, accountants, investment bankers and other representatives of such Person.</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means at any time, a country or territory which is itself the subject or target of any Sanctions.</w:t>
      </w:r>
    </w:p>
    <w:p>
      <w:pPr>
        <w:spacing w:after="0" w:line="225" w:lineRule="exact"/>
        <w:rPr>
          <w:sz w:val="20"/>
          <w:szCs w:val="20"/>
          <w:color w:val="auto"/>
        </w:rPr>
      </w:pPr>
    </w:p>
    <w:p>
      <w:pPr>
        <w:jc w:val="both"/>
        <w:ind w:right="100" w:firstLine="99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Her Majesty’s Treasury of the United Kingdom, the Netherlands or any other European Union member state.</w:t>
      </w:r>
    </w:p>
    <w:p>
      <w:pPr>
        <w:spacing w:after="0" w:line="177" w:lineRule="exact"/>
        <w:rPr>
          <w:sz w:val="20"/>
          <w:szCs w:val="20"/>
          <w:color w:val="auto"/>
        </w:rPr>
      </w:pPr>
    </w:p>
    <w:p>
      <w:pPr>
        <w:ind w:right="52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B Convertible Preferred Stock</w:t>
      </w:r>
      <w:r>
        <w:rPr>
          <w:rFonts w:ascii="Times New Roman" w:cs="Times New Roman" w:eastAsia="Times New Roman" w:hAnsi="Times New Roman"/>
          <w:sz w:val="18"/>
          <w:szCs w:val="18"/>
          <w:color w:val="auto"/>
        </w:rPr>
        <w:t>” means the Series B Convertible Preferred Stock having the terms set forth in the Certificate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Designation.</w:t>
      </w:r>
    </w:p>
    <w:p>
      <w:pPr>
        <w:spacing w:after="0" w:line="203" w:lineRule="exact"/>
        <w:rPr>
          <w:sz w:val="20"/>
          <w:szCs w:val="20"/>
          <w:color w:val="auto"/>
        </w:rPr>
      </w:pPr>
    </w:p>
    <w:p>
      <w:pPr>
        <w:ind w:right="220" w:firstLine="992"/>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Short Sales</w:t>
      </w:r>
      <w:r>
        <w:rPr>
          <w:rFonts w:ascii="Times New Roman" w:cs="Times New Roman" w:eastAsia="Times New Roman" w:hAnsi="Times New Roman"/>
          <w:sz w:val="17"/>
          <w:szCs w:val="17"/>
          <w:color w:val="auto"/>
        </w:rPr>
        <w:t>” means, all “short sales” as defined in Rule 200 promulgated under Regulation SHO under the Exchange Act and forward sale contracts, options, puts, calls, “put equivalent positions” (as defined in Rule 16a-1(h) under the Exchange Act) and similar arrangements.</w:t>
      </w:r>
    </w:p>
    <w:p>
      <w:pPr>
        <w:spacing w:after="0" w:line="1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has the meaning specified in Section 5.05.</w:t>
      </w:r>
    </w:p>
    <w:p>
      <w:pPr>
        <w:spacing w:after="0" w:line="225" w:lineRule="exact"/>
        <w:rPr>
          <w:sz w:val="20"/>
          <w:szCs w:val="20"/>
          <w:color w:val="auto"/>
        </w:rPr>
      </w:pPr>
    </w:p>
    <w:p>
      <w:pPr>
        <w:ind w:right="160" w:firstLine="99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xml:space="preserve">” means, as to any Person, any corporation or other entity of which: (a)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 such corporation or other entity shall have or might have voting power by reason of the happening of any contingency) is at the time directly or indirectly owned or controlled by such Person or one or more of its Subsidiaries; (b) such Person or a Subsidiary of such Person is a general partner or, in the case of a limited liability company, the sole or managing member or manager thereof; or (c) any corporation or other entity as to which such Person consolidates for accounting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for the avoidance of doubt that the Wuxi JV shall not be considered a Subsidiary for purposes of this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61" w:name="page62"/>
    <w:bookmarkEnd w:id="61"/>
    <w:p>
      <w:pPr>
        <w:ind w:right="400" w:firstLine="992"/>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report or similar filing (including the attached schedules) filed or required to be filed with respect to Taxes (and any amendments thereto), including any information return, claim for refund or declaration of estimated Taxes.</w:t>
      </w:r>
    </w:p>
    <w:p>
      <w:pPr>
        <w:spacing w:after="0" w:line="155" w:lineRule="exact"/>
        <w:rPr>
          <w:sz w:val="20"/>
          <w:szCs w:val="20"/>
          <w:color w:val="auto"/>
        </w:rPr>
      </w:pPr>
    </w:p>
    <w:p>
      <w:pPr>
        <w:ind w:right="120" w:firstLine="99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Third-Party Claim</w:t>
      </w:r>
      <w:r>
        <w:rPr>
          <w:rFonts w:ascii="Times New Roman" w:cs="Times New Roman" w:eastAsia="Times New Roman" w:hAnsi="Times New Roman"/>
          <w:sz w:val="18"/>
          <w:szCs w:val="18"/>
          <w:color w:val="auto"/>
        </w:rPr>
        <w:t>” has the meaning specified in Section 6.03(b).</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Purchase Price</w:t>
      </w:r>
      <w:r>
        <w:rPr>
          <w:rFonts w:ascii="Times New Roman" w:cs="Times New Roman" w:eastAsia="Times New Roman" w:hAnsi="Times New Roman"/>
          <w:sz w:val="18"/>
          <w:szCs w:val="18"/>
          <w:color w:val="auto"/>
        </w:rPr>
        <w:t>” means the aggregate amount of Allocated Purchase Prices of all of the Purchasers participating in the Closing.</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Affiliates</w:t>
      </w:r>
      <w:r>
        <w:rPr>
          <w:rFonts w:ascii="Times New Roman" w:cs="Times New Roman" w:eastAsia="Times New Roman" w:hAnsi="Times New Roman"/>
          <w:sz w:val="18"/>
          <w:szCs w:val="18"/>
          <w:color w:val="auto"/>
        </w:rPr>
        <w:t>” has the meaning set forth in Section 4.07.</w:t>
      </w:r>
    </w:p>
    <w:p>
      <w:pPr>
        <w:spacing w:after="0" w:line="225" w:lineRule="exact"/>
        <w:rPr>
          <w:sz w:val="20"/>
          <w:szCs w:val="20"/>
          <w:color w:val="auto"/>
        </w:rPr>
      </w:pPr>
    </w:p>
    <w:p>
      <w:pPr>
        <w:jc w:val="both"/>
        <w:ind w:right="540"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Certificate of Designation, Warrants and any and all other agreements or instruments executed and delivered to the Purchasers by the Company hereunder or thereunder, as applicable.</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Underlying Preferred Shares</w:t>
      </w:r>
      <w:r>
        <w:rPr>
          <w:rFonts w:ascii="Times New Roman" w:cs="Times New Roman" w:eastAsia="Times New Roman" w:hAnsi="Times New Roman"/>
          <w:sz w:val="18"/>
          <w:szCs w:val="18"/>
          <w:color w:val="auto"/>
        </w:rPr>
        <w:t>” has the meaning set forth in Section 3.02(d).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Underlying Shares</w:t>
      </w:r>
      <w:r>
        <w:rPr>
          <w:rFonts w:ascii="Times New Roman" w:cs="Times New Roman" w:eastAsia="Times New Roman" w:hAnsi="Times New Roman"/>
          <w:sz w:val="18"/>
          <w:szCs w:val="18"/>
          <w:color w:val="auto"/>
        </w:rPr>
        <w:t>” has the meaning set forth in Section 3.02(d).</w:t>
      </w:r>
    </w:p>
    <w:p>
      <w:pPr>
        <w:spacing w:after="0" w:line="225"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shall mean the warrants, as evidenced by certificates substantially in the form attached as Exhibit C, with such changes thereto as may be consented to by the parties hereto prior to Closing, it being agreed that the parties hereto shall consent to any commercially reasonable changes as may be reasonably required by NASDAQ staff to comply with NASDAQ listing rules.</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Wuxi JV</w:t>
      </w:r>
      <w:r>
        <w:rPr>
          <w:rFonts w:ascii="Times New Roman" w:cs="Times New Roman" w:eastAsia="Times New Roman" w:hAnsi="Times New Roman"/>
          <w:sz w:val="18"/>
          <w:szCs w:val="18"/>
          <w:color w:val="auto"/>
        </w:rPr>
        <w:t>” shall mean the Company’s 49% investment in the joint venture with Wuxi Weifu Hi-Technology Co., Ltd..</w:t>
      </w:r>
    </w:p>
    <w:p>
      <w:pPr>
        <w:spacing w:after="0" w:line="225" w:lineRule="exact"/>
        <w:rPr>
          <w:sz w:val="20"/>
          <w:szCs w:val="20"/>
          <w:color w:val="auto"/>
        </w:rPr>
      </w:pPr>
    </w:p>
    <w:p>
      <w:pPr>
        <w:ind w:right="2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Accounting Procedures and Interpretation</w:t>
      </w:r>
      <w:r>
        <w:rPr>
          <w:rFonts w:ascii="Times New Roman" w:cs="Times New Roman" w:eastAsia="Times New Roman" w:hAnsi="Times New Roman"/>
          <w:sz w:val="18"/>
          <w:szCs w:val="18"/>
          <w:color w:val="auto"/>
        </w:rPr>
        <w:t>. Unless otherwise specified herein, all accounting terms used herein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interpreted, all determinations with respect to accounting matters hereunder shall be made, and all financial statements of the Company and certificates and reports as to financial matters required to be furnished to the Purchasers hereunder shall be prepared, in accordance with GAAP applied on a consistent basis during the periods involved (except as may be indicated in the notes thereto or, in the case of unaudited statements, as permitted by Form 10-Q promulgated by the Commission) and in compliance as to form in all material respects with applicable accounting requirements and with the published rules and regulations of the Commission with respect thereto.</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SELL AND PURCHASE</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Sale and Purchase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96"/>
        <w:spacing w:after="0" w:line="258" w:lineRule="auto"/>
        <w:tabs>
          <w:tab w:leader="none" w:pos="123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at the Closing, each Purchaser hereby agrees to purchase from the Company such number of Purchased Securities as set forth on Schedule A, and each Purchaser agrees to pay the Company its Allocated Purchase Price with respect to such Purchased Securities. Each Purchaser shall be permitted, prior to Closing, to allocate its obligation to purchase Purchased Securities among funds and other accounts managed by or under common management with such Purchaser; provided that, if any such fund or account fails to perform its obligation to purchase the applicable portion of the Purchasers’ Purchased Securities, the Purchaser shall purchase such Purchased Securities.</w:t>
      </w:r>
    </w:p>
    <w:p>
      <w:pPr>
        <w:spacing w:after="0" w:line="75" w:lineRule="exact"/>
        <w:rPr>
          <w:rFonts w:ascii="Times New Roman" w:cs="Times New Roman" w:eastAsia="Times New Roman" w:hAnsi="Times New Roman"/>
          <w:sz w:val="18"/>
          <w:szCs w:val="18"/>
          <w:color w:val="auto"/>
        </w:rPr>
      </w:pPr>
    </w:p>
    <w:p>
      <w:pPr>
        <w:ind w:right="780" w:firstLine="996"/>
        <w:spacing w:after="0" w:line="282" w:lineRule="auto"/>
        <w:tabs>
          <w:tab w:leader="none" w:pos="124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at the Closing, the Company hereby agrees to issue and sell to each Purchaser the Purchased Securities.</w:t>
      </w:r>
    </w:p>
    <w:p>
      <w:pPr>
        <w:spacing w:after="0" w:line="158" w:lineRule="exact"/>
        <w:rPr>
          <w:sz w:val="20"/>
          <w:szCs w:val="20"/>
          <w:color w:val="auto"/>
        </w:rPr>
      </w:pPr>
    </w:p>
    <w:p>
      <w:pPr>
        <w:ind w:right="100"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Subject to the satisfaction or waiver of the conditions precedent set forth in Section 2.03, Section 2.04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2.05 (other than those conditions that by their nature are to be satisfied at the Closing, but subject to the satisfaction or waiver of those conditions at such time), the consummation of the purchase and sale of the Purchased Securities hereunder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take place at 9:00 a.m. Eastern Time on December 10, 2019, at the offices of Simpson Thacher &amp; Bartlett LLP located at 425 Lexington Avenue, New York, New York 10017, or at such other place, time or date as may be mutually agreed upon in writing by the Company and the Purchasers.</w:t>
      </w:r>
    </w:p>
    <w:p>
      <w:pPr>
        <w:spacing w:after="0" w:line="180" w:lineRule="exact"/>
        <w:rPr>
          <w:sz w:val="20"/>
          <w:szCs w:val="20"/>
          <w:color w:val="auto"/>
        </w:rPr>
      </w:pPr>
    </w:p>
    <w:p>
      <w:pPr>
        <w:ind w:right="6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2.03 </w:t>
      </w:r>
      <w:r>
        <w:rPr>
          <w:rFonts w:ascii="Times New Roman" w:cs="Times New Roman" w:eastAsia="Times New Roman" w:hAnsi="Times New Roman"/>
          <w:sz w:val="18"/>
          <w:szCs w:val="18"/>
          <w:b w:val="1"/>
          <w:bCs w:val="1"/>
          <w:u w:val="single" w:color="auto"/>
          <w:color w:val="auto"/>
        </w:rPr>
        <w:t>Mutual Conditions</w:t>
      </w:r>
      <w:r>
        <w:rPr>
          <w:rFonts w:ascii="Times New Roman" w:cs="Times New Roman" w:eastAsia="Times New Roman" w:hAnsi="Times New Roman"/>
          <w:sz w:val="18"/>
          <w:szCs w:val="18"/>
          <w:color w:val="auto"/>
        </w:rPr>
        <w:t>. The respective obligations of each party to consummate the purchase and sale of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at the Closing shall be subject to the satisfaction, on or prior to the Closing Date, of each of the following conditions (any or all of which may be waived by a party on behalf of itself in writing, in whole or in part, to the extent permitted by applicable Law):</w:t>
      </w:r>
    </w:p>
    <w:p>
      <w:pPr>
        <w:spacing w:after="0" w:line="67" w:lineRule="exact"/>
        <w:rPr>
          <w:sz w:val="20"/>
          <w:szCs w:val="20"/>
          <w:color w:val="auto"/>
        </w:rPr>
      </w:pPr>
    </w:p>
    <w:p>
      <w:pPr>
        <w:ind w:right="220" w:firstLine="996"/>
        <w:spacing w:after="0" w:line="266" w:lineRule="auto"/>
        <w:tabs>
          <w:tab w:leader="none" w:pos="12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order, decree or regulation shall have been enacted or promulgated, and no action shall have been taken, by any Governmental Authority which temporarily, preliminarily or permanently restrains, precludes, enjoins or otherwise prohibits the consummation of the transactions contemplated hereby or makes the transactions contemplated hereby illegal; and</w:t>
      </w:r>
    </w:p>
    <w:p>
      <w:pPr>
        <w:spacing w:after="0" w:line="68" w:lineRule="exact"/>
        <w:rPr>
          <w:rFonts w:ascii="Times New Roman" w:cs="Times New Roman" w:eastAsia="Times New Roman" w:hAnsi="Times New Roman"/>
          <w:sz w:val="18"/>
          <w:szCs w:val="18"/>
          <w:color w:val="auto"/>
        </w:rPr>
      </w:pPr>
    </w:p>
    <w:p>
      <w:pPr>
        <w:ind w:right="580" w:firstLine="996"/>
        <w:spacing w:after="0" w:line="282" w:lineRule="auto"/>
        <w:tabs>
          <w:tab w:leader="none" w:pos="12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pending any suit, action or proceeding by any Governmental Authority seeking to restrain, preclude, enjoin or prohibit the transactions contemplated by this Agreement.</w:t>
      </w:r>
    </w:p>
    <w:p>
      <w:pPr>
        <w:spacing w:after="0" w:line="158" w:lineRule="exact"/>
        <w:rPr>
          <w:sz w:val="20"/>
          <w:szCs w:val="20"/>
          <w:color w:val="auto"/>
        </w:rPr>
      </w:pPr>
    </w:p>
    <w:p>
      <w:pPr>
        <w:ind w:right="18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b w:val="1"/>
          <w:bCs w:val="1"/>
          <w:u w:val="single" w:color="auto"/>
          <w:color w:val="auto"/>
        </w:rPr>
        <w:t>Conditions to Each Purchaser’s Obligations</w:t>
      </w:r>
      <w:r>
        <w:rPr>
          <w:rFonts w:ascii="Times New Roman" w:cs="Times New Roman" w:eastAsia="Times New Roman" w:hAnsi="Times New Roman"/>
          <w:sz w:val="18"/>
          <w:szCs w:val="18"/>
          <w:color w:val="auto"/>
        </w:rPr>
        <w:t>. The obligation of a Purchaser to consummate its purchase of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shall be subject to the satisfaction on or prior to the Closing Date of each of the following conditions (any or all of which may be waived by the applicable Purchaser with respect to itself in writing, in whole or in part, to the extent permitted by applicable Law):</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63" w:name="page64"/>
    <w:bookmarkEnd w:id="63"/>
    <w:p>
      <w:pPr>
        <w:ind w:firstLine="996"/>
        <w:spacing w:after="0" w:line="258" w:lineRule="auto"/>
        <w:tabs>
          <w:tab w:leader="none" w:pos="12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representations and warranties of the Company contained in this Agreement shall be true and correct in all material respects (other than those representations and warranties contained in Section 3.01, Section 3.02, Section 3.04, Section 3.09. Section 3.10, Section 3.13(a)(i) and (b)(i), Section 3.14, Section 3.16, Section 3.17, Section 3.26 or Section 3.32 or other representations and warranties that are qualified by materiality or Material Adverse Effect, which, in each case, shall be true and correct in all respects) when made and as of the Closing Date (except that representations and warranties made as of a specific date shall be required to be true and correct as of such date only);</w:t>
      </w:r>
    </w:p>
    <w:p>
      <w:pPr>
        <w:spacing w:after="0" w:line="75" w:lineRule="exact"/>
        <w:rPr>
          <w:rFonts w:ascii="Times New Roman" w:cs="Times New Roman" w:eastAsia="Times New Roman" w:hAnsi="Times New Roman"/>
          <w:sz w:val="18"/>
          <w:szCs w:val="18"/>
          <w:color w:val="auto"/>
        </w:rPr>
      </w:pPr>
    </w:p>
    <w:p>
      <w:pPr>
        <w:ind w:right="340" w:firstLine="996"/>
        <w:spacing w:after="0" w:line="282" w:lineRule="auto"/>
        <w:tabs>
          <w:tab w:leader="none" w:pos="12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and complied in all material respects with all of the covenants and agreements contained in this Agreement that are required to be performed or complied with by it on or prior to the Closing Date;</w:t>
      </w:r>
    </w:p>
    <w:p>
      <w:pPr>
        <w:spacing w:after="0" w:line="53" w:lineRule="exact"/>
        <w:rPr>
          <w:rFonts w:ascii="Times New Roman" w:cs="Times New Roman" w:eastAsia="Times New Roman" w:hAnsi="Times New Roman"/>
          <w:sz w:val="18"/>
          <w:szCs w:val="18"/>
          <w:color w:val="auto"/>
        </w:rPr>
      </w:pPr>
    </w:p>
    <w:p>
      <w:pPr>
        <w:ind w:right="300" w:firstLine="996"/>
        <w:spacing w:after="0" w:line="282" w:lineRule="auto"/>
        <w:tabs>
          <w:tab w:leader="none" w:pos="12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“Notification Form: Listing of Additional Shares” and supporting documentation, if required, related to the Underlying Shares and NASDAQ shall have not raised any objection with respect thereto that has not been withdrawn;</w:t>
      </w:r>
    </w:p>
    <w:p>
      <w:pPr>
        <w:spacing w:after="0" w:line="53" w:lineRule="exact"/>
        <w:rPr>
          <w:rFonts w:ascii="Times New Roman" w:cs="Times New Roman" w:eastAsia="Times New Roman" w:hAnsi="Times New Roman"/>
          <w:sz w:val="18"/>
          <w:szCs w:val="18"/>
          <w:color w:val="auto"/>
        </w:rPr>
      </w:pPr>
    </w:p>
    <w:p>
      <w:pPr>
        <w:ind w:right="60" w:firstLine="996"/>
        <w:spacing w:after="0" w:line="261" w:lineRule="auto"/>
        <w:tabs>
          <w:tab w:leader="none" w:pos="12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duly adopted and filed with the Secretary of State of the State of Delaware the Certificate of Designation in substantially the form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with such changes thereto as may be consented to by the parties hereto prior to the Closing, it being agreed that the parties hereto shall consent to any commercially reasonable changes as may be reasonably required by NASDAQ staff to comply with NASDAQ listing rules (the “</w:t>
      </w:r>
      <w:r>
        <w:rPr>
          <w:rFonts w:ascii="Times New Roman" w:cs="Times New Roman" w:eastAsia="Times New Roman" w:hAnsi="Times New Roman"/>
          <w:sz w:val="18"/>
          <w:szCs w:val="18"/>
          <w:b w:val="1"/>
          <w:bCs w:val="1"/>
          <w:u w:val="single" w:color="auto"/>
          <w:color w:val="auto"/>
        </w:rPr>
        <w:t>Certificate of Designation</w:t>
      </w:r>
      <w:r>
        <w:rPr>
          <w:rFonts w:ascii="Times New Roman" w:cs="Times New Roman" w:eastAsia="Times New Roman" w:hAnsi="Times New Roman"/>
          <w:sz w:val="18"/>
          <w:szCs w:val="18"/>
          <w:color w:val="auto"/>
        </w:rPr>
        <w:t>”) and such filing shall have been accepted and the Certificate of Designation shall be effective;</w:t>
      </w:r>
    </w:p>
    <w:p>
      <w:pPr>
        <w:spacing w:after="0" w:line="71" w:lineRule="exact"/>
        <w:rPr>
          <w:rFonts w:ascii="Times New Roman" w:cs="Times New Roman" w:eastAsia="Times New Roman" w:hAnsi="Times New Roman"/>
          <w:sz w:val="18"/>
          <w:szCs w:val="18"/>
          <w:color w:val="auto"/>
        </w:rPr>
      </w:pPr>
    </w:p>
    <w:p>
      <w:pPr>
        <w:ind w:firstLine="996"/>
        <w:spacing w:after="0" w:line="266" w:lineRule="auto"/>
        <w:tabs>
          <w:tab w:leader="none" w:pos="123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downgrading shall have occurred in the rating accorded the Company’s Indebtedness (as defined in the Amended and Restated Credit Agreement) by any “nationally recognized statistical rating organization”, as that term is defined in Section 3(a)(62) under the Exchange Act;</w:t>
      </w:r>
    </w:p>
    <w:p>
      <w:pPr>
        <w:spacing w:after="0" w:line="68" w:lineRule="exact"/>
        <w:rPr>
          <w:rFonts w:ascii="Times New Roman" w:cs="Times New Roman" w:eastAsia="Times New Roman" w:hAnsi="Times New Roman"/>
          <w:sz w:val="18"/>
          <w:szCs w:val="18"/>
          <w:color w:val="auto"/>
        </w:rPr>
      </w:pPr>
    </w:p>
    <w:p>
      <w:pPr>
        <w:ind w:left="1220" w:hanging="224"/>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of delisting from NASDAQ shall have been received by the Company with respect to the Common Stock; and</w:t>
      </w:r>
    </w:p>
    <w:p>
      <w:pPr>
        <w:spacing w:after="0" w:line="117"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or caused to be delivered, to the Purchaser the Company’s closing deliveries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2.06(a), as applicable.</w:t>
      </w:r>
    </w:p>
    <w:p>
      <w:pPr>
        <w:spacing w:after="0" w:line="203" w:lineRule="exact"/>
        <w:rPr>
          <w:sz w:val="20"/>
          <w:szCs w:val="20"/>
          <w:color w:val="auto"/>
        </w:rPr>
      </w:pPr>
    </w:p>
    <w:p>
      <w:pPr>
        <w:ind w:right="12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b w:val="1"/>
          <w:bCs w:val="1"/>
          <w:u w:val="single" w:color="auto"/>
          <w:color w:val="auto"/>
        </w:rPr>
        <w:t>Conditions to the Company’s Obligations</w:t>
      </w:r>
      <w:r>
        <w:rPr>
          <w:rFonts w:ascii="Times New Roman" w:cs="Times New Roman" w:eastAsia="Times New Roman" w:hAnsi="Times New Roman"/>
          <w:sz w:val="18"/>
          <w:szCs w:val="18"/>
          <w:color w:val="auto"/>
        </w:rPr>
        <w:t>. The obligation of the Company to consummate the sale and issuance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Securities to each Purchaser shall be subject to the satisfaction on or prior to the Closing Date of each of the following conditions (any or all of which may be waived by the Company in writing, in whole or in part, to the extent permitted by applicable Law):</w:t>
      </w:r>
    </w:p>
    <w:p>
      <w:pPr>
        <w:spacing w:after="0" w:line="67" w:lineRule="exact"/>
        <w:rPr>
          <w:sz w:val="20"/>
          <w:szCs w:val="20"/>
          <w:color w:val="auto"/>
        </w:rPr>
      </w:pPr>
    </w:p>
    <w:p>
      <w:pPr>
        <w:ind w:firstLine="996"/>
        <w:spacing w:after="0" w:line="261" w:lineRule="auto"/>
        <w:tabs>
          <w:tab w:leader="none" w:pos="12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such Purchaser contained in this Agreement shall be true and correct in all material respects (other than those representations and warranties that are qualified by materiality, which, in each case, shall be true and correct in all respects) when made and as of the Closing Date (except that representations and warranties made as of a specific date or for a specific period shall be required to be true and correct as of such date or for such specific period only);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64" w:name="page65"/>
    <w:bookmarkEnd w:id="64"/>
    <w:p>
      <w:pPr>
        <w:ind w:left="-80" w:right="160" w:firstLine="996"/>
        <w:spacing w:after="0" w:line="282" w:lineRule="auto"/>
        <w:tabs>
          <w:tab w:leader="none" w:pos="11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Purchaser shall have performed and complied in all material respects with all of the covenants and agreements contained in this Agreement that are required to be performed or complied with by it on or prior to the Closing Date; and</w:t>
      </w:r>
    </w:p>
    <w:p>
      <w:pPr>
        <w:spacing w:after="0" w:line="53" w:lineRule="exact"/>
        <w:rPr>
          <w:rFonts w:ascii="Times New Roman" w:cs="Times New Roman" w:eastAsia="Times New Roman" w:hAnsi="Times New Roman"/>
          <w:sz w:val="18"/>
          <w:szCs w:val="18"/>
          <w:color w:val="auto"/>
        </w:rPr>
      </w:pPr>
    </w:p>
    <w:p>
      <w:pPr>
        <w:ind w:left="-80" w:right="640" w:firstLine="996"/>
        <w:spacing w:after="0" w:line="282" w:lineRule="auto"/>
        <w:tabs>
          <w:tab w:leader="none" w:pos="11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shall have delivered, or caused to be delivered, to the Company the Purchaser’s closing deliveries described in Section 2.06(b), as applicable.</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Section 2.06 </w:t>
      </w:r>
      <w:r>
        <w:rPr>
          <w:rFonts w:ascii="Times New Roman" w:cs="Times New Roman" w:eastAsia="Times New Roman" w:hAnsi="Times New Roman"/>
          <w:sz w:val="18"/>
          <w:szCs w:val="18"/>
          <w:b w:val="1"/>
          <w:bCs w:val="1"/>
          <w:u w:val="single" w:color="auto"/>
          <w:color w:val="auto"/>
        </w:rPr>
        <w:t>Deliveries at the Closing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60" w:hanging="244"/>
        <w:spacing w:after="0"/>
        <w:tabs>
          <w:tab w:leader="none" w:pos="1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of the Company</w:t>
      </w:r>
      <w:r>
        <w:rPr>
          <w:rFonts w:ascii="Times New Roman" w:cs="Times New Roman" w:eastAsia="Times New Roman" w:hAnsi="Times New Roman"/>
          <w:sz w:val="18"/>
          <w:szCs w:val="18"/>
          <w:color w:val="auto"/>
        </w:rPr>
        <w:t>. At the Closing, the Company shall deliver, or cause to be delivered, to the Purchasers:</w:t>
      </w:r>
    </w:p>
    <w:p>
      <w:pPr>
        <w:spacing w:after="0" w:line="117" w:lineRule="exact"/>
        <w:rPr>
          <w:rFonts w:ascii="Times New Roman" w:cs="Times New Roman" w:eastAsia="Times New Roman" w:hAnsi="Times New Roman"/>
          <w:sz w:val="18"/>
          <w:szCs w:val="18"/>
          <w:color w:val="auto"/>
        </w:rPr>
      </w:pPr>
    </w:p>
    <w:p>
      <w:pPr>
        <w:ind w:left="360" w:right="80" w:firstLine="957"/>
        <w:spacing w:after="0" w:line="266" w:lineRule="auto"/>
        <w:tabs>
          <w:tab w:leader="none" w:pos="1527"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warrant for each Purchaser providing for the purchase by such Purchaser of the number of shares of Common Stock set forth opposite such Purchasers name on Schedule A shall have been delivered to each such Purchaser free and clear of any Liens, other than transfer restrictions under this Agreement and applicable federal and state securities Laws and those created by the Purchasers;</w:t>
      </w:r>
    </w:p>
    <w:p>
      <w:pPr>
        <w:spacing w:after="0" w:line="68" w:lineRule="exact"/>
        <w:rPr>
          <w:rFonts w:ascii="Times New Roman" w:cs="Times New Roman" w:eastAsia="Times New Roman" w:hAnsi="Times New Roman"/>
          <w:sz w:val="18"/>
          <w:szCs w:val="18"/>
          <w:color w:val="auto"/>
        </w:rPr>
      </w:pPr>
    </w:p>
    <w:p>
      <w:pPr>
        <w:ind w:left="1580" w:hanging="263"/>
        <w:spacing w:after="0"/>
        <w:tabs>
          <w:tab w:leader="none" w:pos="15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the Registration Rights Agreement, which shall have been duly executed by the Company;</w:t>
      </w:r>
    </w:p>
    <w:p>
      <w:pPr>
        <w:spacing w:after="0" w:line="117" w:lineRule="exact"/>
        <w:rPr>
          <w:rFonts w:ascii="Times New Roman" w:cs="Times New Roman" w:eastAsia="Times New Roman" w:hAnsi="Times New Roman"/>
          <w:sz w:val="18"/>
          <w:szCs w:val="18"/>
          <w:color w:val="auto"/>
        </w:rPr>
      </w:pPr>
    </w:p>
    <w:p>
      <w:pPr>
        <w:ind w:left="1640" w:hanging="323"/>
        <w:spacing w:after="0"/>
        <w:tabs>
          <w:tab w:leader="none" w:pos="16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executed “Supplemental Listing Application” approving the Underlying Shares for listing by NASDAQ;</w:t>
      </w:r>
    </w:p>
    <w:p>
      <w:pPr>
        <w:spacing w:after="0" w:line="117" w:lineRule="exact"/>
        <w:rPr>
          <w:rFonts w:ascii="Times New Roman" w:cs="Times New Roman" w:eastAsia="Times New Roman" w:hAnsi="Times New Roman"/>
          <w:sz w:val="18"/>
          <w:szCs w:val="18"/>
          <w:color w:val="auto"/>
        </w:rPr>
      </w:pPr>
    </w:p>
    <w:p>
      <w:pPr>
        <w:ind w:left="360" w:right="20" w:firstLine="957"/>
        <w:spacing w:after="0" w:line="266" w:lineRule="auto"/>
        <w:tabs>
          <w:tab w:leader="none" w:pos="1617"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issuance of the Purchased Preferred Stock credited to book-entry accounts maintained by the transfer agent of the Company, bearing a restrictive notation meeting the requirements of the Securities Act, free and clear of any Liens, other than transfer restrictions under this Agreement and applicable federal and state securities Laws and those created by the Purchasers;</w:t>
      </w:r>
    </w:p>
    <w:p>
      <w:pPr>
        <w:spacing w:after="0" w:line="68" w:lineRule="exact"/>
        <w:rPr>
          <w:rFonts w:ascii="Times New Roman" w:cs="Times New Roman" w:eastAsia="Times New Roman" w:hAnsi="Times New Roman"/>
          <w:sz w:val="18"/>
          <w:szCs w:val="18"/>
          <w:color w:val="auto"/>
        </w:rPr>
      </w:pPr>
    </w:p>
    <w:p>
      <w:pPr>
        <w:ind w:left="1580" w:hanging="263"/>
        <w:spacing w:after="0"/>
        <w:tabs>
          <w:tab w:leader="none" w:pos="15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on behalf of the Company, dated the Closing Date, certifying as to and attaching</w:t>
      </w:r>
    </w:p>
    <w:p>
      <w:pPr>
        <w:spacing w:after="0" w:line="27" w:lineRule="exact"/>
        <w:rPr>
          <w:rFonts w:ascii="Times New Roman" w:cs="Times New Roman" w:eastAsia="Times New Roman" w:hAnsi="Times New Roman"/>
          <w:sz w:val="18"/>
          <w:szCs w:val="18"/>
          <w:color w:val="auto"/>
        </w:rPr>
      </w:pPr>
    </w:p>
    <w:p>
      <w:pPr>
        <w:ind w:left="360" w:right="160" w:firstLine="4"/>
        <w:spacing w:after="0" w:line="255"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(B) the bylaws of the Company and (C) board resolutions authorizing the execution and delivery of the Transaction Documents and the consummation of the transactions contemplated thereby, including the issuance of the Purchased Securities;</w:t>
      </w:r>
    </w:p>
    <w:p>
      <w:pPr>
        <w:spacing w:after="0" w:line="78" w:lineRule="exact"/>
        <w:rPr>
          <w:rFonts w:ascii="Times New Roman" w:cs="Times New Roman" w:eastAsia="Times New Roman" w:hAnsi="Times New Roman"/>
          <w:sz w:val="18"/>
          <w:szCs w:val="18"/>
          <w:color w:val="auto"/>
        </w:rPr>
      </w:pPr>
    </w:p>
    <w:p>
      <w:pPr>
        <w:ind w:left="360" w:firstLine="957"/>
        <w:spacing w:after="0" w:line="282" w:lineRule="auto"/>
        <w:tabs>
          <w:tab w:leader="none" w:pos="161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State of Delaware dated as of a recent date, to the effect that the Company is in good standing in its jurisdiction of formation;</w:t>
      </w:r>
    </w:p>
    <w:p>
      <w:pPr>
        <w:spacing w:after="0" w:line="53" w:lineRule="exact"/>
        <w:rPr>
          <w:rFonts w:ascii="Times New Roman" w:cs="Times New Roman" w:eastAsia="Times New Roman" w:hAnsi="Times New Roman"/>
          <w:sz w:val="18"/>
          <w:szCs w:val="18"/>
          <w:color w:val="auto"/>
        </w:rPr>
      </w:pPr>
    </w:p>
    <w:p>
      <w:pPr>
        <w:ind w:left="360" w:right="220" w:firstLine="957"/>
        <w:spacing w:after="0" w:line="282" w:lineRule="auto"/>
        <w:tabs>
          <w:tab w:leader="none" w:pos="166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Chief Financial Officer of the Company, on behalf of the Company, dated the Closing Date, certifying, in their applicable capacities, to the effect that the conditions set forth in Section 2.04(a) and Section 2.04(b) have been satisfied;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80"/>
          </w:cols>
          <w:pgMar w:left="520" w:top="270" w:right="499" w:bottom="1440" w:gutter="0" w:footer="0" w:header="0"/>
        </w:sectPr>
      </w:pPr>
    </w:p>
    <w:bookmarkStart w:id="65" w:name="page66"/>
    <w:bookmarkEnd w:id="65"/>
    <w:p>
      <w:pPr>
        <w:ind w:left="1800" w:hanging="403"/>
        <w:spacing w:after="0"/>
        <w:tabs>
          <w:tab w:leader="none" w:pos="1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cross-receipt executed by the Company and delivered to the Purchasers certifying as to the amounts that it has received from</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w:t>
      </w:r>
    </w:p>
    <w:p>
      <w:pPr>
        <w:spacing w:after="0" w:line="98" w:lineRule="exact"/>
        <w:rPr>
          <w:rFonts w:ascii="Times New Roman" w:cs="Times New Roman" w:eastAsia="Times New Roman" w:hAnsi="Times New Roman"/>
          <w:sz w:val="18"/>
          <w:szCs w:val="18"/>
          <w:color w:val="auto"/>
        </w:rPr>
      </w:pPr>
    </w:p>
    <w:p>
      <w:pPr>
        <w:ind w:left="440" w:right="180" w:firstLine="957"/>
        <w:spacing w:after="0" w:line="282" w:lineRule="auto"/>
        <w:tabs>
          <w:tab w:leader="none" w:pos="16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Simpson Thacher &amp; Bartlett LLP, counsel to the Company, that includes paragraphs substantially in the form of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subject to customary assumptions, limitations and qualifications; and</w:t>
      </w:r>
    </w:p>
    <w:p>
      <w:pPr>
        <w:spacing w:after="0" w:line="53" w:lineRule="exact"/>
        <w:rPr>
          <w:rFonts w:ascii="Times New Roman" w:cs="Times New Roman" w:eastAsia="Times New Roman" w:hAnsi="Times New Roman"/>
          <w:sz w:val="18"/>
          <w:szCs w:val="18"/>
          <w:color w:val="auto"/>
        </w:rPr>
      </w:pPr>
    </w:p>
    <w:p>
      <w:pPr>
        <w:ind w:left="440" w:right="140" w:firstLine="957"/>
        <w:spacing w:after="0" w:line="282" w:lineRule="auto"/>
        <w:tabs>
          <w:tab w:leader="none" w:pos="164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relating to the transactions contemplated by this Agreement as the Purchasers or their respective counsel may reasonably request.</w:t>
      </w:r>
    </w:p>
    <w:p>
      <w:pPr>
        <w:spacing w:after="0" w:line="53"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of Each Purchaser</w:t>
      </w:r>
      <w:r>
        <w:rPr>
          <w:rFonts w:ascii="Times New Roman" w:cs="Times New Roman" w:eastAsia="Times New Roman" w:hAnsi="Times New Roman"/>
          <w:sz w:val="18"/>
          <w:szCs w:val="18"/>
          <w:color w:val="auto"/>
        </w:rPr>
        <w:t>. At the Closing, each Purchaser shall deliver or cause to be delivered to the Company:</w:t>
      </w:r>
    </w:p>
    <w:p>
      <w:pPr>
        <w:spacing w:after="0" w:line="117" w:lineRule="exact"/>
        <w:rPr>
          <w:rFonts w:ascii="Times New Roman" w:cs="Times New Roman" w:eastAsia="Times New Roman" w:hAnsi="Times New Roman"/>
          <w:sz w:val="18"/>
          <w:szCs w:val="18"/>
          <w:color w:val="auto"/>
        </w:rPr>
      </w:pPr>
    </w:p>
    <w:p>
      <w:pPr>
        <w:ind w:left="1620" w:hanging="223"/>
        <w:spacing w:after="0"/>
        <w:tabs>
          <w:tab w:leader="none" w:pos="16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the Registration Rights Agreement, which shall have been duly executed by such Purchaser;</w:t>
      </w:r>
    </w:p>
    <w:p>
      <w:pPr>
        <w:spacing w:after="0" w:line="117" w:lineRule="exact"/>
        <w:rPr>
          <w:rFonts w:ascii="Times New Roman" w:cs="Times New Roman" w:eastAsia="Times New Roman" w:hAnsi="Times New Roman"/>
          <w:sz w:val="18"/>
          <w:szCs w:val="18"/>
          <w:color w:val="auto"/>
        </w:rPr>
      </w:pPr>
    </w:p>
    <w:p>
      <w:pPr>
        <w:ind w:left="440" w:right="140" w:firstLine="957"/>
        <w:spacing w:after="0" w:line="282" w:lineRule="auto"/>
        <w:tabs>
          <w:tab w:leader="none" w:pos="1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cross-receipt executed by such Purchaser and delivered to the Company certifying that it has received from the Company the number of Purchased Securities to be received by such Purchaser in connection with the Closing;</w:t>
      </w:r>
    </w:p>
    <w:p>
      <w:pPr>
        <w:spacing w:after="0" w:line="53" w:lineRule="exact"/>
        <w:rPr>
          <w:rFonts w:ascii="Times New Roman" w:cs="Times New Roman" w:eastAsia="Times New Roman" w:hAnsi="Times New Roman"/>
          <w:sz w:val="18"/>
          <w:szCs w:val="18"/>
          <w:color w:val="auto"/>
        </w:rPr>
      </w:pPr>
    </w:p>
    <w:p>
      <w:pPr>
        <w:ind w:left="440" w:right="240" w:firstLine="957"/>
        <w:spacing w:after="0" w:line="282" w:lineRule="auto"/>
        <w:tabs>
          <w:tab w:leader="none" w:pos="17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such Purchaser’s Allocated Purchase Price payable by wire transfer of immediately available funds to an account designated in advance of the Closing Date by the Company;</w:t>
      </w:r>
    </w:p>
    <w:p>
      <w:pPr>
        <w:spacing w:after="0" w:line="53" w:lineRule="exact"/>
        <w:rPr>
          <w:rFonts w:ascii="Times New Roman" w:cs="Times New Roman" w:eastAsia="Times New Roman" w:hAnsi="Times New Roman"/>
          <w:sz w:val="18"/>
          <w:szCs w:val="18"/>
          <w:color w:val="auto"/>
        </w:rPr>
      </w:pPr>
    </w:p>
    <w:p>
      <w:pPr>
        <w:ind w:left="1700" w:hanging="303"/>
        <w:spacing w:after="0"/>
        <w:tabs>
          <w:tab w:leader="none" w:pos="17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executed Internal Revenue Service Form W-9 from such Purchaser;</w:t>
      </w:r>
    </w:p>
    <w:p>
      <w:pPr>
        <w:spacing w:after="0" w:line="117" w:lineRule="exact"/>
        <w:rPr>
          <w:rFonts w:ascii="Times New Roman" w:cs="Times New Roman" w:eastAsia="Times New Roman" w:hAnsi="Times New Roman"/>
          <w:sz w:val="18"/>
          <w:szCs w:val="18"/>
          <w:color w:val="auto"/>
        </w:rPr>
      </w:pPr>
    </w:p>
    <w:p>
      <w:pPr>
        <w:ind w:left="440" w:right="200" w:firstLine="957"/>
        <w:spacing w:after="0" w:line="282" w:lineRule="auto"/>
        <w:tabs>
          <w:tab w:leader="none" w:pos="164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duly appointed officer of such Purchaser, on behalf of such Purchaser, dated the Closing Date, certifying, in their applicable capacities, to the effect that the conditions set forth in Section 2.05(a) and Section 2.05(b) have been satisfied; and</w:t>
      </w:r>
    </w:p>
    <w:p>
      <w:pPr>
        <w:spacing w:after="0" w:line="53" w:lineRule="exact"/>
        <w:rPr>
          <w:rFonts w:ascii="Times New Roman" w:cs="Times New Roman" w:eastAsia="Times New Roman" w:hAnsi="Times New Roman"/>
          <w:sz w:val="18"/>
          <w:szCs w:val="18"/>
          <w:color w:val="auto"/>
        </w:rPr>
      </w:pPr>
    </w:p>
    <w:p>
      <w:pPr>
        <w:ind w:left="440" w:right="760" w:firstLine="957"/>
        <w:spacing w:after="0" w:line="282" w:lineRule="auto"/>
        <w:tabs>
          <w:tab w:leader="none" w:pos="169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relating to the transactions contemplated by this Agreement as the Company or its counsel may reasonably request.</w:t>
      </w:r>
    </w:p>
    <w:p>
      <w:pPr>
        <w:spacing w:after="0" w:line="158" w:lineRule="exact"/>
        <w:rPr>
          <w:sz w:val="20"/>
          <w:szCs w:val="20"/>
          <w:color w:val="auto"/>
        </w:rPr>
      </w:pPr>
    </w:p>
    <w:p>
      <w:pPr>
        <w:ind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2.07 </w:t>
      </w:r>
      <w:r>
        <w:rPr>
          <w:rFonts w:ascii="Times New Roman" w:cs="Times New Roman" w:eastAsia="Times New Roman" w:hAnsi="Times New Roman"/>
          <w:sz w:val="18"/>
          <w:szCs w:val="18"/>
          <w:b w:val="1"/>
          <w:bCs w:val="1"/>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are several and not joint with the obligations of any other Purchaser, and no Purchaser shall be responsible in any way for the performance of the obligations of any other Purchaser under any Transaction Document. The failure of any Purchaser to perform, or waiver by the Company of such performance, under any Transaction Document shall not excuse performance by any other Purchaser or the Company, and the waiver by any Purchaser of performance of the Company under any Transaction Document shall not excuse performance by the Company with respect to any other Purchaser. Nothing contained herein or in any other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Further, nothing herein (including the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66" w:name="page67"/>
    <w:bookmarkEnd w:id="66"/>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Section 5.05 and Section 5.06) shall be deemed to form a group (as defined in Rule 13d-5 of the Exchange Act) as between the Corre related purchasers on the one hand and the Legion related purchasers on the other hand. Each Purchaser shall be entitled to independently protect and enforce its rights, including the rights arising out of this Agreement or out of the other Transaction Documents, and it shall not be necessary for any other Purchaser to be joined as an additional party in any proceeding for such purpose.</w:t>
      </w:r>
    </w:p>
    <w:p>
      <w:pPr>
        <w:spacing w:after="0" w:line="176" w:lineRule="exact"/>
        <w:rPr>
          <w:sz w:val="20"/>
          <w:szCs w:val="20"/>
          <w:color w:val="auto"/>
        </w:rPr>
      </w:pPr>
    </w:p>
    <w:p>
      <w:pPr>
        <w:ind w:right="14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2.08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time to time after the date hereof, without further consideration, the Company shall use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reasonable efforts to take, or cause to be taken, all actions necessary or appropriate to consummate the transactions contemplated by this Agreement.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RELATED TO THE COMPANY</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Company represents and warrants to and covenants with the Purchasers as of the date hereof and the Closing Date as follows:</w:t>
      </w:r>
    </w:p>
    <w:p>
      <w:pPr>
        <w:spacing w:after="0" w:line="113" w:lineRule="exact"/>
        <w:rPr>
          <w:sz w:val="20"/>
          <w:szCs w:val="20"/>
          <w:color w:val="auto"/>
        </w:rPr>
      </w:pPr>
    </w:p>
    <w:p>
      <w:pPr>
        <w:ind w:right="60" w:firstLine="99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Existence, Qualification and Power</w:t>
      </w:r>
      <w:r>
        <w:rPr>
          <w:rFonts w:ascii="Times New Roman" w:cs="Times New Roman" w:eastAsia="Times New Roman" w:hAnsi="Times New Roman"/>
          <w:sz w:val="18"/>
          <w:szCs w:val="18"/>
          <w:color w:val="auto"/>
        </w:rPr>
        <w:t>. Each of the Company Entities (a) is duly organized or formed, validly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in good standing under the Laws of the jurisdiction of its incorporation or organization, (b)(1) has all requisite power and authority and</w:t>
      </w:r>
    </w:p>
    <w:p>
      <w:pPr>
        <w:spacing w:after="0" w:line="1" w:lineRule="exact"/>
        <w:rPr>
          <w:sz w:val="20"/>
          <w:szCs w:val="20"/>
          <w:color w:val="auto"/>
        </w:rPr>
      </w:pPr>
    </w:p>
    <w:p>
      <w:pPr>
        <w:ind w:right="100" w:firstLine="4"/>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requisite governmental licenses, authorizations, consents and approvals to in the case of each of clause (b)(1) and (2), (i) own or lease its assets and carry on its business and (ii) execute, deliver and perform its obligations under this Agreement to which it is a party, and (c) is duly qualified and is licensed and, as applicable, in good standing under the Laws of each jurisdiction where its ownership, lease or operation of properties or the conduct of its business requires such qualification or license; except in the case of clause (b)(2) and clause (c), to the extent that failure to do so could not reasonably be expected to have a Material Adverse Effect.</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Capitalization and Valid Issuance of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96"/>
        <w:spacing w:after="0" w:line="254" w:lineRule="auto"/>
        <w:tabs>
          <w:tab w:leader="none" w:pos="123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2, 2019, (i) the authorized capital stock of the Company is 95,000,000 shares, of which 90,000,000 shares, par value $0.01 per share, are designated as common shares and of which 5,000,000 shares, par value $0.01 per share, are designated as preferred shares (of which only 200,000 shares have been designated as Series A Junior Participating Preferred Shares and no other preferred shares have been designated or issued); (ii) the number of shares of capital stock issued and outstanding is 42,314,888 shares of voting common stock; (iii) no shares of Series A Junior Participating Preferred Shares are outstanding; (iv) the number of shares of capital stock issuable pursuant to the Company’s stock plans (including the 2019 Omnibus Incentive Plan) is 3,594,926; and (v) the number of shares of capital stock issuable and reserved for issuance pursuant to securities exercisable for, or convertible into or exchangeable for any shares of capital stock of the Company is 1,084,380. All of the issued and outstanding shares of the Company’s capital stock have been duly authorized and validly issued and are fully paid and nonassessable and were issued in compliance with applicable state and federal securities laws and any rights of third parties or in violation of pre-emptive or similar rights.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67" w:name="page68"/>
    <w:bookmarkEnd w:id="67"/>
    <w:p>
      <w:pPr>
        <w:ind w:right="20" w:firstLine="996"/>
        <w:spacing w:after="0" w:line="266" w:lineRule="auto"/>
        <w:tabs>
          <w:tab w:leader="none" w:pos="124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Purchased Securities have been, or prior to the Closing will be, duly and validly authorized and, when issued and paid for pursuant to this Agreement, will be validly issued, fully paid and nonassessable, and shall be free and clear of all Liens and restrictions on transfer, except for restrictions on transfer set forth in the Transaction Documents or imposed by applicable securities laws.</w:t>
      </w:r>
    </w:p>
    <w:p>
      <w:pPr>
        <w:spacing w:after="0" w:line="68" w:lineRule="exact"/>
        <w:rPr>
          <w:rFonts w:ascii="Times New Roman" w:cs="Times New Roman" w:eastAsia="Times New Roman" w:hAnsi="Times New Roman"/>
          <w:sz w:val="18"/>
          <w:szCs w:val="18"/>
          <w:color w:val="auto"/>
        </w:rPr>
      </w:pPr>
    </w:p>
    <w:p>
      <w:pPr>
        <w:ind w:right="20" w:firstLine="996"/>
        <w:spacing w:after="0" w:line="253" w:lineRule="auto"/>
        <w:tabs>
          <w:tab w:leader="none" w:pos="123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entitled to pre-emptive or similar statutory or contractual rights with respect to any securities of the Company Entities. Other than as contemplated by this Agreement, there are no outstanding warrants, options, convertible securities or other rights, agreements or arrangements of any character under which any Company Entity is or may be obligated to issue any equity securities of any kind, other than options granted under the Company’s stock plans (including the 2019 Omnibus Incentive Plan) and prior stock plans. Other than as contemplated by this Agreement, there are no voting agreements, buy-sell agreements, option or right of first purchase agreements or other agreements of any kind among the Company and any of the securityholders of the Company relating to the securities of the Company held by them. Other than the Registration Rights Agreement, no Person has the right to require the Company to register any securities of the Company under the Securities Act, whether on a demand basis or in connection with the registration of securities of the Company for its own account or for the account of any other Person. The issuance and sale of the Purchased Securities hereunder will not obligate the Company to issue Common Stock or other securities to any other Person (other than the Purchasers) and will not result in the adjustment of the exercise, conversion, exchange or reset price of any outstanding security. The Company does not have outstanding stockholder purchase rights or “poison pill” or any similar arrangement in effect giving any Person the right to purchase any equity interest in the Company upon the occurrence of certain events.</w:t>
      </w:r>
    </w:p>
    <w:p>
      <w:pPr>
        <w:spacing w:after="0" w:line="78" w:lineRule="exact"/>
        <w:rPr>
          <w:rFonts w:ascii="Times New Roman" w:cs="Times New Roman" w:eastAsia="Times New Roman" w:hAnsi="Times New Roman"/>
          <w:sz w:val="18"/>
          <w:szCs w:val="18"/>
          <w:color w:val="auto"/>
        </w:rPr>
      </w:pPr>
    </w:p>
    <w:p>
      <w:pPr>
        <w:ind w:right="100" w:firstLine="996"/>
        <w:spacing w:after="0" w:line="269" w:lineRule="auto"/>
        <w:tabs>
          <w:tab w:leader="none" w:pos="124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of Common Stock issuable upon conversion or redemption of the Series B Convertible Preferred Stock (the “</w:t>
      </w:r>
      <w:r>
        <w:rPr>
          <w:rFonts w:ascii="Times New Roman" w:cs="Times New Roman" w:eastAsia="Times New Roman" w:hAnsi="Times New Roman"/>
          <w:sz w:val="17"/>
          <w:szCs w:val="17"/>
          <w:b w:val="1"/>
          <w:bCs w:val="1"/>
          <w:u w:val="single" w:color="auto"/>
          <w:color w:val="auto"/>
        </w:rPr>
        <w:t>Underlying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Preferred Shares</w:t>
      </w:r>
      <w:r>
        <w:rPr>
          <w:rFonts w:ascii="Times New Roman" w:cs="Times New Roman" w:eastAsia="Times New Roman" w:hAnsi="Times New Roman"/>
          <w:sz w:val="17"/>
          <w:szCs w:val="17"/>
          <w:color w:val="auto"/>
        </w:rPr>
        <w:t>”) and upon exercise of the Warrants (together with the Underlying Preferred Shares, the “</w:t>
      </w:r>
      <w:r>
        <w:rPr>
          <w:rFonts w:ascii="Times New Roman" w:cs="Times New Roman" w:eastAsia="Times New Roman" w:hAnsi="Times New Roman"/>
          <w:sz w:val="17"/>
          <w:szCs w:val="17"/>
          <w:b w:val="1"/>
          <w:bCs w:val="1"/>
          <w:u w:val="single" w:color="auto"/>
          <w:color w:val="auto"/>
        </w:rPr>
        <w:t>Underlying Shares</w:t>
      </w:r>
      <w:r>
        <w:rPr>
          <w:rFonts w:ascii="Times New Roman" w:cs="Times New Roman" w:eastAsia="Times New Roman" w:hAnsi="Times New Roman"/>
          <w:sz w:val="17"/>
          <w:szCs w:val="17"/>
          <w:color w:val="auto"/>
        </w:rPr>
        <w:t>”) (without regard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limitations on beneficial ownership) have been duly authorized and reserved pursuant to the Company’s Restated Certificate of Incorporation, the Certificate of Designation (with respect to the Series B Convertible Preferred Stock) and the Warrants and, upon issuance and delivery by the Company to such Purchaser in accordance with this Agreement and the terms of the Purchased Securities and upon obtaining Stockholder Approval, will be duly authorized, validly issued, fully paid and non-assessable and will be free of any preemptive rights or any Liens and restrictions on transfer, other than</w:t>
      </w:r>
    </w:p>
    <w:p>
      <w:pPr>
        <w:spacing w:after="0" w:line="4" w:lineRule="exact"/>
        <w:rPr>
          <w:rFonts w:ascii="Times New Roman" w:cs="Times New Roman" w:eastAsia="Times New Roman" w:hAnsi="Times New Roman"/>
          <w:sz w:val="17"/>
          <w:szCs w:val="17"/>
          <w:color w:val="auto"/>
        </w:rPr>
      </w:pPr>
    </w:p>
    <w:p>
      <w:pPr>
        <w:ind w:firstLine="4"/>
        <w:spacing w:after="0" w:line="261"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under the Certificate of Designation (with respect to the Series B Convertible Preferred Stock), the Warrants or this Agreement and under applicable state and federal securities laws and (ii) such Liens as are created by such Purchaser or its Affiliates.</w:t>
      </w:r>
    </w:p>
    <w:p>
      <w:pPr>
        <w:spacing w:after="0" w:line="176" w:lineRule="exact"/>
        <w:rPr>
          <w:sz w:val="20"/>
          <w:szCs w:val="20"/>
          <w:color w:val="auto"/>
        </w:rPr>
      </w:pPr>
    </w:p>
    <w:p>
      <w:pPr>
        <w:ind w:right="20" w:firstLine="99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Except as disclosed in the Company’s SEC Documents (excluding any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risk factors or “forward-looking statements” sections of such reports or similar statements that are similarly non-specific and are predictive or forward-looking in nature), all of the outstanding shares of capital stock or other equity interests of each Material Subsidiary owned directly or indirectly by the Company (a) have been duly authorized and validly issued and are fully paid and nonassessable, and (b) are wholly-owned, directly or indirectly, by the Company, free and clear of all Liens, except for (i) Liens under the Company’s existing debt arrangements and for restrictions on transferability in the Organizational Documents of such Material Subsidiary and (ii) as would not, individually or in the aggregate, reasonably be expected to have a Material Adverse Effect.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68" w:name="page69"/>
    <w:bookmarkEnd w:id="68"/>
    <w:p>
      <w:pPr>
        <w:ind w:right="80" w:firstLine="99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b w:val="1"/>
          <w:bCs w:val="1"/>
          <w:u w:val="single" w:color="auto"/>
          <w:color w:val="auto"/>
        </w:rPr>
        <w:t>Company SEC Documents</w:t>
      </w:r>
      <w:r>
        <w:rPr>
          <w:rFonts w:ascii="Times New Roman" w:cs="Times New Roman" w:eastAsia="Times New Roman" w:hAnsi="Times New Roman"/>
          <w:sz w:val="18"/>
          <w:szCs w:val="18"/>
          <w:color w:val="auto"/>
        </w:rPr>
        <w:t>. Since October 31, 2018, the Company’s forms, registration statements, reports, schedules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required to be filed by it under the Exchange Act have been filed with the Commission on a timely basis. The Company SEC Documents, at the time filed (or in the case of registration statements, solely on the dates of effectiveness), except to the extent corrected by a subsequent Company SEC Document, (a) did not contain any untrue statement of a material fact or omit to state a material fact required to be stated therein or necessary in order to make the statements therein, in light of the circumstances under which they were made in the case of any such documents other than a registration statement, not misleading and (b) complied as to form in all material respects with the applicable requirements of the Exchange Act and the Securities Act, as the case may be.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996"/>
        <w:spacing w:after="0" w:line="272" w:lineRule="auto"/>
        <w:tabs>
          <w:tab w:leader="none" w:pos="123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Company’s SEC Documents (excluding any disclosures set forth in the risk factors or “forward-looking statements” sections of such reports or similar statements that are similarly non-specific and are predictive or forward-looking in nature), the historical financial statements (including the related notes and supporting schedule) contained or incorporated by reference in the Company SEC Documents</w:t>
      </w:r>
    </w:p>
    <w:p>
      <w:pPr>
        <w:spacing w:after="0" w:line="1" w:lineRule="exact"/>
        <w:rPr>
          <w:rFonts w:ascii="Times New Roman" w:cs="Times New Roman" w:eastAsia="Times New Roman" w:hAnsi="Times New Roman"/>
          <w:sz w:val="17"/>
          <w:szCs w:val="17"/>
          <w:color w:val="auto"/>
        </w:rPr>
      </w:pPr>
    </w:p>
    <w:p>
      <w:pPr>
        <w:ind w:firstLine="4"/>
        <w:spacing w:after="0" w:line="252"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as to form in all material respects with the applicable accounting requirements under the Securities Act and the Exchange Act (except that certain supporting schedules are omitted), (ii) fairly present in all material respects the consolidated financial condition of the Company and its Subsidiaries as of the date thereof and the consolidated results of operations, cash flow and stockholder equity for the respective periods (subject, in the case of unaudited quarterly financial statements, to normal year-end adjustments) and (iii) have been prepared in all material respects in accordance with GAAP (except, in the case of unaudited quarterly statements, as permitted by Form 10-Q of the Commission or other rules and regulations of the Commission) consistently applied throughout the periods involved, (except (y) as may be indicated in the notes thereto or (z) as permitted by Regulation S-X).</w:t>
      </w:r>
    </w:p>
    <w:p>
      <w:pPr>
        <w:spacing w:after="0" w:line="80" w:lineRule="exact"/>
        <w:rPr>
          <w:rFonts w:ascii="Times New Roman" w:cs="Times New Roman" w:eastAsia="Times New Roman" w:hAnsi="Times New Roman"/>
          <w:sz w:val="18"/>
          <w:szCs w:val="18"/>
          <w:color w:val="auto"/>
        </w:rPr>
      </w:pPr>
    </w:p>
    <w:p>
      <w:pPr>
        <w:ind w:right="60" w:firstLine="996"/>
        <w:spacing w:after="0" w:line="255" w:lineRule="auto"/>
        <w:tabs>
          <w:tab w:leader="none" w:pos="124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liabilities of any nature (whether accrued, absolute, contingent or otherwise) that would be required under GAAP, as in effect on the date hereof, to be reflected on a consolidated balance sheet of the Company (including the notes thereto) except (i) liabilities reflected or reserved against in the balance sheet (or notes thereto) of the Company and its Subsidiaries as of the date of the most recent balance sheet of the Company audited by the Company’s auditors prior to the date hereof (the “</w:t>
      </w:r>
      <w:r>
        <w:rPr>
          <w:rFonts w:ascii="Times New Roman" w:cs="Times New Roman" w:eastAsia="Times New Roman" w:hAnsi="Times New Roman"/>
          <w:sz w:val="18"/>
          <w:szCs w:val="18"/>
          <w:b w:val="1"/>
          <w:bCs w:val="1"/>
          <w:u w:val="single" w:color="auto"/>
          <w:color w:val="auto"/>
        </w:rPr>
        <w:t>Balance Sheet Date</w:t>
      </w:r>
      <w:r>
        <w:rPr>
          <w:rFonts w:ascii="Times New Roman" w:cs="Times New Roman" w:eastAsia="Times New Roman" w:hAnsi="Times New Roman"/>
          <w:sz w:val="18"/>
          <w:szCs w:val="18"/>
          <w:color w:val="auto"/>
        </w:rPr>
        <w:t>”) including in the Company SEC Documents, (ii) (A) trade payables and accrued expenses and (B) liabilities not required to be reflected in the Company’s financial statements pursuant to GAAP or disclosed in filings made with the Commission, in each case, incurred after the Balance Sheet Date, (iii) as contemplated by this Agreement or otherwise incurred in connection with the transactions contemplated hereby, (iv) that have been discharged or paid prior to the date of this Agreement or (v) as would not, individually or in the aggregate, reasonably be expected to have a Material Adverse Effect.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69" w:name="page70"/>
    <w:bookmarkEnd w:id="69"/>
    <w:p>
      <w:pPr>
        <w:ind w:firstLine="992"/>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Times New Roman" w:cs="Times New Roman" w:eastAsia="Times New Roman" w:hAnsi="Times New Roman"/>
          <w:sz w:val="18"/>
          <w:szCs w:val="18"/>
          <w:b w:val="1"/>
          <w:bCs w:val="1"/>
          <w:u w:val="single" w:color="auto"/>
          <w:color w:val="auto"/>
        </w:rPr>
        <w:t>Internal Controls</w:t>
      </w:r>
      <w:r>
        <w:rPr>
          <w:rFonts w:ascii="Times New Roman" w:cs="Times New Roman" w:eastAsia="Times New Roman" w:hAnsi="Times New Roman"/>
          <w:sz w:val="18"/>
          <w:szCs w:val="18"/>
          <w:color w:val="auto"/>
        </w:rPr>
        <w:t>. Except as disclosed in the Company’s SEC Documents (excluding any disclosures set forth in the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or “forward-looking statements” sections of such reports or similar statements that are similarly non-specific and are predictive or forward-looking in nature), the Company Entities, taken as a whole, maintain a system of internal accounting controls sufficient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 Except as disclosed in the Company’s SEC Documents (excluding any disclosures set forth in the risk factors or “forward-looking statements” sections of such reports or similar statements that are similarly non-specific and are predictive or forward-looking in nature), the Company is not aware of (i) any “material weakness” in the Company’s internal control over reporting, whether or not subsequently remediated or (ii) any fraud, whether or not material, that involves management or other employees who have a significant role in the Company’s internal control over financial reporting.</w:t>
      </w:r>
    </w:p>
    <w:p>
      <w:pPr>
        <w:spacing w:after="0" w:line="183" w:lineRule="exact"/>
        <w:rPr>
          <w:sz w:val="20"/>
          <w:szCs w:val="20"/>
          <w:color w:val="auto"/>
        </w:rPr>
      </w:pPr>
    </w:p>
    <w:p>
      <w:pPr>
        <w:ind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3.07 </w:t>
      </w:r>
      <w:r>
        <w:rPr>
          <w:rFonts w:ascii="Times New Roman" w:cs="Times New Roman" w:eastAsia="Times New Roman" w:hAnsi="Times New Roman"/>
          <w:sz w:val="18"/>
          <w:szCs w:val="18"/>
          <w:b w:val="1"/>
          <w:bCs w:val="1"/>
          <w:u w:val="single" w:color="auto"/>
          <w:color w:val="auto"/>
        </w:rPr>
        <w:t>Disclosure Controls and Procedures</w:t>
      </w:r>
      <w:r>
        <w:rPr>
          <w:rFonts w:ascii="Times New Roman" w:cs="Times New Roman" w:eastAsia="Times New Roman" w:hAnsi="Times New Roman"/>
          <w:sz w:val="18"/>
          <w:szCs w:val="18"/>
          <w:color w:val="auto"/>
        </w:rPr>
        <w:t>. Except as disclosed in the Company’s SEC Documents (excluding any disclosures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the risk factors or “forward-looking statements” sections of such reports or similar statements that are similarly non-specific and are predictive or forward-looking in nature), (a) to the extent required by Rule 13a-15 under the Exchange Act, each of the Company Entities has established and maintains disclosure controls and procedures (to the extent required by and as such term is defined in Rule 13a-15(e) under the Exchange Act), (b) such disclosure controls and procedures are designed to provide reasonable assurance that that the information required to be disclosed by the Company in the reports to be filed or submitted under the Exchange Act is accumulated and communicated to management of the Company, as appropriate, to allow timely decisions regarding required disclosure to be made and (c) to the extent required by Rule 13a-15 under the Exchange Act, such disclosure controls and procedures are effective in all material respects to perform the functions for which they were established.</w:t>
      </w:r>
    </w:p>
    <w:p>
      <w:pPr>
        <w:spacing w:after="0" w:line="185" w:lineRule="exact"/>
        <w:rPr>
          <w:sz w:val="20"/>
          <w:szCs w:val="20"/>
          <w:color w:val="auto"/>
        </w:rPr>
      </w:pPr>
    </w:p>
    <w:p>
      <w:pPr>
        <w:ind w:right="20" w:firstLine="99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3.08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Since December 31, 2018, except as disclosed in the Company’s SEC Documents (excluding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disclosures set forth in the risk factors or “forward-looking statements” sections of such reports or similar statements that are similarly non-specific and are predictive or forward-looking in nature) and except for the execution and performance of this Agreement (i) there has been no event or circumstance, either individually or in the aggregate, that has had or that could reasonably be expected to result in a Material Adverse Effect, (ii) the Company has not declared or made any dividend or distribution of cash or other property to its stockholders or purchased, redeemed or made any agreements to purchase or redeem any shares of its capital stock and (iii)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Purchased Securities contemplated by this Agreement, no event, liability or development has occurred or exists with respect to any Company Entity or their respective business, properties, operations or financial condition, that would be required to be disclosed by the Company under applicable federal securities laws at the time this representation is made that has not been publicly disclosed.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66" w:right="439" w:bottom="1440" w:gutter="0" w:footer="0" w:header="0"/>
        </w:sectPr>
      </w:pPr>
    </w:p>
    <w:bookmarkStart w:id="70" w:name="page71"/>
    <w:bookmarkEnd w:id="70"/>
    <w:p>
      <w:pPr>
        <w:ind w:right="100" w:firstLine="992"/>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3.09 </w:t>
      </w:r>
      <w:r>
        <w:rPr>
          <w:rFonts w:ascii="Times New Roman" w:cs="Times New Roman" w:eastAsia="Times New Roman" w:hAnsi="Times New Roman"/>
          <w:sz w:val="18"/>
          <w:szCs w:val="18"/>
          <w:b w:val="1"/>
          <w:bCs w:val="1"/>
          <w:u w:val="single" w:color="auto"/>
          <w:color w:val="auto"/>
        </w:rPr>
        <w:t>No Registration Required</w:t>
      </w:r>
      <w:r>
        <w:rPr>
          <w:rFonts w:ascii="Times New Roman" w:cs="Times New Roman" w:eastAsia="Times New Roman" w:hAnsi="Times New Roman"/>
          <w:sz w:val="18"/>
          <w:szCs w:val="18"/>
          <w:color w:val="auto"/>
        </w:rPr>
        <w:t>. Assuming the accuracy of the representations and warranties of the applicable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Article IV, the issuance and sale of the Purchased Securities to such Purchaser pursuant to this Agreement is exempt from registration requirements of the Securities Act, and neither the Company nor, to the Company’s knowledge, any Person acting on its behalf, has taken nor will take any action hereafter that would cause the loss of such exemption.</w:t>
      </w:r>
    </w:p>
    <w:p>
      <w:pPr>
        <w:spacing w:after="0" w:line="177" w:lineRule="exact"/>
        <w:rPr>
          <w:sz w:val="20"/>
          <w:szCs w:val="20"/>
          <w:color w:val="auto"/>
        </w:rPr>
      </w:pPr>
    </w:p>
    <w:p>
      <w:pPr>
        <w:ind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No Restrictions or Registration Rights</w:t>
      </w:r>
      <w:r>
        <w:rPr>
          <w:rFonts w:ascii="Times New Roman" w:cs="Times New Roman" w:eastAsia="Times New Roman" w:hAnsi="Times New Roman"/>
          <w:sz w:val="18"/>
          <w:szCs w:val="18"/>
          <w:color w:val="auto"/>
        </w:rPr>
        <w:t>. There are no restrictions upon the voting or transfer of, any Common Stock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Company’s Organizational Documents or the DGCL. Neither the offering nor sale of the Purchased Securities as contemplated by this Agreement gives rise to any rights for or relating to the registration of any Purchased Securities (other than pursuant to the Registration Rights Agreement) or other securities of the Company. The Company has not granted registration rights to any Person other than the Purchasers that would provide such Person priority over the Purchasers’ rights with respect to any piggyback registration.</w:t>
      </w:r>
    </w:p>
    <w:p>
      <w:pPr>
        <w:spacing w:after="0" w:line="180" w:lineRule="exact"/>
        <w:rPr>
          <w:sz w:val="20"/>
          <w:szCs w:val="20"/>
          <w:color w:val="auto"/>
        </w:rPr>
      </w:pPr>
    </w:p>
    <w:p>
      <w:pPr>
        <w:ind w:right="40"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disclosed in the Company’s SEC Documents (excluding any disclosures set forth in the risk factors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“forward-looking statements” sections of such reports or similar statements that are similarly non-specific and are predictive or forward-looking in nature), (a) there are no actions, suits, proceedings, claims or disputes pending or, to the knowledge of the Company, threatened, at law, in equity, in arbitration or before any Governmental Authority, by or against any of the Company Entities or against any of their properties, or before or by any self-regulatory organization or other non-government regulatory authority, that (i) purport to affect or pertain to this Agreement or any other Transaction Document, or any of the transactions contemplated hereby or thereby, or (ii) either individually or in the aggregate, would reasonably be expected to have a Material Adverse Effect and (b) no labor dispute with the employees of the Company or any Subsidiary exists or, to the Company’s knowledge, is threatened, except as would not have a Material Adverse Effect.</w:t>
      </w:r>
    </w:p>
    <w:p>
      <w:pPr>
        <w:spacing w:after="0" w:line="185"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Compliance with Law</w:t>
      </w:r>
      <w:r>
        <w:rPr>
          <w:rFonts w:ascii="Times New Roman" w:cs="Times New Roman" w:eastAsia="Times New Roman" w:hAnsi="Times New Roman"/>
          <w:sz w:val="18"/>
          <w:szCs w:val="18"/>
          <w:color w:val="auto"/>
        </w:rPr>
        <w:t>. Except as disclosed in the Company’s SEC Documents (excluding any disclosures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factors or “forward-looking statements” sections of such reports or similar statements that are similarly non-specific and are predictive or forward-looking in nature), the Company and each Subsidiary thereof is in compliance in all material respects with the requirements of all Laws, and any rule or regulation of any self-regulatory organization or other non-governmental regulatory authority (including the rules and regulations of NASDAQ),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sectPr>
      </w:pPr>
    </w:p>
    <w:bookmarkStart w:id="71" w:name="page72"/>
    <w:bookmarkEnd w:id="71"/>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3.13 </w:t>
      </w:r>
      <w:r>
        <w:rPr>
          <w:rFonts w:ascii="Times New Roman" w:cs="Times New Roman" w:eastAsia="Times New Roman" w:hAnsi="Times New Roman"/>
          <w:sz w:val="18"/>
          <w:szCs w:val="18"/>
          <w:b w:val="1"/>
          <w:bCs w:val="1"/>
          <w:u w:val="single" w:color="auto"/>
          <w:color w:val="auto"/>
        </w:rPr>
        <w:t>No Existing Defaults; No Conflicts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firstLine="996"/>
        <w:spacing w:after="0" w:line="255" w:lineRule="auto"/>
        <w:tabs>
          <w:tab w:leader="none" w:pos="12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certificate of incorporation or by-laws, limited liability company agreement or similar organizational documents, as applicable, (ii) in violation of any statute or any judgment, order, rule or regulation of any court or governmental agency or body having jurisdiction over the Company or any of its Subsidiaries or any of their respective properties, or (iii) in default (or, with the giving of notice or lapse of time or both, would be in default) under any indenture, mortgage, deed of trust, lease, loan agreement or other agreement or instrument to which the Company or any of its Subsidiaries is a party or by which the Company or any of its Subsidiaries is bound or to which any of the property or assets of the Company or any of its Subsidiaries is subject, except, in the case of clauses (ii) and (iii) above, for any such violation or default that would not, individually or in the aggregate, reasonably be expected to have a Material Adverse Effect;</w:t>
      </w:r>
    </w:p>
    <w:p>
      <w:pPr>
        <w:spacing w:after="0" w:line="81" w:lineRule="exact"/>
        <w:rPr>
          <w:rFonts w:ascii="Times New Roman" w:cs="Times New Roman" w:eastAsia="Times New Roman" w:hAnsi="Times New Roman"/>
          <w:sz w:val="18"/>
          <w:szCs w:val="18"/>
          <w:color w:val="auto"/>
        </w:rPr>
      </w:pPr>
    </w:p>
    <w:p>
      <w:pPr>
        <w:ind w:left="-20" w:right="40" w:firstLine="996"/>
        <w:spacing w:after="0" w:line="254" w:lineRule="auto"/>
        <w:tabs>
          <w:tab w:leader="none" w:pos="12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by the Company of the Purchased Securities, the execution, delivery and performance of the Transaction Documents and the consummation of the transactions contemplated thereby by each Company Entity do not and will not (i) contravene the terms of any of such Company Entity’s Organizational Documents; (ii) conflict with or result in any breach or contravention of, or the creation of any Lien under, or require any payment to be made under (x) any provision of any security issued by such Company Entity or of any agreement, instrument or other undertaking to which such Company Entity is a party or by which it or any of its property is bound or (y) any order, injunction, writ or decree of any Governmental Authority or any arbitral award to which such Company Entity or its property is subject; or (iii) violate any Law or any rule or regulation of any self-regulatory organization or other non-governmental regulatory authority (including, without limitation, the rules and regulations of NASDAQ), except in the case of clauses (ii) and (iii) for such violations which would not reasonably be expected, individually or in the aggregate, to have a Material Adverse Effect.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b w:val="1"/>
          <w:bCs w:val="1"/>
          <w:u w:val="single" w:color="auto"/>
          <w:color w:val="auto"/>
        </w:rPr>
        <w:t>Authority; Enforceability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right="160" w:firstLine="996"/>
        <w:spacing w:after="0" w:line="255" w:lineRule="auto"/>
        <w:tabs>
          <w:tab w:leader="none" w:pos="1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each the Transaction Documents have been duly authorized by all necessary corporate action. The Company has all requisite power and authority to issue, sell and deliver the Purchased Securities, in accordance with and upon the terms and conditions set forth in this Agreement. On or prior to the Closing Date, all action required to be taken by the Company for the authorization, issuance, sale and delivery of the Purchased Securities, the execution and delivery of the Transaction Documents and the consummation of the transactions contemplated thereby shall have been validly taken. Except for the Stockholder Approval, no approval from the holders of outstanding Common Stock is required under the Organizational Documents of the Company or the rules of NASDAQ in connection with the Company’s issuance and sale of the Purchased Securities (or Underlying Shares) to the Purchasers.</w:t>
      </w:r>
    </w:p>
    <w:p>
      <w:pPr>
        <w:spacing w:after="0" w:line="81" w:lineRule="exact"/>
        <w:rPr>
          <w:rFonts w:ascii="Times New Roman" w:cs="Times New Roman" w:eastAsia="Times New Roman" w:hAnsi="Times New Roman"/>
          <w:sz w:val="18"/>
          <w:szCs w:val="18"/>
          <w:color w:val="auto"/>
        </w:rPr>
      </w:pPr>
    </w:p>
    <w:p>
      <w:pPr>
        <w:ind w:left="-20" w:right="40" w:firstLine="996"/>
        <w:spacing w:after="0" w:line="258" w:lineRule="auto"/>
        <w:tabs>
          <w:tab w:leader="none" w:pos="12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Transaction Documents has been or, when delivered hereunder, will have been, duly executed and delivered by the Company. Each of the Transaction Documents constitutes, or will constitute, a legal, valid and binding obligation of the Company, enforceable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the enforcement of creditors’ rights and remedies generally and by general principles of equity (regardless of whether such principles are considered in a proceeding in equity or at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66" w:right="459" w:bottom="1440" w:gutter="0" w:footer="0" w:header="0"/>
        </w:sectPr>
      </w:pPr>
    </w:p>
    <w:bookmarkStart w:id="72" w:name="page73"/>
    <w:bookmarkEnd w:id="72"/>
    <w:p>
      <w:pPr>
        <w:ind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3.15 </w:t>
      </w:r>
      <w:r>
        <w:rPr>
          <w:rFonts w:ascii="Times New Roman" w:cs="Times New Roman" w:eastAsia="Times New Roman" w:hAnsi="Times New Roman"/>
          <w:sz w:val="18"/>
          <w:szCs w:val="18"/>
          <w:b w:val="1"/>
          <w:bCs w:val="1"/>
          <w:u w:val="single" w:color="auto"/>
          <w:color w:val="auto"/>
        </w:rPr>
        <w:t>Approvals</w:t>
      </w:r>
      <w:r>
        <w:rPr>
          <w:rFonts w:ascii="Times New Roman" w:cs="Times New Roman" w:eastAsia="Times New Roman" w:hAnsi="Times New Roman"/>
          <w:sz w:val="18"/>
          <w:szCs w:val="18"/>
          <w:color w:val="auto"/>
        </w:rPr>
        <w:t>. No approval, consent, exemption, authorization, or other action by, or notice to, or filing with, any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or any other Person (each, a “</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is necessary or required in connection with the issuance and sale of the Purchased Securities by the Company, the execution, delivery and performance of this Agreement and the other Transaction Documents by the Company and the consummation by the Company of the transactions contemplated hereby or thereby, other than (i) the applicable Consents required by the Commission in connection with the Company’s obligations under the Registration Rights Agreement, (ii) the filing of the Certificate of Designation with the Secretary of State of Delaware, (iii) obtaining the Stockholder Approval, (iv) the applicable requirements under the state securities or “blue sky” Laws, (v) compliance with and filings or notifications under the HSR Act and other applicable U.S. or foreign competition, antitrust, or merger control Laws, as set forth in Section 5.02 and (vi) such other Consents, the failure of which to be obtained or made would not reasonably be expected to have a Material Adverse Effect.</w:t>
      </w:r>
    </w:p>
    <w:p>
      <w:pPr>
        <w:spacing w:after="0" w:line="182" w:lineRule="exact"/>
        <w:rPr>
          <w:sz w:val="20"/>
          <w:szCs w:val="20"/>
          <w:color w:val="auto"/>
        </w:rPr>
      </w:pPr>
    </w:p>
    <w:p>
      <w:pPr>
        <w:ind w:right="16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b w:val="1"/>
          <w:bCs w:val="1"/>
          <w:u w:val="single" w:color="auto"/>
          <w:color w:val="auto"/>
        </w:rPr>
        <w:t>Investment Company Status</w:t>
      </w:r>
      <w:r>
        <w:rPr>
          <w:rFonts w:ascii="Times New Roman" w:cs="Times New Roman" w:eastAsia="Times New Roman" w:hAnsi="Times New Roman"/>
          <w:sz w:val="18"/>
          <w:szCs w:val="18"/>
          <w:color w:val="auto"/>
        </w:rPr>
        <w:t>. None of the Company Entities is, and immediately after the sale of the Purchased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the application of the net proceeds from such sale none of the Company Entities will be, required to be registered as an “investment company” under the Investment Company Act of 1940, as amended.</w:t>
      </w:r>
    </w:p>
    <w:p>
      <w:pPr>
        <w:spacing w:after="0" w:line="171" w:lineRule="exact"/>
        <w:rPr>
          <w:sz w:val="20"/>
          <w:szCs w:val="20"/>
          <w:color w:val="auto"/>
        </w:rPr>
      </w:pPr>
    </w:p>
    <w:p>
      <w:pPr>
        <w:ind w:right="6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for J.P. Morgan Securities LLC, no broker, finder or investment banker is entitled to any brokerage,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finder’s or other fee or commission from the Company with respect to the sale of any of the Purchased Securities or the consummation of the transactions contemplated by this Agreement based upon arrangements made by or on behalf of any Company Entities. The Company agrees that it will indemnify and hold harmless the Purchasers from and against any and all claims, demands, or liabilities for broker’s, finder’s, placement, or other similar fees or commissions incurred by the Company Entities or alleged to have been incurred by the Company Entities in connection with the sale of the Purchased Securities or the consummation of the transactions contemplated by this Agreement.</w:t>
      </w:r>
    </w:p>
    <w:p>
      <w:pPr>
        <w:spacing w:after="0" w:line="183" w:lineRule="exact"/>
        <w:rPr>
          <w:sz w:val="20"/>
          <w:szCs w:val="20"/>
          <w:color w:val="auto"/>
        </w:rPr>
      </w:pPr>
    </w:p>
    <w:p>
      <w:pPr>
        <w:ind w:right="20"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3.18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 Except as disclosed in the Company’s SEC Documents (excluding any disclosures set forth in the risk factors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“forward-looking statements” sections of such reports or similar statements that are similarly non-specific and are predictive or forward-looking in nature), the properties of the Company and its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the applicable Subsidiary operates.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73" w:name="page74"/>
    <w:bookmarkEnd w:id="73"/>
    <w:p>
      <w:pPr>
        <w:ind w:right="4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3.19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Common Stock is listed on NASDAQ, and the Company has not received any notice of delisting that is in effect as of the date of this Agreement. The Company is in compliance in all material respects with the listing and listing maintenance requirements of NASDAQ applicable to it for the continued trading of its Common Stock on NASDAQ.</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b w:val="1"/>
          <w:bCs w:val="1"/>
          <w:u w:val="single" w:color="auto"/>
          <w:color w:val="auto"/>
        </w:rPr>
        <w:t>ERISA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96"/>
        <w:spacing w:after="0" w:line="256" w:lineRule="auto"/>
        <w:tabs>
          <w:tab w:leader="none" w:pos="12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is in compliance in all material respects with the applicable provisions of ERISA, the Code and other applicable federal or state Laws. Each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knowledge of the Company, nothing has occurred that would prevent or cause the loss of, such tax-qualified status.</w:t>
      </w:r>
    </w:p>
    <w:p>
      <w:pPr>
        <w:spacing w:after="0" w:line="79" w:lineRule="exact"/>
        <w:rPr>
          <w:rFonts w:ascii="Times New Roman" w:cs="Times New Roman" w:eastAsia="Times New Roman" w:hAnsi="Times New Roman"/>
          <w:sz w:val="18"/>
          <w:szCs w:val="18"/>
          <w:color w:val="auto"/>
        </w:rPr>
      </w:pPr>
    </w:p>
    <w:p>
      <w:pPr>
        <w:ind w:right="200" w:firstLine="996"/>
        <w:spacing w:after="0" w:line="261" w:lineRule="auto"/>
        <w:tabs>
          <w:tab w:leader="none" w:pos="1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71" w:lineRule="exact"/>
        <w:rPr>
          <w:rFonts w:ascii="Times New Roman" w:cs="Times New Roman" w:eastAsia="Times New Roman" w:hAnsi="Times New Roman"/>
          <w:sz w:val="18"/>
          <w:szCs w:val="18"/>
          <w:color w:val="auto"/>
        </w:rPr>
      </w:pPr>
    </w:p>
    <w:p>
      <w:pPr>
        <w:ind w:firstLine="996"/>
        <w:spacing w:after="0" w:line="255" w:lineRule="auto"/>
        <w:tabs>
          <w:tab w:leader="none" w:pos="12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either individually or in the aggregate, to have a Material Adverse Effect, (i) no ERISA Event has occurred with respect to any Pension Plan; (ii) the Company and each ERISA Affiliate have met all applicable requirements under the Pension Funding Rules in respect of each Pension Plan, and no waiver of the minimum funding standards under the Pension Funding Rules has been applied for or obtained; (iii) except as disclosed in the Company’s SEC Documents (excluding any disclosures set forth in the risk factors or “forward-looking statements” sections of such reports or similar statements that are similarly non-specific and are predictive or forward-looking in nature), neither the Company nor any ERISA Affiliate has incurred any liability to the PBGC other than for the payment of premiums, and there are no premium payments which have become due that are unpaid; and (iv) neither the Company nor any ERISA Affiliate has engaged in a transaction that could be subject to Section 4069 or Section 4212(c) of ERISA.</w:t>
      </w:r>
    </w:p>
    <w:p>
      <w:pPr>
        <w:spacing w:after="0" w:line="77" w:lineRule="exact"/>
        <w:rPr>
          <w:rFonts w:ascii="Times New Roman" w:cs="Times New Roman" w:eastAsia="Times New Roman" w:hAnsi="Times New Roman"/>
          <w:sz w:val="18"/>
          <w:szCs w:val="18"/>
          <w:color w:val="auto"/>
        </w:rPr>
      </w:pPr>
    </w:p>
    <w:p>
      <w:pPr>
        <w:jc w:val="both"/>
        <w:ind w:right="340" w:firstLine="996"/>
        <w:spacing w:after="0" w:line="261" w:lineRule="auto"/>
        <w:tabs>
          <w:tab w:leader="none" w:pos="1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Company’s SEC Documents (excluding any disclosures set forth in the risk factors or “forward-looking statements” sections of such reports or similar statements that are similarly non-specific and are predictive or forward-looking in nature), neither the Company or any ERISA Affiliate maintains or contributes to, or has any unsatisfied obligation to contribute to, or liability under, any active or terminated Pension Plan.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74" w:name="page75"/>
    <w:bookmarkEnd w:id="74"/>
    <w:p>
      <w:pPr>
        <w:ind w:right="20" w:firstLine="996"/>
        <w:spacing w:after="0" w:line="262" w:lineRule="auto"/>
        <w:tabs>
          <w:tab w:leader="none" w:pos="12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each scheme or arrangement mandated by a government other than the United States (a “</w:t>
      </w:r>
      <w:r>
        <w:rPr>
          <w:rFonts w:ascii="Times New Roman" w:cs="Times New Roman" w:eastAsia="Times New Roman" w:hAnsi="Times New Roman"/>
          <w:sz w:val="18"/>
          <w:szCs w:val="18"/>
          <w:b w:val="1"/>
          <w:bCs w:val="1"/>
          <w:u w:val="single" w:color="auto"/>
          <w:color w:val="auto"/>
        </w:rPr>
        <w:t>Foreign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Scheme or Arrangement</w:t>
      </w:r>
      <w:r>
        <w:rPr>
          <w:rFonts w:ascii="Times New Roman" w:cs="Times New Roman" w:eastAsia="Times New Roman" w:hAnsi="Times New Roman"/>
          <w:sz w:val="18"/>
          <w:szCs w:val="18"/>
          <w:color w:val="auto"/>
        </w:rPr>
        <w:t>”) and with respect to each employee benefit plan maintained or contributed to by the Company or any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is not subject to United States Law (a “</w:t>
      </w:r>
      <w:r>
        <w:rPr>
          <w:rFonts w:ascii="Times New Roman" w:cs="Times New Roman" w:eastAsia="Times New Roman" w:hAnsi="Times New Roman"/>
          <w:sz w:val="18"/>
          <w:szCs w:val="18"/>
          <w:b w:val="1"/>
          <w:bCs w:val="1"/>
          <w:u w:val="single" w:color="auto"/>
          <w:color w:val="auto"/>
        </w:rPr>
        <w:t>Foreign Plan</w:t>
      </w:r>
      <w:r>
        <w:rPr>
          <w:rFonts w:ascii="Times New Roman" w:cs="Times New Roman" w:eastAsia="Times New Roman" w:hAnsi="Times New Roman"/>
          <w:sz w:val="18"/>
          <w:szCs w:val="18"/>
          <w:color w:val="auto"/>
        </w:rPr>
        <w:t>”), each such Foreign Plan required to be registered has been registered and has been maintained in good standing with applicable regulatory authorities.</w:t>
      </w:r>
    </w:p>
    <w:p>
      <w:pPr>
        <w:spacing w:after="0" w:line="177" w:lineRule="exact"/>
        <w:rPr>
          <w:sz w:val="20"/>
          <w:szCs w:val="20"/>
          <w:color w:val="auto"/>
        </w:rPr>
      </w:pPr>
    </w:p>
    <w:p>
      <w:pPr>
        <w:ind w:right="2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b w:val="1"/>
          <w:bCs w:val="1"/>
          <w:u w:val="single" w:color="auto"/>
          <w:color w:val="auto"/>
        </w:rPr>
        <w:t>Tax Returns; Taxes</w:t>
      </w:r>
      <w:r>
        <w:rPr>
          <w:rFonts w:ascii="Times New Roman" w:cs="Times New Roman" w:eastAsia="Times New Roman" w:hAnsi="Times New Roman"/>
          <w:sz w:val="18"/>
          <w:szCs w:val="18"/>
          <w:color w:val="auto"/>
        </w:rPr>
        <w:t>. Except as could not reasonably be expected to have a Material Adverse Effect,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have filed all Tax Returns required to be filed, and have paid all Taxes imposed upon them that are due and payable, except those which are being contested in good faith by appropriate proceedings diligently conducted and for which adequate reserves have been provided in accordance with GAAP. As of the date hereof, no Tax Lien has been filed against the Company, any Subsidiary, or any assets of either that could reasonably be expected to have a Material Adverse Effect. There is no proposed tax assessment against the Company or any Subsidiary that would, if made, have a Material Adverse Effect.</w:t>
      </w:r>
    </w:p>
    <w:p>
      <w:pPr>
        <w:spacing w:after="0" w:line="183" w:lineRule="exact"/>
        <w:rPr>
          <w:sz w:val="20"/>
          <w:szCs w:val="20"/>
          <w:color w:val="auto"/>
        </w:rPr>
      </w:pPr>
    </w:p>
    <w:p>
      <w:pPr>
        <w:ind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legal or governmental actions, suits or proceedings (including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or examination by any taxing authority) pending or, to the knowledge of the Company Entities, threatened, against any of the Company Entities, or to which any of the Company Entities is a party, or to which any of their respective properties is subject, that are required to be described in the Company SEC Documents but are not described as required, and there are no Contracts that are required to be described in the Company SEC Documents or to be filed as an exhibit to the Company SEC Documents that are not described or filed as required by the Securities Act or the Exchange Act.</w:t>
      </w:r>
    </w:p>
    <w:p>
      <w:pPr>
        <w:spacing w:after="0" w:line="183" w:lineRule="exact"/>
        <w:rPr>
          <w:sz w:val="20"/>
          <w:szCs w:val="20"/>
          <w:color w:val="auto"/>
        </w:rPr>
      </w:pPr>
    </w:p>
    <w:p>
      <w:pPr>
        <w:ind w:right="4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b w:val="1"/>
          <w:bCs w:val="1"/>
          <w:u w:val="single" w:color="auto"/>
          <w:color w:val="auto"/>
        </w:rPr>
        <w:t>Environmental Compliance</w:t>
      </w:r>
      <w:r>
        <w:rPr>
          <w:rFonts w:ascii="Times New Roman" w:cs="Times New Roman" w:eastAsia="Times New Roman" w:hAnsi="Times New Roman"/>
          <w:sz w:val="18"/>
          <w:szCs w:val="18"/>
          <w:color w:val="auto"/>
        </w:rPr>
        <w:t>. Except as disclosed in the Company’s SEC Documents (excluding any disclosures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risk factors or “forward-looking statements” sections of such reports or similar statements that are similarly non-specific and are predictive or forward-looking in nature), each Company Entity conducts in the ordinary course of business a 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83" w:lineRule="exact"/>
        <w:rPr>
          <w:sz w:val="20"/>
          <w:szCs w:val="20"/>
          <w:color w:val="auto"/>
        </w:rPr>
      </w:pPr>
    </w:p>
    <w:p>
      <w:pPr>
        <w:ind w:right="40" w:firstLine="99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b w:val="1"/>
          <w:bCs w:val="1"/>
          <w:u w:val="single" w:color="auto"/>
          <w:color w:val="auto"/>
        </w:rPr>
        <w:t>Title to Property</w:t>
      </w:r>
      <w:r>
        <w:rPr>
          <w:rFonts w:ascii="Times New Roman" w:cs="Times New Roman" w:eastAsia="Times New Roman" w:hAnsi="Times New Roman"/>
          <w:sz w:val="18"/>
          <w:szCs w:val="18"/>
          <w:color w:val="auto"/>
        </w:rPr>
        <w:t>. The Company Entities have good and marketable title to, or valid, subsisting and enforceable leasehold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in all property material to its business and described in the Company SEC Documents as being owned or leased by any of them, free and clear of all Liens, except for (a) Liens that do not materially affect the value of such property and do not materially interfere with the use made or proposed to be made of such property by the Company Entities and (b) Liens as are described in the Company SEC Documents.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75" w:name="page76"/>
    <w:bookmarkEnd w:id="75"/>
    <w:p>
      <w:pPr>
        <w:ind w:lef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3.25 </w:t>
      </w:r>
      <w:r>
        <w:rPr>
          <w:rFonts w:ascii="Times New Roman" w:cs="Times New Roman" w:eastAsia="Times New Roman" w:hAnsi="Times New Roman"/>
          <w:sz w:val="18"/>
          <w:szCs w:val="18"/>
          <w:b w:val="1"/>
          <w:bCs w:val="1"/>
          <w:u w:val="single" w:color="auto"/>
          <w:color w:val="auto"/>
        </w:rPr>
        <w:t>Anti-Corruption Laws and Sanctions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96"/>
        <w:spacing w:after="0" w:line="255" w:lineRule="auto"/>
        <w:tabs>
          <w:tab w:leader="none" w:pos="12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director, officer, agent, employee, affiliate or other person associated with or acting on behalf of the Company or its Subsidiaries has (i) made, offered, promised or authorized any unlawful contribution, gift, entertainment or other unlawful expense; (ii) made, offered, promised or authorized any direct or indirect unlawful payment; or (iii) violated or is in violation of any provision of any applicable Anti-Corruption Laws; the Company and its Subsidiaries have instituted and maintain policies and procedures designed to ensure, and which are reasonably expected to continue to ensure, compliance with all applicable Anti-Corruption Laws. No action, suit or proceeding by or before any court or governmental agency, authority or body or any arbitrator involving the Company or any of its Subsidiaries with respect to applicable Anti-Corruption Laws is pending or, to the knowledge of the Company, threatened.</w:t>
      </w:r>
    </w:p>
    <w:p>
      <w:pPr>
        <w:spacing w:after="0" w:line="81" w:lineRule="exact"/>
        <w:rPr>
          <w:rFonts w:ascii="Times New Roman" w:cs="Times New Roman" w:eastAsia="Times New Roman" w:hAnsi="Times New Roman"/>
          <w:sz w:val="18"/>
          <w:szCs w:val="18"/>
          <w:color w:val="auto"/>
        </w:rPr>
      </w:pPr>
    </w:p>
    <w:p>
      <w:pPr>
        <w:ind w:right="40" w:firstLine="996"/>
        <w:spacing w:after="0" w:line="258" w:lineRule="auto"/>
        <w:tabs>
          <w:tab w:leader="none" w:pos="1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any director, officer, agent, employee or affiliate of the Company or any of its Subsidiaries is currently the subject or the target of any Sanctions, nor is the Company or any of its Subsidiaries located, organized or resident in a Sanctioned Country, and the Company has not directly or indirectly funded or facilitated any activities of or business with any person, or in any country or territory, that, at the time of such funding, was the subject or the target of Sanctions or in any other manner that resulted in a violation by any person of Sanctions and will not use the proceeds from the transactions contemplated hereby for such purpose.</w:t>
      </w:r>
    </w:p>
    <w:p>
      <w:pPr>
        <w:spacing w:after="0" w:line="180" w:lineRule="exact"/>
        <w:rPr>
          <w:sz w:val="20"/>
          <w:szCs w:val="20"/>
          <w:color w:val="auto"/>
        </w:rPr>
      </w:pPr>
    </w:p>
    <w:p>
      <w:pPr>
        <w:ind w:right="30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3.26 </w:t>
      </w:r>
      <w:r>
        <w:rPr>
          <w:rFonts w:ascii="Times New Roman" w:cs="Times New Roman" w:eastAsia="Times New Roman" w:hAnsi="Times New Roman"/>
          <w:sz w:val="18"/>
          <w:szCs w:val="18"/>
          <w:b w:val="1"/>
          <w:bCs w:val="1"/>
          <w:u w:val="single" w:color="auto"/>
          <w:color w:val="auto"/>
        </w:rPr>
        <w:t>Form S-3 Eligibility</w:t>
      </w:r>
      <w:r>
        <w:rPr>
          <w:rFonts w:ascii="Times New Roman" w:cs="Times New Roman" w:eastAsia="Times New Roman" w:hAnsi="Times New Roman"/>
          <w:sz w:val="18"/>
          <w:szCs w:val="18"/>
          <w:color w:val="auto"/>
        </w:rPr>
        <w:t>. As of the date hereof, the Company is eligible to register the Purchased Securities for resale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under Form S-3 promulgated under the Securities Act.</w:t>
      </w:r>
    </w:p>
    <w:p>
      <w:pPr>
        <w:spacing w:after="0" w:line="155" w:lineRule="exact"/>
        <w:rPr>
          <w:sz w:val="20"/>
          <w:szCs w:val="20"/>
          <w:color w:val="auto"/>
        </w:rPr>
      </w:pPr>
    </w:p>
    <w:p>
      <w:pPr>
        <w:ind w:right="12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3.27 </w:t>
      </w:r>
      <w:r>
        <w:rPr>
          <w:rFonts w:ascii="Times New Roman" w:cs="Times New Roman" w:eastAsia="Times New Roman" w:hAnsi="Times New Roman"/>
          <w:sz w:val="18"/>
          <w:szCs w:val="18"/>
          <w:b w:val="1"/>
          <w:bCs w:val="1"/>
          <w:u w:val="single" w:color="auto"/>
          <w:color w:val="auto"/>
        </w:rPr>
        <w:t>No Directed Selling Efforts or General Solicitation</w:t>
      </w:r>
      <w:r>
        <w:rPr>
          <w:rFonts w:ascii="Times New Roman" w:cs="Times New Roman" w:eastAsia="Times New Roman" w:hAnsi="Times New Roman"/>
          <w:sz w:val="18"/>
          <w:szCs w:val="18"/>
          <w:color w:val="auto"/>
        </w:rPr>
        <w:t>. Neither the Company nor any Person acting on its behalf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any general solicitation or general advertising (as those terms are used in Regulation D of the Securities Act) in connection with the offer or sale of any of the Purchased Securities.</w:t>
      </w:r>
    </w:p>
    <w:p>
      <w:pPr>
        <w:spacing w:after="0" w:line="171" w:lineRule="exact"/>
        <w:rPr>
          <w:sz w:val="20"/>
          <w:szCs w:val="20"/>
          <w:color w:val="auto"/>
        </w:rPr>
      </w:pPr>
    </w:p>
    <w:p>
      <w:pPr>
        <w:ind w:right="80" w:firstLine="99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3.28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Neither the Company nor any of its Affiliates, nor any Person acting on its or their behalf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or 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Purchased Securities under the Securities Act.</w:t>
      </w:r>
    </w:p>
    <w:p>
      <w:pPr>
        <w:spacing w:after="0" w:line="177" w:lineRule="exact"/>
        <w:rPr>
          <w:sz w:val="20"/>
          <w:szCs w:val="20"/>
          <w:color w:val="auto"/>
        </w:rPr>
      </w:pPr>
    </w:p>
    <w:p>
      <w:pPr>
        <w:ind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3.29 </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Except as disclosed in the Company’s SEC Documents, the Company and its Subsidiaries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or can acquire on commercially reasonable terms, adequate trademarks, trade names and other rights to inventions, know-how, patents, copyrights, confidential information and other intellectual property necessary to conduct the business now operated by them, or presently employed by them, and have not received any notice of infringement of or conflict with asserted rights of others with respect to any intellectual property rights that, if determined adversely to the Company Entities could reasonably be expected to, individually or in the aggregate, have a Material Adverse Effect.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66" w:right="479" w:bottom="1440" w:gutter="0" w:footer="0" w:header="0"/>
        </w:sectPr>
      </w:pPr>
    </w:p>
    <w:bookmarkStart w:id="76" w:name="page77"/>
    <w:bookmarkEnd w:id="76"/>
    <w:p>
      <w:pPr>
        <w:ind w:right="10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3.30 </w:t>
      </w:r>
      <w:r>
        <w:rPr>
          <w:rFonts w:ascii="Times New Roman" w:cs="Times New Roman" w:eastAsia="Times New Roman" w:hAnsi="Times New Roman"/>
          <w:sz w:val="18"/>
          <w:szCs w:val="18"/>
          <w:b w:val="1"/>
          <w:bCs w:val="1"/>
          <w:u w:val="single" w:color="auto"/>
          <w:color w:val="auto"/>
        </w:rPr>
        <w:t>Occupational Safety</w:t>
      </w:r>
      <w:r>
        <w:rPr>
          <w:rFonts w:ascii="Times New Roman" w:cs="Times New Roman" w:eastAsia="Times New Roman" w:hAnsi="Times New Roman"/>
          <w:sz w:val="18"/>
          <w:szCs w:val="18"/>
          <w:color w:val="auto"/>
        </w:rPr>
        <w:t>. Except as disclosed in the Company’s SEC Documents, the Company and each of its Subsidiaries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compliance in all respects with all applicable provisions of the Occupational Safety and Health Act of 1970, as amended, including all applicable regulations thereunder, except for such noncompliance as would not, individually or in the aggregate, have a Material Adverse Effect.</w:t>
      </w:r>
    </w:p>
    <w:p>
      <w:pPr>
        <w:spacing w:after="0" w:line="171"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3.31 </w:t>
      </w:r>
      <w:r>
        <w:rPr>
          <w:rFonts w:ascii="Times New Roman" w:cs="Times New Roman" w:eastAsia="Times New Roman" w:hAnsi="Times New Roman"/>
          <w:sz w:val="18"/>
          <w:szCs w:val="18"/>
          <w:b w:val="1"/>
          <w:bCs w:val="1"/>
          <w:u w:val="single" w:color="auto"/>
          <w:color w:val="auto"/>
        </w:rPr>
        <w:t>Information Technology</w:t>
      </w:r>
      <w:r>
        <w:rPr>
          <w:rFonts w:ascii="Times New Roman" w:cs="Times New Roman" w:eastAsia="Times New Roman" w:hAnsi="Times New Roman"/>
          <w:sz w:val="18"/>
          <w:szCs w:val="18"/>
          <w:color w:val="auto"/>
        </w:rPr>
        <w:t>. Except as disclosed in the Company’s SEC Documents, the Company and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u w:val="single" w:color="auto"/>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Systems</w:t>
      </w:r>
      <w:r>
        <w:rPr>
          <w:rFonts w:ascii="Times New Roman" w:cs="Times New Roman" w:eastAsia="Times New Roman" w:hAnsi="Times New Roman"/>
          <w:sz w:val="18"/>
          <w:szCs w:val="18"/>
          <w:color w:val="auto"/>
        </w:rPr>
        <w:t>”) are adequate for, and operate and perform as required in connection with the operation of the business of the Company and its Subsidiaries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conducted, free and clear of all bugs, errors, defects, Trojan horses, time bombs, malware and other corruptants, except in each case as would not, singly or in the aggregate, result in a Material Adverse Effect. The Company and its Subsidiaries (i) (x) have implemented and maintained commercially reasonable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u w:val="single" w:color="auto"/>
          <w:color w:val="auto"/>
        </w:rPr>
        <w:t>Personal Data</w:t>
      </w:r>
      <w:r>
        <w:rPr>
          <w:rFonts w:ascii="Times New Roman" w:cs="Times New Roman" w:eastAsia="Times New Roman" w:hAnsi="Times New Roman"/>
          <w:sz w:val="18"/>
          <w:szCs w:val="18"/>
          <w:color w:val="auto"/>
        </w:rPr>
        <w:t>”)) used in connection with their businesses, and (y) there have been no breaches, violations, outages or unauthorized uses of or accesses to same, nor any incidents under internal review or investigations relating to the same; (ii)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(iii) have taken all necessary actions to prepare to comply with the European Union General Data Protection Regulation (and all other applicable laws and regulations with respect to Personal Data that have been announced as of the date hereof as becoming effective within 12 months after the date hereof) as soon they take effect; except, with respect to each of the foregoing clauses (i)(y), (ii) and (iii), as would not, singly or in the aggregate, result in a Material Adverse Effect.</w:t>
      </w:r>
    </w:p>
    <w:p>
      <w:pPr>
        <w:spacing w:after="0" w:line="184" w:lineRule="exact"/>
        <w:rPr>
          <w:sz w:val="20"/>
          <w:szCs w:val="20"/>
          <w:color w:val="auto"/>
        </w:rPr>
      </w:pPr>
    </w:p>
    <w:p>
      <w:pPr>
        <w:ind w:right="4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3.32 </w:t>
      </w:r>
      <w:r>
        <w:rPr>
          <w:rFonts w:ascii="Times New Roman" w:cs="Times New Roman" w:eastAsia="Times New Roman" w:hAnsi="Times New Roman"/>
          <w:sz w:val="18"/>
          <w:szCs w:val="18"/>
          <w:b w:val="1"/>
          <w:bCs w:val="1"/>
          <w:u w:val="single" w:color="auto"/>
          <w:color w:val="auto"/>
        </w:rPr>
        <w:t>Restricted Payments</w:t>
      </w:r>
      <w:r>
        <w:rPr>
          <w:rFonts w:ascii="Times New Roman" w:cs="Times New Roman" w:eastAsia="Times New Roman" w:hAnsi="Times New Roman"/>
          <w:sz w:val="18"/>
          <w:szCs w:val="18"/>
          <w:color w:val="auto"/>
        </w:rPr>
        <w:t>. (a) Except for the Amended and Restated Credit Agreement, there are no agreements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Subsidiaries is subject, prohibiting the Company or any of its Subsidiaries from making distributions on the Series B Convertible Preferred Stock or Warrants or repurchasing, redeeming or repaying the Series B Convertible Preferred Stock or exercising the Warrants and (b) the Company is not aware of any laws and regulations of the State of Delaware or any political subdivisions thereof, prohibiting it directly or indirectly, from paying any dividends or from making any other distribution on its capital stock or repurchasing, redeeming or repaying its capital stock, except as described in or contemplated by SEC Documents.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PURCHASERS</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Each of the Purchasers, severally but not jointly, represents and warrants and covenants to the Company as of the date hereof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as follows:</w:t>
      </w:r>
    </w:p>
    <w:p>
      <w:pPr>
        <w:spacing w:after="0" w:line="95" w:lineRule="exact"/>
        <w:rPr>
          <w:sz w:val="20"/>
          <w:szCs w:val="20"/>
          <w:color w:val="auto"/>
        </w:rPr>
      </w:pPr>
    </w:p>
    <w:p>
      <w:pPr>
        <w:jc w:val="both"/>
        <w:ind w:right="20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Existence</w:t>
      </w:r>
      <w:r>
        <w:rPr>
          <w:rFonts w:ascii="Times New Roman" w:cs="Times New Roman" w:eastAsia="Times New Roman" w:hAnsi="Times New Roman"/>
          <w:sz w:val="18"/>
          <w:szCs w:val="18"/>
          <w:color w:val="auto"/>
        </w:rPr>
        <w:t>. Such Purchaser is duly organized and validly existing and in good standing under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 or formation, with all necessary power and authority to own and operate its properties and to conduct its business as currently conducted.</w:t>
      </w:r>
    </w:p>
    <w:p>
      <w:pPr>
        <w:spacing w:after="0" w:line="155" w:lineRule="exact"/>
        <w:rPr>
          <w:sz w:val="20"/>
          <w:szCs w:val="20"/>
          <w:color w:val="auto"/>
        </w:rPr>
      </w:pPr>
    </w:p>
    <w:p>
      <w:pPr>
        <w:ind w:right="60"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Authorization, Enforceability</w:t>
      </w:r>
      <w:r>
        <w:rPr>
          <w:rFonts w:ascii="Times New Roman" w:cs="Times New Roman" w:eastAsia="Times New Roman" w:hAnsi="Times New Roman"/>
          <w:sz w:val="18"/>
          <w:szCs w:val="18"/>
          <w:color w:val="auto"/>
        </w:rPr>
        <w:t>. Such Purchaser has all necessary corporate, limited liability company, trust or partnership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power and authority to execute, deliver and perform its obligations under the Transaction Documents to which it is a party. The execution, delivery and performance of such Transaction Documents by such Purchaser and the consummation by it of the transactions contemplated thereby have been duly and validly authorized by all necessary legal action, and no further consent or authorization of such Purchaser or any other Person is required. Each of the Transaction Documents to which such Purchaser is a party has been duly executed and delivered by such Purchaser, where applicable, and constitutes a legal, valid and binding obligation of such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such agreement, the enforceability thereof may be limited by applicable bankruptcy, insolvency, fraudulent transfer, reorganization, moratorium or similar Laws from time to time in effect affecting the enforcement of creditors’ rights and remedies generally and by general principles of equity (regardless of whether such principles are considered in a proceeding in equity or at law).</w:t>
      </w:r>
    </w:p>
    <w:p>
      <w:pPr>
        <w:spacing w:after="0" w:line="182"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No Breach</w:t>
      </w:r>
      <w:r>
        <w:rPr>
          <w:rFonts w:ascii="Times New Roman" w:cs="Times New Roman" w:eastAsia="Times New Roman" w:hAnsi="Times New Roman"/>
          <w:sz w:val="18"/>
          <w:szCs w:val="18"/>
          <w:color w:val="auto"/>
        </w:rPr>
        <w:t>. The execution, delivery and performance of the Transaction Documents to which such Purchaser is a party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Purchaser and the consummation by such Purchaser of the transactions contemplated thereby will not (a) conflict with or result in a breach or violation of any of the terms or provisions of, or constitute a default under, any material agreement to which such Purchaser is a party or by which such Purchaser is bound or to which any of the property or assets of such Purchaser is subject, (b) conflict with or result in any violation of the provisions of the Organizational Documents of such Purchaser, or (c) violate any Law of any Governmental Authority or body having jurisdiction over such Purchaser or the property or assets of such Purchaser,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for such conflicts, breaches, violations or defaults as would not prevent the consummation of the transactions contemplated by such Transaction Documents.</w:t>
      </w:r>
    </w:p>
    <w:p>
      <w:pPr>
        <w:spacing w:after="0" w:line="183" w:lineRule="exact"/>
        <w:rPr>
          <w:sz w:val="20"/>
          <w:szCs w:val="20"/>
          <w:color w:val="auto"/>
        </w:rPr>
      </w:pPr>
    </w:p>
    <w:p>
      <w:pPr>
        <w:ind w:right="4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No fees or commissions are or will be payable by such Purchaser to brokers, finders or investment bankers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purchase of any of the Purchased Securities or the consummation of the transactions contemplated by this Agreement, except for fees or commissions for which the Company is not responsible.</w:t>
      </w:r>
    </w:p>
    <w:p>
      <w:pPr>
        <w:spacing w:after="0" w:line="17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Unregistered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hanging="244"/>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Purchaser Status; Sophisticated Purchaser</w:t>
      </w:r>
      <w:r>
        <w:rPr>
          <w:rFonts w:ascii="Times New Roman" w:cs="Times New Roman" w:eastAsia="Times New Roman" w:hAnsi="Times New Roman"/>
          <w:sz w:val="18"/>
          <w:szCs w:val="18"/>
          <w:color w:val="auto"/>
        </w:rPr>
        <w:t>. Such Purchaser is (a) an “accredited investor” within the meaning of Rule 501(a)</w:t>
      </w:r>
    </w:p>
    <w:p>
      <w:pPr>
        <w:spacing w:after="0" w:line="27" w:lineRule="exact"/>
        <w:rPr>
          <w:rFonts w:ascii="Times New Roman" w:cs="Times New Roman" w:eastAsia="Times New Roman" w:hAnsi="Times New Roman"/>
          <w:sz w:val="18"/>
          <w:szCs w:val="18"/>
          <w:color w:val="auto"/>
        </w:rPr>
      </w:pPr>
    </w:p>
    <w:p>
      <w:pPr>
        <w:ind w:right="2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 (3) or (7) under the Securities Act, as amended, and (b) an Institutional Account as defined in FINRA Rule 4512(c) and (c) a sophisticated institutional investor, experienced in investing in private equity transactions and capable of evaluating investment risks independently, both in general and with regard to all transactions and investment strategies involving a security or securities, including such Purchaser’s participation in the transactions contemplated hereby. Such Purchaser has determined based on its own independent review and such professional advice as it deems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6" w:right="439" w:bottom="1440" w:gutter="0" w:footer="0" w:header="0"/>
        </w:sectPr>
      </w:pPr>
    </w:p>
    <w:bookmarkStart w:id="78" w:name="page79"/>
    <w:bookmarkEnd w:id="78"/>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appropriate that its purchase of the Purchased Securities and participation in the transactions contemplated hereby (i) are consistent with its financial needs, objectives and condition, (ii) comply and are consistent with all investment policies, guidelines and other restrictions applicable to such Purchaser, (iii) have been duly authorized and approved by all necessary action, and (iv) are a fit, proper and suitable investment for such Purchaser, notwithstanding the substantial risks inherent in investing in or holding the Purchased Securities. Such Purchaser is able to bear the substantial risks associated with its purchase of the Purchased Securities, including but not limited to loss of its entire investment therein.</w:t>
      </w:r>
    </w:p>
    <w:p>
      <w:pPr>
        <w:spacing w:after="0" w:line="76" w:lineRule="exact"/>
        <w:rPr>
          <w:sz w:val="20"/>
          <w:szCs w:val="20"/>
          <w:color w:val="auto"/>
        </w:rPr>
      </w:pPr>
    </w:p>
    <w:p>
      <w:pPr>
        <w:ind w:right="20" w:firstLine="996"/>
        <w:spacing w:after="0" w:line="253" w:lineRule="auto"/>
        <w:tabs>
          <w:tab w:leader="none" w:pos="12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Such Purchaser and its Representatives have (i) had the opportunity to ask questions of and receive answers from the Company directly and review the Company’s public filings with the Commission and (ii) conducted and completed its own independent due diligence with respect to the transactions contemplated hereby. Based on such information as such Purchaser has deemed appropriate and without reliance upon the Agent or any of its affiliates, such Purchaser has independently made its own judgment concerning the Company and its businesses, operations and prospects and analysis and decision to enter into this Agreement and the transactions contemplated hereby. Except for the representations, warranties and agreements of the Company expressly set forth in this Agreement and the other Transaction Documents, such Purchaser is relying exclusively on its own sources of information, investment analysis and due diligence (including professional advice it deems appropriate) with respect to the transactions contemplated hereby, the Purchased Securities and the business, condition (financial and otherwise), management, operations and properties of the Company, including but not limited to all business, legal, regulatory, accounting, credit and tax matters. Neither any inquiries nor any other due diligence investigations conducted at any time by such Purchasers and its Representatives shall modify, amend or affect such Purchasers’ right (i) to rely on the Company’s representations and warranties contained herein or in any other Transaction Document or (ii) to indemnification or any other remedy based on, or with respect to the accuracy or inaccuracy of, or compliance with, the representations, warranties, covenants and agreements in any Transaction Document. Such Purchaser understands that its purchase of the Purchased Securities involves a high degree of risk.</w:t>
      </w:r>
    </w:p>
    <w:p>
      <w:pPr>
        <w:spacing w:after="0" w:line="80" w:lineRule="exact"/>
        <w:rPr>
          <w:rFonts w:ascii="Times New Roman" w:cs="Times New Roman" w:eastAsia="Times New Roman" w:hAnsi="Times New Roman"/>
          <w:sz w:val="18"/>
          <w:szCs w:val="18"/>
          <w:color w:val="auto"/>
        </w:rPr>
      </w:pPr>
    </w:p>
    <w:p>
      <w:pPr>
        <w:ind w:firstLine="996"/>
        <w:spacing w:after="0" w:line="253"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Such Purchaser understands that, until such time as the Purchased Securities or Underlying Shares have been sold pursuant to an effective registration statement under the Securities Act, or the Purchased Securities or Underlying Shares are eligible for resale pursuant to Rule 144 promulgated under the Securities Act without any restriction as to the number of securities as of a particular date that can then be immediately sold, the Purchased Securities or Underlying Shares (as applicable) will bear a restrictive legend substantially as follows: “THE SECURITIES REPRESENTED HEREBY HAVE NOT BEEN REGISTERED UNDER THE SECURITIES ACT OF 1933, AS AMENDED, AND MAY NOT UNDER ANY CIRCUMSTANCES BE SOLD, TRANSFERRED, OR OTHERWISE DISPOSED OF WITHOUT AN EFFECTIVE REGISTRATION STATEMENT FOR SUCH SECURITIES UNDER THE SECURITIES ACT OF 1933, AS AMENDED, AND ANY OTHER APPLICABLE SECURITIES LAWS OR AN OPINION OF COUNSEL SATISFACTORY TO THE COMPANY THAT REGISTRATION IS NOT REQUIRED UNDER THE SECURITIES ACT OF 1933, AS AMENDED, OR APPLICABLE SECURITIES LAWS.” Additionally, if required by the authorities of any state in connection with the issuance or sale of the Purchased Securities or Underlying Shares, such Purchased Securities or Underlying Shares (as applicable) shall bear the legend required by such state authority.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79" w:name="page80"/>
    <w:bookmarkEnd w:id="79"/>
    <w:p>
      <w:pPr>
        <w:ind w:firstLine="996"/>
        <w:spacing w:after="0" w:line="254" w:lineRule="auto"/>
        <w:tabs>
          <w:tab w:leader="none" w:pos="12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Acquisition for Investment Purposes</w:t>
      </w:r>
      <w:r>
        <w:rPr>
          <w:rFonts w:ascii="Times New Roman" w:cs="Times New Roman" w:eastAsia="Times New Roman" w:hAnsi="Times New Roman"/>
          <w:sz w:val="18"/>
          <w:szCs w:val="18"/>
          <w:color w:val="auto"/>
        </w:rPr>
        <w:t>. Such Purchaser is acquiring its entire beneficial ownership interest in the Purchased Securities for its own account for investment purposes only and not with a view to any distribution of the Purchased Securities in any manner that would violate the securities laws of the United States or any other jurisdiction. Such Purchaser has been advised and understands that the Purchased Securities have not been registered under the Securities Act, the “blue sky” laws of any jurisdiction or the laws of any other jurisdiction and may be resold only if registered pursuant to the provisions of the Securities Act (or if eligible, pursuant to the provisions of Rule 144 promulgated under the Securities Act or pursuant to another available exemption from the registration requirements of the Securities Act) and in compliance with the restrictions on transfer set forth in the Transaction Documents. Such Purchaser has been advised and understands that the Company, in issuing the Purchased Securities, is relying upon, among other things, the representations and warranties of such Purchaser contained in this Article IV in concluding that such issuance is a “private offering” and is exempt from the registration provisions of the Securities Act.</w:t>
      </w:r>
    </w:p>
    <w:p>
      <w:pPr>
        <w:spacing w:after="0" w:line="81" w:lineRule="exact"/>
        <w:rPr>
          <w:rFonts w:ascii="Times New Roman" w:cs="Times New Roman" w:eastAsia="Times New Roman" w:hAnsi="Times New Roman"/>
          <w:sz w:val="18"/>
          <w:szCs w:val="18"/>
          <w:color w:val="auto"/>
        </w:rPr>
      </w:pPr>
    </w:p>
    <w:p>
      <w:pPr>
        <w:jc w:val="both"/>
        <w:ind w:right="60" w:firstLine="996"/>
        <w:spacing w:after="0" w:line="266" w:lineRule="auto"/>
        <w:tabs>
          <w:tab w:leader="none" w:pos="12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Such Purchaser understands that the Purchased Securities must be held indefinitely unless and until the Purchased Securities are registered under the Securities Act or an exemption from registration is available. Such Purchaser has been advised of and is aware of the provisions of Rule 144 promulgated under the Securities Act.</w:t>
      </w:r>
    </w:p>
    <w:p>
      <w:pPr>
        <w:spacing w:after="0" w:line="68" w:lineRule="exact"/>
        <w:rPr>
          <w:rFonts w:ascii="Times New Roman" w:cs="Times New Roman" w:eastAsia="Times New Roman" w:hAnsi="Times New Roman"/>
          <w:sz w:val="18"/>
          <w:szCs w:val="18"/>
          <w:color w:val="auto"/>
        </w:rPr>
      </w:pPr>
    </w:p>
    <w:p>
      <w:pPr>
        <w:ind w:right="180" w:firstLine="996"/>
        <w:spacing w:after="0" w:line="261" w:lineRule="auto"/>
        <w:tabs>
          <w:tab w:leader="none" w:pos="121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the Company</w:t>
      </w:r>
      <w:r>
        <w:rPr>
          <w:rFonts w:ascii="Times New Roman" w:cs="Times New Roman" w:eastAsia="Times New Roman" w:hAnsi="Times New Roman"/>
          <w:sz w:val="18"/>
          <w:szCs w:val="18"/>
          <w:color w:val="auto"/>
        </w:rPr>
        <w:t>. Such Purchaser understands that the Purchased Securities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such Purchaser set forth herein in order to determine the applicability of such exemptions and the suitability of such Purchaser to acquire the Purchased Securities.</w:t>
      </w:r>
    </w:p>
    <w:p>
      <w:pPr>
        <w:spacing w:after="0" w:line="176" w:lineRule="exact"/>
        <w:rPr>
          <w:sz w:val="20"/>
          <w:szCs w:val="20"/>
          <w:color w:val="auto"/>
        </w:rPr>
      </w:pPr>
    </w:p>
    <w:p>
      <w:pPr>
        <w:ind w:right="14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b w:val="1"/>
          <w:bCs w:val="1"/>
          <w:u w:val="single" w:color="auto"/>
          <w:color w:val="auto"/>
        </w:rPr>
        <w:t>Sufficient Funds</w:t>
      </w:r>
      <w:r>
        <w:rPr>
          <w:rFonts w:ascii="Times New Roman" w:cs="Times New Roman" w:eastAsia="Times New Roman" w:hAnsi="Times New Roman"/>
          <w:sz w:val="18"/>
          <w:szCs w:val="18"/>
          <w:color w:val="auto"/>
        </w:rPr>
        <w:t>. Such Purchaser will have available to it at the Closing sufficient funds to enable such Purchaser to pay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at the Closing the entire amount of such Purchaser’s Allocated Purchase Price in immediately available cash funds.</w:t>
      </w:r>
    </w:p>
    <w:p>
      <w:pPr>
        <w:spacing w:after="0" w:line="15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4.07 </w:t>
      </w:r>
      <w:r>
        <w:rPr>
          <w:rFonts w:ascii="Times New Roman" w:cs="Times New Roman" w:eastAsia="Times New Roman" w:hAnsi="Times New Roman"/>
          <w:sz w:val="18"/>
          <w:szCs w:val="18"/>
          <w:b w:val="1"/>
          <w:bCs w:val="1"/>
          <w:u w:val="single" w:color="auto"/>
          <w:color w:val="auto"/>
        </w:rPr>
        <w:t>Ownership; No Prohibited Trading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96"/>
        <w:spacing w:after="0" w:line="261" w:lineRule="auto"/>
        <w:tabs>
          <w:tab w:leader="none" w:pos="123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such Purchaser beneficially owns, directly or indirectly, only the number of shares of Common Stock as described opposite its name on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Schedule B</w:t>
      </w:r>
      <w:r>
        <w:rPr>
          <w:rFonts w:ascii="Times New Roman" w:cs="Times New Roman" w:eastAsia="Times New Roman" w:hAnsi="Times New Roman"/>
          <w:sz w:val="18"/>
          <w:szCs w:val="18"/>
          <w:color w:val="auto"/>
        </w:rPr>
        <w:t xml:space="preserve"> reflects all shares of Common Stock in which such Purchaser or its Affiliate, has any interest or right to acquire, whether through derivative securities, voting agreements or otherwise (whether or not such Common Stock can be acquired within sixty (60) days).</w:t>
      </w:r>
    </w:p>
    <w:p>
      <w:pPr>
        <w:spacing w:after="0" w:line="71" w:lineRule="exact"/>
        <w:rPr>
          <w:rFonts w:ascii="Times New Roman" w:cs="Times New Roman" w:eastAsia="Times New Roman" w:hAnsi="Times New Roman"/>
          <w:sz w:val="18"/>
          <w:szCs w:val="18"/>
          <w:color w:val="auto"/>
        </w:rPr>
      </w:pPr>
    </w:p>
    <w:p>
      <w:pPr>
        <w:ind w:right="100" w:firstLine="996"/>
        <w:spacing w:after="0" w:line="266" w:lineRule="auto"/>
        <w:tabs>
          <w:tab w:leader="none" w:pos="12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such time as such Purchaser was first contacted by the Company or any other Person acting on behalf of the Company regarding the transactions contemplated hereby until the first public announcement of the execution of this Agreement, such Purchaser and any Affiliate of such Purchaser which (i) had knowledge of the transactions contemplated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80" w:name="page81"/>
    <w:bookmarkEnd w:id="8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hereby, (ii) has or shares discretion relating to such Purchaser’s investments or trading or information concerning such Purchaser’s investments, including in respect of the Securities, or (iii) is subject to such Purchaser’s review or input concerning such Affiliate’s investments or trading (collectively, “</w:t>
      </w:r>
      <w:r>
        <w:rPr>
          <w:rFonts w:ascii="Times New Roman" w:cs="Times New Roman" w:eastAsia="Times New Roman" w:hAnsi="Times New Roman"/>
          <w:sz w:val="18"/>
          <w:szCs w:val="18"/>
          <w:b w:val="1"/>
          <w:bCs w:val="1"/>
          <w:u w:val="single" w:color="auto"/>
          <w:color w:val="auto"/>
        </w:rPr>
        <w:t>Trading Affiliates</w:t>
      </w:r>
      <w:r>
        <w:rPr>
          <w:rFonts w:ascii="Times New Roman" w:cs="Times New Roman" w:eastAsia="Times New Roman" w:hAnsi="Times New Roman"/>
          <w:sz w:val="18"/>
          <w:szCs w:val="18"/>
          <w:color w:val="auto"/>
        </w:rPr>
        <w:t>”) has not (x) offered, sold, contracted to sell, sold any option or contract to purchase, purchased any option or contract to sell, granted any option, right or warrant to purchase, lent, or otherwise transferred or disposed of, directly or indirectly, any of the Purchased Securities or (y) directly or indirectly engaged in any Short Sales or other derivative or hedging transactions with respect to Common Stock, including by means of any swap or other transaction or arrangement that transfers or that is designed to, or that might reasonably be expected to, result in the transfer to another, in whole or in part, of any of the economic consequences of ownership of any Purchased Securities, regardless of whether any transaction described in this Section 4.07 is to be settled by delivery of Common Stock or other securities, in cash or otherwise. For the avoidance of doubt, nothing in this Section 4.07 shall preclude any actions described in clauses (x) or (y) above following the first public announcement of the execution of this Agreement.</w:t>
      </w:r>
    </w:p>
    <w:p>
      <w:pPr>
        <w:spacing w:after="0" w:line="182" w:lineRule="exact"/>
        <w:rPr>
          <w:sz w:val="20"/>
          <w:szCs w:val="20"/>
          <w:color w:val="auto"/>
        </w:rPr>
      </w:pPr>
    </w:p>
    <w:p>
      <w:pPr>
        <w:ind w:right="54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Such Purchaser did not learn of the investment in the Purchased Securities as a result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solicitation or general advertising.</w:t>
      </w:r>
    </w:p>
    <w:p>
      <w:pPr>
        <w:spacing w:after="0" w:line="155" w:lineRule="exact"/>
        <w:rPr>
          <w:sz w:val="20"/>
          <w:szCs w:val="20"/>
          <w:color w:val="auto"/>
        </w:rPr>
      </w:pPr>
    </w:p>
    <w:p>
      <w:pPr>
        <w:ind w:right="140" w:firstLine="992"/>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4.09 </w:t>
      </w:r>
      <w:r>
        <w:rPr>
          <w:rFonts w:ascii="Times New Roman" w:cs="Times New Roman" w:eastAsia="Times New Roman" w:hAnsi="Times New Roman"/>
          <w:sz w:val="17"/>
          <w:szCs w:val="17"/>
          <w:b w:val="1"/>
          <w:bCs w:val="1"/>
          <w:u w:val="single" w:color="auto"/>
          <w:color w:val="auto"/>
        </w:rPr>
        <w:t>No Reliance</w:t>
      </w:r>
      <w:r>
        <w:rPr>
          <w:rFonts w:ascii="Times New Roman" w:cs="Times New Roman" w:eastAsia="Times New Roman" w:hAnsi="Times New Roman"/>
          <w:sz w:val="17"/>
          <w:szCs w:val="17"/>
          <w:color w:val="auto"/>
        </w:rPr>
        <w:t>. Such Purchaser hereby acknowledges and agrees that (a) the Agent is acting solely as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placement agent in connection with the transactions contemplated hereby and is not acting as underwriter or in any other capacity and is not and shall not be construed as a fiduciary for such Purchaser, the Company or any other person or entity in connection with the transactions contemplated hereby,</w:t>
      </w:r>
    </w:p>
    <w:p>
      <w:pPr>
        <w:spacing w:after="0" w:line="1" w:lineRule="exact"/>
        <w:rPr>
          <w:sz w:val="20"/>
          <w:szCs w:val="20"/>
          <w:color w:val="auto"/>
        </w:rPr>
      </w:pPr>
    </w:p>
    <w:p>
      <w:pPr>
        <w:ind w:right="60" w:firstLine="4"/>
        <w:spacing w:after="0" w:line="251" w:lineRule="auto"/>
        <w:tabs>
          <w:tab w:leader="none" w:pos="2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its Affiliates have not made and will not make any representation or warranty, whether express or implied, of any kind or character and has not provided any advice or recommendation in connection with the transactions contemplated hereby, (c) the Agent and its Affiliates will have no responsibility with respect to (i) any representations, warranties or agreements made by any person or entity under or in connection with the transactions contemplated hereby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Company or the transactions contemplated hereby, and (d) the Agent and its Affiliates shall have no liability or obligation (including without limitation, for or with respect to any losses, claims, damages, obligations, penalties, judgments, awards, liabilities, costs, expenses or disbursements incurred by such Purchaser, the Company or any other person or entity), whether in contract, tort or otherwise, to such Purchaser, or to any person claiming through such Purchaser, in respect of the transactions contemplated hereby. In connection with the issuance of the Purchased Securities to the Purchaser, neither the Agent nor any of its Affiliates have acted as a financial advisor or fiduciary to such Purchaser.</w:t>
      </w:r>
    </w:p>
    <w:p>
      <w:pPr>
        <w:spacing w:after="0" w:line="190" w:lineRule="exact"/>
        <w:rPr>
          <w:sz w:val="20"/>
          <w:szCs w:val="20"/>
          <w:color w:val="auto"/>
        </w:rPr>
      </w:pPr>
    </w:p>
    <w:p>
      <w:pPr>
        <w:ind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Each Purchaser hereby acknowledges that an affiliate of the Agent will receive a portion of any proceeds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offering that are used to repay all or a part of the Revolving Credit Loans (as defined below) and the Amended and Restated Credit Agreement (as defined below).</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b w:val="1"/>
          <w:bCs w:val="1"/>
          <w:u w:val="single" w:color="auto"/>
          <w:color w:val="auto"/>
        </w:rPr>
        <w:t>Cooperation; Further Assurances</w:t>
      </w:r>
      <w:r>
        <w:rPr>
          <w:rFonts w:ascii="Times New Roman" w:cs="Times New Roman" w:eastAsia="Times New Roman" w:hAnsi="Times New Roman"/>
          <w:sz w:val="18"/>
          <w:szCs w:val="18"/>
          <w:color w:val="auto"/>
        </w:rPr>
        <w:t>. The Company shall use its reasonable best efforts to obtain all approvals and consents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or necessary to consummate the transactions contemplated by this Agreement and the other Transaction Documents. The Company agrees to execute and deliver all such documents or instruments, to take all commercially reasonable action and to do all other commercially reasonable things it determines to be necessary, proper or advisable under applicable Laws and regulations or as otherwise reasonably requested by the Purchasers to consummate the transactions contemplated by this Agreement.</w:t>
      </w:r>
    </w:p>
    <w:p>
      <w:pPr>
        <w:spacing w:after="0" w:line="180" w:lineRule="exact"/>
        <w:rPr>
          <w:sz w:val="20"/>
          <w:szCs w:val="20"/>
          <w:color w:val="auto"/>
        </w:rPr>
      </w:pPr>
    </w:p>
    <w:p>
      <w:pPr>
        <w:ind w:right="20" w:firstLine="99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b w:val="1"/>
          <w:bCs w:val="1"/>
          <w:u w:val="single" w:color="auto"/>
          <w:color w:val="auto"/>
        </w:rPr>
        <w:t>Regulatory Approvals</w:t>
      </w:r>
      <w:r>
        <w:rPr>
          <w:rFonts w:ascii="Times New Roman" w:cs="Times New Roman" w:eastAsia="Times New Roman" w:hAnsi="Times New Roman"/>
          <w:sz w:val="18"/>
          <w:szCs w:val="18"/>
          <w:color w:val="auto"/>
        </w:rPr>
        <w:t>. The Company and each Purchaser acknowledge that one or more filings under the HSR Act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antitrust laws may be necessary in connection with the issuance of Common Stock upon conversion of the Series B Convertible Preferred Stock or the Warrants. The Purchaser will promptly notify the Company if any such filing is required and, to the extent reasonably requested by such Purchaser, the Company and such Purchaser will use all reasonable efforts to cooperate in timely making or causing to be made all applications and filings under the HSR Act or any other antitrust requirements in connection with the issuance of Common Stock upon conversion of the Series B Convertible Preferred Stock or Warrants held by such Purchaser in a timely manner and as required by the law of the applicable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this Agreement to the contrary, the Company shall not have any responsibility or liability for failure of any Purchaser or any of its Affiliates to comply with any such applicable law. For as long as there are Series B Convertible Preferred Stock or Warrants outstanding and owned by a Purchaser, the Company shall as promptly as reasonably practicable provide (no more than four (4) times per calendar year) such information regarding the Company and its Subsidiaries as such Person may reasonably request in order to determine what antitrust or foreign investment requirements may exist with respect to any potential conversion of the Series B Convertible Preferred Stock or Warrants. The Purchaser shall be responsible for the payment of the filing fees associated with any such applications or filings.</w:t>
      </w:r>
    </w:p>
    <w:p>
      <w:pPr>
        <w:spacing w:after="0" w:line="1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b w:val="1"/>
          <w:bCs w:val="1"/>
          <w:u w:val="single" w:color="auto"/>
          <w:color w:val="auto"/>
        </w:rPr>
        <w:t>Use of Proceeds; Amended &amp; Restated Credit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hanging="244"/>
        <w:spacing w:after="0"/>
        <w:tabs>
          <w:tab w:leader="none" w:pos="12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use the proceeds of the offering of the Purchased Securities for one or more of the following purposes:</w:t>
      </w:r>
    </w:p>
    <w:p>
      <w:pPr>
        <w:spacing w:after="0" w:line="27" w:lineRule="exact"/>
        <w:rPr>
          <w:rFonts w:ascii="Times New Roman" w:cs="Times New Roman" w:eastAsia="Times New Roman" w:hAnsi="Times New Roman"/>
          <w:sz w:val="18"/>
          <w:szCs w:val="18"/>
          <w:color w:val="auto"/>
        </w:rPr>
      </w:pPr>
    </w:p>
    <w:p>
      <w:pPr>
        <w:ind w:right="100" w:firstLine="4"/>
        <w:spacing w:after="0" w:line="252" w:lineRule="auto"/>
        <w:tabs>
          <w:tab w:leader="none" w:pos="2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all or a part of the Revolving Credit Loans (as defined in the Amended and Restated Credit Agreement); (ii) prepay Term Loans (as defined in the Amended and Restated Credit Agreement) in accordance with the Amended and Restated Credit Agreement; (iii) pay consent, amendment, solicitation, arrangement and other fees (to market or otherwise) and expenses in connection with the extension of the Maturity Date (as defined in the Amended and Restated Credit Agreement and any other amendment to the Amended and Restated Credit Agreement); (iv) pay any fees, costs and expenses (including fees and disbursements of the Agent, counsel, financial advisors and accountants) incurred in connection with clauses (i) and (ii) above and in connection with any amendment to the Amended and Restated Credit Agreement (including the extension of any Maturity Date thereunder), (v) pay any fees and expenses in connection with the transactions contemplated by this Agreement and (vi) with respect to any remaining proceeds after giving effect to clauses (i) through (v), for the Company’s working capital and other general corporate purposes.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82" w:name="page83"/>
    <w:bookmarkEnd w:id="82"/>
    <w:p>
      <w:pPr>
        <w:ind w:right="300" w:firstLine="996"/>
        <w:spacing w:after="0" w:line="282" w:lineRule="auto"/>
        <w:tabs>
          <w:tab w:leader="none" w:pos="124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use its reasonable best efforts to amend and extend the Amended and Restated Credit Agreement (including the extension of any Maturity Date thereunder) as soon as practicable after Closing.</w:t>
      </w:r>
    </w:p>
    <w:p>
      <w:pPr>
        <w:spacing w:after="0" w:line="158" w:lineRule="exact"/>
        <w:rPr>
          <w:sz w:val="20"/>
          <w:szCs w:val="20"/>
          <w:color w:val="auto"/>
        </w:rPr>
      </w:pPr>
    </w:p>
    <w:p>
      <w:pPr>
        <w:ind w:right="100" w:firstLine="99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b w:val="1"/>
          <w:bCs w:val="1"/>
          <w:u w:val="single" w:color="auto"/>
          <w:color w:val="auto"/>
        </w:rPr>
        <w:t>Subsequent Equity Sales</w:t>
      </w:r>
      <w:r>
        <w:rPr>
          <w:rFonts w:ascii="Times New Roman" w:cs="Times New Roman" w:eastAsia="Times New Roman" w:hAnsi="Times New Roman"/>
          <w:sz w:val="18"/>
          <w:szCs w:val="18"/>
          <w:color w:val="auto"/>
        </w:rPr>
        <w:t>. The Company shall not, and shall use its commercially reasonable efforts to ensure that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of the Company shall, sell, offer for sale or solicit offers to buy or otherwise negotiate in respect of any security (as defined in Section 2 of the Securities Act) that will be integrated with the offer or sale of the Purchased Securities in a manner that would require the registration under the Securities Act of the sale of the Purchased Securities to the Purchasers, or that will be integrated with the offer or sale of the Purchased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6"/>
        <w:spacing w:after="0" w:line="252" w:lineRule="auto"/>
        <w:tabs>
          <w:tab w:leader="none" w:pos="12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include in its proxy statement prepared and filed with the Commission (the “</w:t>
      </w:r>
      <w:r>
        <w:rPr>
          <w:rFonts w:ascii="Times New Roman" w:cs="Times New Roman" w:eastAsia="Times New Roman" w:hAnsi="Times New Roman"/>
          <w:sz w:val="18"/>
          <w:szCs w:val="18"/>
          <w:b w:val="1"/>
          <w:bCs w:val="1"/>
          <w:u w:val="single" w:color="auto"/>
          <w:color w:val="auto"/>
        </w:rPr>
        <w:t>Proxy Statement</w:t>
      </w:r>
      <w:r>
        <w:rPr>
          <w:rFonts w:ascii="Times New Roman" w:cs="Times New Roman" w:eastAsia="Times New Roman" w:hAnsi="Times New Roman"/>
          <w:sz w:val="18"/>
          <w:szCs w:val="18"/>
          <w:color w:val="auto"/>
        </w:rPr>
        <w:t>”) for the 2020 annual meeting of the stockholders of the Company (the “</w:t>
      </w:r>
      <w:r>
        <w:rPr>
          <w:rFonts w:ascii="Times New Roman" w:cs="Times New Roman" w:eastAsia="Times New Roman" w:hAnsi="Times New Roman"/>
          <w:sz w:val="18"/>
          <w:szCs w:val="18"/>
          <w:b w:val="1"/>
          <w:bCs w:val="1"/>
          <w:u w:val="single" w:color="auto"/>
          <w:color w:val="auto"/>
        </w:rPr>
        <w:t>2020 Stockholder Meeting</w:t>
      </w:r>
      <w:r>
        <w:rPr>
          <w:rFonts w:ascii="Times New Roman" w:cs="Times New Roman" w:eastAsia="Times New Roman" w:hAnsi="Times New Roman"/>
          <w:sz w:val="18"/>
          <w:szCs w:val="18"/>
          <w:color w:val="auto"/>
        </w:rPr>
        <w:t>”) a proposal for approval by the holders of Common Stock that is required under the listing standards of NASDAQ (and any successor thereto and any other trading market on which the Common Stock is listed), including NASDAQ Stock Market Rule 5635(b) and Rule 5635(d), to approve the issuance of Common Stock in excess of the thresholds set forth in such rules upon exercise of the Warrants or conversion or redemption of the Series B Convertible Preferred Stock of the Company issued to Purchasers pursuant to this Agreement (the “</w:t>
      </w: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color w:val="auto"/>
        </w:rPr>
        <w:t>”). Subject to the directors’ fiduciary duties, the Proxy Statement shall include the recommendation from the Board of Directors that the stockholders vote in favor of the Stockholder Approval. The Company shall use its reasonable best efforts to solicit from the stockholders proxies in favor of the Stockholder Approval and to obtain the Stockholder Approval. Each Purchaser acknowledges that no votes of the shares of Series B Convertible Preferred Stock sold and issued will be counted toward the Stockholder Approval in compliance with NASDAQ Stock Market Rule 5635. Each Purchaser agrees with the Company (but not with each other) that it shall vote or cause to be voted any shares of Common Stock over which it has voting power as of the record date of such annual meeting in favor of the Stockholder Approval. Each Purchaser and its Affiliates agree to furnish to the Company all information concerning such Purchaser and its Affiliates as the Company may reasonably request in connection with the preparation and filing of the Proxy Statement and any such annual meeting of the stockholders of the Company. The Company shall respond reasonably promptly to any comments received from the Commission with respect to the Proxy Statement. The Company shall provide to each Purchaser, as promptly as reasonably practicable after receipt thereof, any written comments from the Commission or any written request from the Commission or its staff for amendments or supplements to the Proxy Statement and shall provide each Purchaser with copies of all correspondence between the Company, on the one hand, and the Commission and its staff, on the other hand, relating to the Proxy Statement. Notwithstanding anything to the contrary stated above, prior to filing or mailing the Proxy Statement (or, in each case, any amendment or supplement thereto) or responding to any comments of the Commission or its staff with respect thereto, the Company shall provide the Purchasers with a reasonable opportunity to review and comment on such document or response.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83" w:name="page84"/>
    <w:bookmarkEnd w:id="83"/>
    <w:p>
      <w:pPr>
        <w:ind w:right="200" w:firstLine="996"/>
        <w:spacing w:after="0" w:line="261" w:lineRule="auto"/>
        <w:tabs>
          <w:tab w:leader="none" w:pos="12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Stockholder Approval is not obtained at the 2020 Stockholder Meeting, or an adjournment or postponement thereof, then the Company agrees to submit the Stockholder Approval to its stockholders at each subsequent annual meetings of the stockholders of the Company until the earliest to occur of: (i) the Stockholder Approval; or (ii) the 2024 annual meeting of the stockholders of the Company (or an adjournment or postponement thereof).</w:t>
      </w:r>
    </w:p>
    <w:p>
      <w:pPr>
        <w:spacing w:after="0" w:line="71" w:lineRule="exact"/>
        <w:rPr>
          <w:rFonts w:ascii="Times New Roman" w:cs="Times New Roman" w:eastAsia="Times New Roman" w:hAnsi="Times New Roman"/>
          <w:sz w:val="18"/>
          <w:szCs w:val="18"/>
          <w:color w:val="auto"/>
        </w:rPr>
      </w:pPr>
    </w:p>
    <w:p>
      <w:pPr>
        <w:ind w:right="80" w:firstLine="996"/>
        <w:spacing w:after="0" w:line="261" w:lineRule="auto"/>
        <w:tabs>
          <w:tab w:leader="none" w:pos="12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commercially reasonable efforts to increase the number of authorized shares of Common Stock at the Company’s 2023 annual meeting of stockholders (or in any event, no later than June 30, 2023), if any shares of Series B Convertible Preferred Stock or Warrants are then outstanding, and shall adopt and submit and recommend to the stockholders for approval at such annual meeting of stockholders an amendment to the Company’s certificate of incorporation to such effect.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b w:val="1"/>
          <w:bCs w:val="1"/>
          <w:u w:val="single" w:color="auto"/>
          <w:color w:val="auto"/>
        </w:rPr>
        <w:t>Consent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96"/>
        <w:spacing w:after="0" w:line="266" w:lineRule="auto"/>
        <w:tabs>
          <w:tab w:leader="none" w:pos="123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Series B Convertible Preferred Stock remains outstanding, the Company shall not consummate an agreement that provides for a transaction that constitutes a Change of Control, or otherwise effect a Change of Control, other than (i) a Change of Control not approved by the Board of Directors prior to the consummation thereof or (ii) a Qualifying Transaction.</w:t>
      </w:r>
    </w:p>
    <w:p>
      <w:pPr>
        <w:spacing w:after="0" w:line="68" w:lineRule="exact"/>
        <w:rPr>
          <w:rFonts w:ascii="Times New Roman" w:cs="Times New Roman" w:eastAsia="Times New Roman" w:hAnsi="Times New Roman"/>
          <w:sz w:val="18"/>
          <w:szCs w:val="18"/>
          <w:color w:val="auto"/>
        </w:rPr>
      </w:pPr>
    </w:p>
    <w:p>
      <w:pPr>
        <w:ind w:right="20" w:firstLine="996"/>
        <w:spacing w:after="0" w:line="266" w:lineRule="auto"/>
        <w:tabs>
          <w:tab w:leader="none" w:pos="12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of the actions set forth in Section 5, clauses (i) through (v) of Section 6.2 and Section 11, respectively, of the Certificate of Designation without the prior consent of each Purchaser to this Agreement so long as such Purchaser continues to satisfy the Minimum Ownership Requirement.</w:t>
      </w:r>
    </w:p>
    <w:p>
      <w:pPr>
        <w:spacing w:after="0" w:line="172" w:lineRule="exact"/>
        <w:rPr>
          <w:sz w:val="20"/>
          <w:szCs w:val="20"/>
          <w:color w:val="auto"/>
        </w:rPr>
      </w:pPr>
    </w:p>
    <w:p>
      <w:pPr>
        <w:ind w:right="30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b w:val="1"/>
          <w:bCs w:val="1"/>
          <w:u w:val="single" w:color="auto"/>
          <w:color w:val="auto"/>
        </w:rPr>
        <w:t>Qualifying Transactions</w:t>
      </w:r>
      <w:r>
        <w:rPr>
          <w:rFonts w:ascii="Times New Roman" w:cs="Times New Roman" w:eastAsia="Times New Roman" w:hAnsi="Times New Roman"/>
          <w:sz w:val="18"/>
          <w:szCs w:val="18"/>
          <w:color w:val="auto"/>
        </w:rPr>
        <w:t>. Each Purchaser hereby agrees with the Company (but not with each other) during such time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Purchaser holds Series B Convertible Preferred Stock as follows:</w:t>
      </w:r>
    </w:p>
    <w:p>
      <w:pPr>
        <w:spacing w:after="0" w:line="51" w:lineRule="exact"/>
        <w:rPr>
          <w:sz w:val="20"/>
          <w:szCs w:val="20"/>
          <w:color w:val="auto"/>
        </w:rPr>
      </w:pPr>
    </w:p>
    <w:p>
      <w:pPr>
        <w:ind w:firstLine="996"/>
        <w:spacing w:after="0" w:line="253" w:lineRule="auto"/>
        <w:tabs>
          <w:tab w:leader="none" w:pos="12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Qualifying Transaction approved by the Board of Directors for which a meeting of any stockholders of the Company is called (and at every adjournment or postponement thereof) or for which action or approval by written consent of stockholders of the Company is requested, each Purchaser shall, and shall cause the holder of record of any Series B Convertible Preferred Stock beneficially owned by such Purchaser on any applicable record date to, vote all such Series B Convertible Preferred Stock beneficially owned by such Purchaser on any applicable record date, to the extent such Series B Convertible Preferred Stock are entitled to be voted, (i) in favor of the approval and adoption of such Qualifying Transaction and (ii) in opposition to any action that is intended, or would reasonably be expected, to impede, delay or adversely affect a Qualifying Transaction. Solely in connection with the preceding sentence of this Section 5.07(a), in the event that a meeting of stockholders of the Company is held for the purposes of approving a Qualifying Transaction, and only so long as each Purchaser holds Series B Convertible Preferred Stock, each Purchaser shall appear at such meeting (and at every adjournment or postponement thereof) or otherwise cause all such Series B Convertible Preferred Stock beneficially owned by such Purchaser on any applicable record date to be counted as present thereat for purposes of establishing a quorum.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84" w:name="page85"/>
    <w:bookmarkEnd w:id="84"/>
    <w:p>
      <w:pPr>
        <w:ind w:right="660" w:firstLine="996"/>
        <w:spacing w:after="0" w:line="282" w:lineRule="auto"/>
        <w:tabs>
          <w:tab w:leader="none" w:pos="12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Purchaser shall not, and shall cause each of its Affiliates holding Series B Convertible Preferred Stock not to, directly or indirectly, with respect to any Qualifying Transaction:</w:t>
      </w:r>
    </w:p>
    <w:p>
      <w:pPr>
        <w:spacing w:after="0" w:line="53" w:lineRule="exact"/>
        <w:rPr>
          <w:rFonts w:ascii="Times New Roman" w:cs="Times New Roman" w:eastAsia="Times New Roman" w:hAnsi="Times New Roman"/>
          <w:sz w:val="18"/>
          <w:szCs w:val="18"/>
          <w:color w:val="auto"/>
        </w:rPr>
      </w:pPr>
    </w:p>
    <w:p>
      <w:pPr>
        <w:ind w:left="1620" w:hanging="223"/>
        <w:spacing w:after="0"/>
        <w:tabs>
          <w:tab w:leader="none" w:pos="162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Series B Convertible Preferred Stock in a voting trust;</w:t>
      </w:r>
    </w:p>
    <w:p>
      <w:pPr>
        <w:spacing w:after="0" w:line="117" w:lineRule="exact"/>
        <w:rPr>
          <w:rFonts w:ascii="Times New Roman" w:cs="Times New Roman" w:eastAsia="Times New Roman" w:hAnsi="Times New Roman"/>
          <w:sz w:val="18"/>
          <w:szCs w:val="18"/>
          <w:color w:val="auto"/>
        </w:rPr>
      </w:pPr>
    </w:p>
    <w:p>
      <w:pPr>
        <w:ind w:left="1660" w:hanging="263"/>
        <w:spacing w:after="0"/>
        <w:tabs>
          <w:tab w:leader="none" w:pos="16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proxies with respect to any Series B Convertible Preferred Stock; or</w:t>
      </w:r>
    </w:p>
    <w:p>
      <w:pPr>
        <w:spacing w:after="0" w:line="117" w:lineRule="exact"/>
        <w:rPr>
          <w:rFonts w:ascii="Times New Roman" w:cs="Times New Roman" w:eastAsia="Times New Roman" w:hAnsi="Times New Roman"/>
          <w:sz w:val="18"/>
          <w:szCs w:val="18"/>
          <w:color w:val="auto"/>
        </w:rPr>
      </w:pPr>
    </w:p>
    <w:p>
      <w:pPr>
        <w:ind w:left="1000" w:right="100" w:firstLine="397"/>
        <w:spacing w:after="0" w:line="282" w:lineRule="auto"/>
        <w:tabs>
          <w:tab w:leader="none" w:pos="171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Series B Convertible Preferred Stock to any arrangement with respect to the voting thereof, in each case, other than voting trusts with, proxies to or agreements entered into with the Company.</w:t>
      </w:r>
    </w:p>
    <w:p>
      <w:pPr>
        <w:spacing w:after="0" w:line="53" w:lineRule="exact"/>
        <w:rPr>
          <w:rFonts w:ascii="Times New Roman" w:cs="Times New Roman" w:eastAsia="Times New Roman" w:hAnsi="Times New Roman"/>
          <w:sz w:val="18"/>
          <w:szCs w:val="18"/>
          <w:color w:val="auto"/>
        </w:rPr>
      </w:pPr>
    </w:p>
    <w:p>
      <w:pPr>
        <w:ind w:right="260" w:firstLine="996"/>
        <w:spacing w:after="0" w:line="282" w:lineRule="auto"/>
        <w:tabs>
          <w:tab w:leader="none" w:pos="123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waives, and agrees not to assert or perfect, any rights of appraisal or rights to dissent from a Qualifying Transaction that such Purchaser may have by virtue of ownership of such Series B Convertible Preferred Stock.</w:t>
      </w:r>
    </w:p>
    <w:p>
      <w:pPr>
        <w:spacing w:after="0" w:line="53" w:lineRule="exact"/>
        <w:rPr>
          <w:rFonts w:ascii="Times New Roman" w:cs="Times New Roman" w:eastAsia="Times New Roman" w:hAnsi="Times New Roman"/>
          <w:sz w:val="18"/>
          <w:szCs w:val="18"/>
          <w:color w:val="auto"/>
        </w:rPr>
      </w:pPr>
    </w:p>
    <w:p>
      <w:pPr>
        <w:ind w:right="60" w:firstLine="996"/>
        <w:spacing w:after="0" w:line="254" w:lineRule="auto"/>
        <w:tabs>
          <w:tab w:leader="none" w:pos="124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tender (and shall not withdraw), or cause to be tendered (and not withdrawn), if there is a Qualifying Transaction that is a tender or exchange offer for Company Common Stock and Series B Convertible Preferred Stock, all Series B Convertible Preferred Stock beneficially owned by such Purchaser into any exchange offer or offer to purchase such Series B Convertible Preferred Stock by any Person in connection with such Qualifying Transaction, conditioned on and subject to the completion of such Qualifying Transaction (any such offer, a “</w:t>
      </w:r>
      <w:r>
        <w:rPr>
          <w:rFonts w:ascii="Times New Roman" w:cs="Times New Roman" w:eastAsia="Times New Roman" w:hAnsi="Times New Roman"/>
          <w:sz w:val="18"/>
          <w:szCs w:val="18"/>
          <w:b w:val="1"/>
          <w:bCs w:val="1"/>
          <w:u w:val="single" w:color="auto"/>
          <w:color w:val="auto"/>
        </w:rPr>
        <w:t>Qualifying Tender/Exchange Offer</w:t>
      </w:r>
      <w:r>
        <w:rPr>
          <w:rFonts w:ascii="Times New Roman" w:cs="Times New Roman" w:eastAsia="Times New Roman" w:hAnsi="Times New Roman"/>
          <w:sz w:val="18"/>
          <w:szCs w:val="18"/>
          <w:color w:val="auto"/>
        </w:rPr>
        <w:t>”). During any period in which such Purchaser holds Series B Convertible Preferred Stock, no later than two</w:t>
      </w:r>
    </w:p>
    <w:p>
      <w:pPr>
        <w:spacing w:after="0" w:line="3" w:lineRule="exact"/>
        <w:rPr>
          <w:rFonts w:ascii="Times New Roman" w:cs="Times New Roman" w:eastAsia="Times New Roman" w:hAnsi="Times New Roman"/>
          <w:sz w:val="18"/>
          <w:szCs w:val="18"/>
          <w:color w:val="auto"/>
        </w:rPr>
      </w:pPr>
    </w:p>
    <w:p>
      <w:pPr>
        <w:ind w:left="260" w:hanging="256"/>
        <w:spacing w:after="0"/>
        <w:tabs>
          <w:tab w:leader="none" w:pos="2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expiration date of any such Qualifying Tender/Exchange Offer, such Purchaser shall (i) deliver to the depositary</w:t>
      </w:r>
    </w:p>
    <w:p>
      <w:pPr>
        <w:spacing w:after="0" w:line="9"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in the Qualifying Tender/Exchange Offer all documents or instruments required to be delivered pursuant to the terms of the Qualifying Tender/Exchange Offer and Section 14d-2 of the Exchange Act, and/or (b) instruct its broker or such other person that is the holder of record of any Series B Convertible Preferred Stock beneficially owned by the Purchaser to tender such Series B Convertible Preferred Stock pursuant to the terms and conditions of the Qualifying Return Tender/Exchange Offer.</w:t>
      </w:r>
    </w:p>
    <w:p>
      <w:pPr>
        <w:spacing w:after="0" w:line="77" w:lineRule="exact"/>
        <w:rPr>
          <w:rFonts w:ascii="Times New Roman" w:cs="Times New Roman" w:eastAsia="Times New Roman" w:hAnsi="Times New Roman"/>
          <w:sz w:val="18"/>
          <w:szCs w:val="18"/>
          <w:color w:val="auto"/>
        </w:rPr>
      </w:pPr>
    </w:p>
    <w:p>
      <w:pPr>
        <w:ind w:right="120" w:firstLine="996"/>
        <w:spacing w:after="0" w:line="266" w:lineRule="auto"/>
        <w:tabs>
          <w:tab w:leader="none" w:pos="123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5.07 shall apply only to the Series B Convertible Preferred Stock and shall not apply to the Warrants or shares issued upon exercise of the Warrants or any other shares of Common Stock or other securities issued by the Company held by such Purchaser (including derivatives with a value tied to the Common Stock or such other securities).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85" w:name="page86"/>
    <w:bookmarkEnd w:id="85"/>
    <w:p>
      <w:pPr>
        <w:ind w:firstLine="992"/>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5.08 </w:t>
      </w:r>
      <w:r>
        <w:rPr>
          <w:rFonts w:ascii="Times New Roman" w:cs="Times New Roman" w:eastAsia="Times New Roman" w:hAnsi="Times New Roman"/>
          <w:sz w:val="18"/>
          <w:szCs w:val="18"/>
          <w:b w:val="1"/>
          <w:bCs w:val="1"/>
          <w:u w:val="single" w:color="auto"/>
          <w:color w:val="auto"/>
        </w:rPr>
        <w:t>Removal of Legend</w:t>
      </w:r>
      <w:r>
        <w:rPr>
          <w:rFonts w:ascii="Times New Roman" w:cs="Times New Roman" w:eastAsia="Times New Roman" w:hAnsi="Times New Roman"/>
          <w:sz w:val="18"/>
          <w:szCs w:val="18"/>
          <w:color w:val="auto"/>
        </w:rPr>
        <w:t>. In connection with a sale of Purchased Securities or Underlying Shares by a Purchaser in reliance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144 promulgated under the Securities Act, the applicable Purchaser or its broker shall deliver to the Company a broker representation letter reasonably acceptable to the Company and its transfer agent, providing to the Company the information required under Rule 144 to determine that the sale of such Purchased Securities is made in compliance with Rule 144 promulgated under the Securities Act, including, as may be appropriate, a certification that the Purchaser is not an affiliate of the Company (as defined in Rule 144 promulgated under the Securities Act) and a certification as to the length of time that such securities have been held. Upon receipt of such representation letter, the Company shall promptly remove the notation of a restrictive legend in such Purchaser’s book-entry account maintained by the Company, including the legend referred to in Section 4.05(d), and the Company shall bear all costs associated with the removal of such legend in the Company’s books. At such time as the Purchased Securities or Underlying Shares (as applicable) have been sold pursuant to an effective registration statement under the Securities Act or have been held by any Purchaser for more than one year where such Purchaser is not, and has not been in the preceding three months, an affiliate of the Company (as defined in Rule 144 promulgated under the Securities Act) or acting in concert with such a Person, if the book-entry account of such Purchaser still bears the notation of the restrictive legend referred to in Section 4.05, the Company agrees, upon request of the Purchaser or its permitted assignee, to take all steps necessary to promptly effect the removal of the legend described in Section 4.05, and the Company shall bear all costs associated with the removal of such legend in the Company’s books, regardless of whether the request is made in connection with a sale or otherwise, so long as such Purchaser or its permitted assignee provides to the Company the information required under Rule 144 (or other applicable exemptions) to determine that the legend is no longer required under the Securities Act or applicable state Laws, including (if there is no such registration statement) a certification that the holder is not an affiliate of the Company (as defined in Rule 144 promulgated under the Securities Act), a covenant to inform the Company if it should thereafter become an affiliate (as defined in Rule 144 promulgated under the Securities Act) and to consent to the notation of an appropriate restriction, and a certification as to the length of time such securities have been held. The Company shall cooperate with each Purchaser to effect the removal of the legend referred to in Section 4.05 at any time such legend is no longer appropriate.</w:t>
      </w:r>
    </w:p>
    <w:p>
      <w:pPr>
        <w:spacing w:after="0" w:line="1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6"/>
        <w:spacing w:after="0" w:line="255" w:lineRule="auto"/>
        <w:tabs>
          <w:tab w:leader="none" w:pos="12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Subject to the following sentence in this Section 5.09(a), the Company may deduct and withhold any 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amounts required to be withheld with respect to the Purchased Securities and may set off any such amounts required to be withheld against payments (whether made in cash or other property) on the Purchased Securities. Notwithstanding the foregoing, the Company may only set off 35% of the amount of any Dividend Withholding Taxes imposed on (x) constructive dividends accreted pursuant to clause (a)(iii) of the tax treatment paragraph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and (y) actual cash dividends declared and paid pursuant to Section 3 of the Certificate of Designation against payments (whether made in cash or other property) on the Purchased Securities (including dividends on, payments made in redemption of or issuances upon conversion of the Purchased Preferred Stock) and the Company shall bear the remaining 65% of such Dividend Withholding Taxes (and any Dividend Withholding Taxes or other withholding taxes imposed under Section 1441 or 1442 of the Code on amounts borne by the Company on behalf of a holder pursuant to this Section 5.09(a)).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86" w:name="page87"/>
    <w:bookmarkEnd w:id="86"/>
    <w:p>
      <w:pPr>
        <w:ind w:right="660" w:firstLine="996"/>
        <w:spacing w:after="0" w:line="286" w:lineRule="auto"/>
        <w:tabs>
          <w:tab w:leader="none" w:pos="12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Price Allocation.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Purchaser and the Company agree to allocate the Total Purchase Price among the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as follows for U.S. federal income Tax purposes as provided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attached hereto.</w:t>
      </w:r>
    </w:p>
    <w:p>
      <w:pPr>
        <w:spacing w:after="0" w:line="46" w:lineRule="exact"/>
        <w:rPr>
          <w:rFonts w:ascii="Times New Roman" w:cs="Times New Roman" w:eastAsia="Times New Roman" w:hAnsi="Times New Roman"/>
          <w:sz w:val="18"/>
          <w:szCs w:val="18"/>
          <w:color w:val="auto"/>
        </w:rPr>
      </w:pPr>
    </w:p>
    <w:p>
      <w:pPr>
        <w:ind w:left="1240" w:hanging="244"/>
        <w:spacing w:after="0"/>
        <w:tabs>
          <w:tab w:leader="none" w:pos="1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Purchaser and the Company has agreed to the tax treatment principles as provided in</w:t>
      </w:r>
      <w:r>
        <w:rPr>
          <w:rFonts w:ascii="Times New Roman" w:cs="Times New Roman" w:eastAsia="Times New Roman" w:hAnsi="Times New Roman"/>
          <w:sz w:val="18"/>
          <w:szCs w:val="18"/>
          <w:b w:val="1"/>
          <w:bCs w:val="1"/>
          <w:color w:val="auto"/>
        </w:rPr>
        <w:t xml:space="preserve"> Exhibit D </w:t>
      </w:r>
      <w:r>
        <w:rPr>
          <w:rFonts w:ascii="Times New Roman" w:cs="Times New Roman" w:eastAsia="Times New Roman" w:hAnsi="Times New Roman"/>
          <w:sz w:val="18"/>
          <w:szCs w:val="18"/>
          <w:color w:val="auto"/>
        </w:rPr>
        <w:t>attached hereto.</w:t>
      </w:r>
    </w:p>
    <w:p>
      <w:pPr>
        <w:spacing w:after="0" w:line="117" w:lineRule="exact"/>
        <w:rPr>
          <w:rFonts w:ascii="Times New Roman" w:cs="Times New Roman" w:eastAsia="Times New Roman" w:hAnsi="Times New Roman"/>
          <w:sz w:val="18"/>
          <w:szCs w:val="18"/>
          <w:color w:val="auto"/>
        </w:rPr>
      </w:pPr>
    </w:p>
    <w:p>
      <w:pPr>
        <w:ind w:firstLine="996"/>
        <w:spacing w:after="0" w:line="259" w:lineRule="auto"/>
        <w:tabs>
          <w:tab w:leader="none" w:pos="12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Delayed Redemption</w:t>
      </w:r>
      <w:r>
        <w:rPr>
          <w:rFonts w:ascii="Times New Roman" w:cs="Times New Roman" w:eastAsia="Times New Roman" w:hAnsi="Times New Roman"/>
          <w:sz w:val="18"/>
          <w:szCs w:val="18"/>
          <w:color w:val="auto"/>
        </w:rPr>
        <w:t>. If the Company (i) fails to redeem the Purchased Preferred Stock on or before December 31, 2020, (ii) at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determines that a subsequent redemption date is more likely than not to occur and (iii) thereafter accretes additional constructive distributions under Section 305(c) of the Code and Treasury Regulation Section 1.305-5, the Company shall gross up the Purchasers for all Dividend Withholding Taxes incurred on or after January 1, 2021 as a result of such additional constructive distributions, such that the Purchasers would receive the same amounts they would have received from the Company had no such Dividend Withholding Taxes been incurred.</w:t>
      </w:r>
    </w:p>
    <w:p>
      <w:pPr>
        <w:spacing w:after="0" w:line="180" w:lineRule="exact"/>
        <w:rPr>
          <w:sz w:val="20"/>
          <w:szCs w:val="20"/>
          <w:color w:val="auto"/>
        </w:rPr>
      </w:pPr>
    </w:p>
    <w:p>
      <w:pPr>
        <w:ind w:right="80" w:firstLine="992"/>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5.10 </w:t>
      </w:r>
      <w:r>
        <w:rPr>
          <w:rFonts w:ascii="Times New Roman" w:cs="Times New Roman" w:eastAsia="Times New Roman" w:hAnsi="Times New Roman"/>
          <w:sz w:val="17"/>
          <w:szCs w:val="17"/>
          <w:b w:val="1"/>
          <w:bCs w:val="1"/>
          <w:u w:val="single" w:color="auto"/>
          <w:color w:val="auto"/>
        </w:rPr>
        <w:t>Listing; SEC Compliance</w:t>
      </w:r>
      <w:r>
        <w:rPr>
          <w:rFonts w:ascii="Times New Roman" w:cs="Times New Roman" w:eastAsia="Times New Roman" w:hAnsi="Times New Roman"/>
          <w:sz w:val="17"/>
          <w:szCs w:val="17"/>
          <w:color w:val="auto"/>
        </w:rPr>
        <w:t>. The Company shall use its reasonable best efforts to maintain the listing of all of the Underlying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upon each national securities exchange and automated quotation system, if any, upon which shares of Common Stock are then listed (subject to official notice of issuance) and shall maintain, so long as any other shares of Common Stock shall be so listed, such listing of the Underlying Shares.</w:t>
      </w:r>
    </w:p>
    <w:p>
      <w:pPr>
        <w:spacing w:after="0" w:line="153" w:lineRule="exact"/>
        <w:rPr>
          <w:sz w:val="20"/>
          <w:szCs w:val="20"/>
          <w:color w:val="auto"/>
        </w:rPr>
      </w:pPr>
    </w:p>
    <w:p>
      <w:pPr>
        <w:ind w:right="40"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Dividend Blockers</w:t>
      </w:r>
      <w:r>
        <w:rPr>
          <w:rFonts w:ascii="Times New Roman" w:cs="Times New Roman" w:eastAsia="Times New Roman" w:hAnsi="Times New Roman"/>
          <w:sz w:val="18"/>
          <w:szCs w:val="18"/>
          <w:color w:val="auto"/>
        </w:rPr>
        <w:t>. As long as the Purchasers continue to beneficially own at all times shares of Series B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with an aggregate liquidation preference of at least $15 million, the Company shall not enter into any instrument or agreement that includes a provision that restricts the Company and its Subsidiaries from paying dividends or other distributions on the capital stock of any subsidiary in a manner that is, on the whole, more restrictive than the restrictions as of the date hereof set forth in Section 7.09 of the Amended and Restated Credit Agreement.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 COSTS AND EXPENSES</w:t>
      </w:r>
    </w:p>
    <w:p>
      <w:pPr>
        <w:spacing w:after="0" w:line="203" w:lineRule="exact"/>
        <w:rPr>
          <w:sz w:val="20"/>
          <w:szCs w:val="20"/>
          <w:color w:val="auto"/>
        </w:rPr>
      </w:pPr>
    </w:p>
    <w:p>
      <w:pPr>
        <w:ind w:right="40" w:firstLine="99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Indemnification by the Company</w:t>
      </w:r>
      <w:r>
        <w:rPr>
          <w:rFonts w:ascii="Times New Roman" w:cs="Times New Roman" w:eastAsia="Times New Roman" w:hAnsi="Times New Roman"/>
          <w:sz w:val="18"/>
          <w:szCs w:val="18"/>
          <w:color w:val="auto"/>
        </w:rPr>
        <w:t>. The Company agrees to indemnify each Purchaser and its Representatives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 Related Parties</w:t>
      </w:r>
      <w:r>
        <w:rPr>
          <w:rFonts w:ascii="Times New Roman" w:cs="Times New Roman" w:eastAsia="Times New Roman" w:hAnsi="Times New Roman"/>
          <w:sz w:val="18"/>
          <w:szCs w:val="18"/>
          <w:color w:val="auto"/>
        </w:rPr>
        <w:t>”) from costs, losses, liabilities, damages or expenses of any kind or nature whatsoever, and hold each of them harmless against, any and all actions, suits, proceedings (including any investigations, litigation or inquiries), demands and causes of action, and, in connection therewith, promptly upon demand, pay or reimburse each of them for all costs, losses, liabilities, damages, or expenses of any kind or nature whatsoever (including the reasonable fees and disbursements of counsel and all other reasonable expenses incurred in connection with investigating, defending or preparing to defend any such matter that may be incurred by them or asserted against or involve any of them), whether or not involving a Third-Party Claim, as a result of or arising out of (a) the failure of any of the representations or warranties made by the Company contained herein to be true and correct in all material respects (other than those representations and warranties contained in Section 3.01, Section 3.02, Section 3.04, Section 3.09. Section 3.10, Section 3.13(a)(i) and (b)(i), Section 3.14, Section 3.16, Section 3.17, Section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87" w:name="page88"/>
    <w:bookmarkEnd w:id="8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3.26 or Section 3.32 or other representations and warranties that are qualified by materiality or Material Adverse Effect, which, in each case, shall be true and correct in all respects) when made and as of the Closing Date (except for any representations and warranties made as of a specific date, which shall be required to be true and correct as of such date only) or (b) the breach in any material respect of any covenants of the Company contained herein;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the immediately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claim for indemnification is made prior to the expiration of the survival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representation or warranty;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determining when an indemnification claim has been made, the date upon which a Purchaser Related Party shall have given notice (stating in reasonable detail the basis of the claim for indemnification) to the Company shall constitute the date upon which such claim has been made;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liability of the Company to each Purchaser pursuant to this Section 6.01 shall not be greater in amount than such Purchaser’s Allocated Purchase Price, and the aggregate liability of the Company to all Purchasers pursuant to this Section 6.01 shall not exceed the Total Purchase Price. No Purchaser Related Party shall be entitled to recover special, indirect, incidental, consequential, exemplary, lost profits, speculative or punitive damages under this Section 6.01;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limitation shall not prevent any Purchaser Related Party from recovering under this Section 6.01 for any such damages to the extent that such damages are in the form of diminution in value or are payable to a third party in connection with any Third-Party Claims.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b w:val="1"/>
          <w:bCs w:val="1"/>
          <w:u w:val="single" w:color="auto"/>
          <w:color w:val="auto"/>
        </w:rPr>
        <w:t>Indemnification Procedures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540" w:firstLine="996"/>
        <w:spacing w:after="0" w:line="266" w:lineRule="auto"/>
        <w:tabs>
          <w:tab w:leader="none" w:pos="123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claim for indemnification for any matter not involving a Third-Party Claim may be asserted by notice to the party from whom indemnification is sought;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failure to so notify the indemnifying party shall not preclude the indemnified party from any indemnification which it may claim in accordance with this Article VI, except as otherwise provided in Section 6.01.</w:t>
      </w:r>
    </w:p>
    <w:p>
      <w:pPr>
        <w:spacing w:after="0" w:line="64" w:lineRule="exact"/>
        <w:rPr>
          <w:rFonts w:ascii="Times New Roman" w:cs="Times New Roman" w:eastAsia="Times New Roman" w:hAnsi="Times New Roman"/>
          <w:sz w:val="18"/>
          <w:szCs w:val="18"/>
          <w:color w:val="auto"/>
        </w:rPr>
      </w:pPr>
    </w:p>
    <w:p>
      <w:pPr>
        <w:ind w:firstLine="996"/>
        <w:spacing w:after="0" w:line="253" w:lineRule="auto"/>
        <w:tabs>
          <w:tab w:leader="none" w:pos="12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Purchaser Related Party (hereinafter,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has received notice of any indemnifiable claim hereunder, or the commencement of any action, suit or proceeding by a third person, which the Indemnified Party believes in good faith is an indemnifiable claim under this Agreement (each a “</w:t>
      </w:r>
      <w:r>
        <w:rPr>
          <w:rFonts w:ascii="Times New Roman" w:cs="Times New Roman" w:eastAsia="Times New Roman" w:hAnsi="Times New Roman"/>
          <w:sz w:val="18"/>
          <w:szCs w:val="18"/>
          <w:b w:val="1"/>
          <w:bCs w:val="1"/>
          <w:u w:val="single" w:color="auto"/>
          <w:color w:val="auto"/>
        </w:rPr>
        <w:t>Third-Party Claim</w:t>
      </w:r>
      <w:r>
        <w:rPr>
          <w:rFonts w:ascii="Times New Roman" w:cs="Times New Roman" w:eastAsia="Times New Roman" w:hAnsi="Times New Roman"/>
          <w:sz w:val="18"/>
          <w:szCs w:val="18"/>
          <w:color w:val="auto"/>
        </w:rPr>
        <w:t>”), the Indemnified Party shall give the indemnitor hereunder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written notice of such Third-Party Claim,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Third-Party Claim to the extent then known. The Indemnifying Party shall have the right to defend and settle, at its own expense and by its own counsel who shall be reasonably acceptable to the Indemnified Party,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88" w:name="page89"/>
    <w:bookmarkEnd w:id="8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Indemnified Party shall be entitled (i) at its expense, to participate in the defense of such asserted liability and the negotiations of the settlement thereof and (ii) if (A) the Indemnifying Party has failed to assume the defense or employ counsel reasonably acceptable to the Indemnified Party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w:t>
      </w:r>
    </w:p>
    <w:p>
      <w:pPr>
        <w:spacing w:after="0" w:line="187" w:lineRule="exact"/>
        <w:rPr>
          <w:sz w:val="20"/>
          <w:szCs w:val="20"/>
          <w:color w:val="auto"/>
        </w:rPr>
      </w:pPr>
    </w:p>
    <w:p>
      <w:pPr>
        <w:ind w:right="880" w:firstLine="99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color w:val="auto"/>
        </w:rPr>
        <w:t>. All indemnification payments under this Article VI shall be treated as adjustments to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Purchaser’s Allocated Purchase Price for Tax purposes except as otherwise required by applicable Law.</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at any time prior to the Closing:</w:t>
      </w:r>
    </w:p>
    <w:p>
      <w:pPr>
        <w:spacing w:after="0" w:line="121" w:lineRule="exact"/>
        <w:rPr>
          <w:sz w:val="20"/>
          <w:szCs w:val="20"/>
          <w:color w:val="auto"/>
        </w:rPr>
      </w:pPr>
    </w:p>
    <w:p>
      <w:pPr>
        <w:ind w:left="1240" w:hanging="244"/>
        <w:spacing w:after="0"/>
        <w:tabs>
          <w:tab w:leader="none" w:pos="1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a Purchaser, with respect to itself but not any other Purchaser;</w:t>
      </w:r>
    </w:p>
    <w:p>
      <w:pPr>
        <w:spacing w:after="0" w:line="117" w:lineRule="exact"/>
        <w:rPr>
          <w:rFonts w:ascii="Times New Roman" w:cs="Times New Roman" w:eastAsia="Times New Roman" w:hAnsi="Times New Roman"/>
          <w:sz w:val="18"/>
          <w:szCs w:val="18"/>
          <w:color w:val="auto"/>
        </w:rPr>
      </w:pPr>
    </w:p>
    <w:p>
      <w:pPr>
        <w:jc w:val="both"/>
        <w:ind w:right="100" w:firstLine="996"/>
        <w:spacing w:after="0" w:line="261" w:lineRule="auto"/>
        <w:tabs>
          <w:tab w:leader="none" w:pos="12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either the Company or a Purchaser, with respect to itself but not any other Purchaser, if any Governmental Authority with lawful jurisdiction shall have issued a final order, decree or ruling or taken any other final action restraining, enjoining or otherwise prohibiting the transactions contemplated by the Transaction Documents and such order, decree, ruling or other action is or shall have become final and non-appealable;</w:t>
      </w:r>
    </w:p>
    <w:p>
      <w:pPr>
        <w:spacing w:after="0" w:line="71" w:lineRule="exact"/>
        <w:rPr>
          <w:rFonts w:ascii="Times New Roman" w:cs="Times New Roman" w:eastAsia="Times New Roman" w:hAnsi="Times New Roman"/>
          <w:sz w:val="18"/>
          <w:szCs w:val="18"/>
          <w:color w:val="auto"/>
        </w:rPr>
      </w:pPr>
    </w:p>
    <w:p>
      <w:pPr>
        <w:jc w:val="both"/>
        <w:ind w:right="120" w:firstLine="996"/>
        <w:spacing w:after="0" w:line="266" w:lineRule="auto"/>
        <w:tabs>
          <w:tab w:leader="none" w:pos="123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either the Company or a Purchaser, with respect to itself but not any other Purchaser, if Closing does not occur by 11:59 p.m. New York time on December 31, 2019 (the “</w:t>
      </w:r>
      <w:r>
        <w:rPr>
          <w:rFonts w:ascii="Times New Roman" w:cs="Times New Roman" w:eastAsia="Times New Roman" w:hAnsi="Times New Roman"/>
          <w:sz w:val="18"/>
          <w:szCs w:val="18"/>
          <w:b w:val="1"/>
          <w:bCs w:val="1"/>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party may terminate this Agreement pursuant to this Section 7.01(c) if such party is, at the time of providing such written notice, in breach of any of its obligations under this Agreement; or</w:t>
      </w:r>
    </w:p>
    <w:p>
      <w:pPr>
        <w:spacing w:after="0" w:line="68"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no Purchased Securities remain outstanding.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89" w:name="page90"/>
    <w:bookmarkEnd w:id="89"/>
    <w:p>
      <w:pPr>
        <w:ind w:right="60" w:firstLine="992"/>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Times New Roman" w:cs="Times New Roman" w:eastAsia="Times New Roman" w:hAnsi="Times New Roman"/>
          <w:sz w:val="17"/>
          <w:szCs w:val="17"/>
          <w:b w:val="1"/>
          <w:bCs w:val="1"/>
          <w:u w:val="single" w:color="auto"/>
          <w:color w:val="auto"/>
        </w:rPr>
        <w:t>Certain Effects of Termination</w:t>
      </w:r>
      <w:r>
        <w:rPr>
          <w:rFonts w:ascii="Times New Roman" w:cs="Times New Roman" w:eastAsia="Times New Roman" w:hAnsi="Times New Roman"/>
          <w:sz w:val="17"/>
          <w:szCs w:val="17"/>
          <w:color w:val="auto"/>
        </w:rPr>
        <w:t>. In the event that this Agreement is terminated pursuant to Section 7.01,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than Article VI and Section 8.01) shall become null and void and have no further force or effect and there shall be no liability on the part of the Company or any Purchaser or any of their respective Representatives in connection with this Agreement, except that no such termination shall relieve any party from liability for damages to another party resulting for a willful and material breach of this Agreement prior to the date of termination or from fraud;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any other provision set forth in this Agreement, except in the case of fraud, the Company shall not have any such liability in excess of the Total Purchase Price and no Purchaser shall have any liability in excess of such Purchaser’s Allocated Purchase Price.</w:t>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0" w:firstLine="99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costs and expenses, including fees and disbursements of counsel, financial advisors and accountants,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connection with the Transaction Documents and the transactions contemplated thereby shall be paid by the party incurring such costs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pay for the fees of the Purchaser’s counsel incurred in connection with the execution of this Agreement,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Documents and the purchase by the Purchaser of the Purchased Securities pursuant to this Agreement, provided that such fees shall not exceed $300,000 in the aggregate.</w:t>
      </w:r>
    </w:p>
    <w:p>
      <w:pPr>
        <w:spacing w:after="0" w:line="180" w:lineRule="exact"/>
        <w:rPr>
          <w:sz w:val="20"/>
          <w:szCs w:val="20"/>
          <w:color w:val="auto"/>
        </w:rPr>
      </w:pPr>
    </w:p>
    <w:p>
      <w:pPr>
        <w:ind w:firstLine="99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Schedule and Exhibit references in this Agreement are references to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Section, Schedule or Exhibit to this Agreement, unless otherwise specified. All Exhibits and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Any reference in this Agreement to “$” shall mean U.S. dollars. Whenever any determination, consent or approval is to be made or given by any party to this Agreement, such action shall be in such party’s sole discretion, unless otherwise specified in this Agreement. If any provision in the Transaction Documents is held to be illegal, invalid, not binding or unenforceable, (a) such provision shall be fully severable and the Transaction Documents shall be construed and enforced as if such illegal, invalid, not binding or unenforceable provision had never comprised a part of the Transaction Documents, and the remaining provisions shall remain in full force and effect, and (b) the parties hereto shall negotiate in good faith to modify the Transaction Documents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the Transaction Documents, the date that is the reference date in calculating such period shall be excluded. If the last day of such period is not a 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440" w:top="266" w:right="519" w:bottom="1440" w:gutter="0" w:footer="0" w:header="0"/>
        </w:sectPr>
      </w:pPr>
    </w:p>
    <w:bookmarkStart w:id="90" w:name="page91"/>
    <w:bookmarkEnd w:id="90"/>
    <w:p>
      <w:pPr>
        <w:ind w:right="80" w:firstLine="992"/>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Times New Roman" w:cs="Times New Roman" w:eastAsia="Times New Roman" w:hAnsi="Times New Roman"/>
          <w:sz w:val="18"/>
          <w:szCs w:val="18"/>
          <w:b w:val="1"/>
          <w:bCs w:val="1"/>
          <w:u w:val="single" w:color="auto"/>
          <w:color w:val="auto"/>
        </w:rPr>
        <w:t>Survival of Provisions</w:t>
      </w:r>
      <w:r>
        <w:rPr>
          <w:rFonts w:ascii="Times New Roman" w:cs="Times New Roman" w:eastAsia="Times New Roman" w:hAnsi="Times New Roman"/>
          <w:sz w:val="18"/>
          <w:szCs w:val="18"/>
          <w:color w:val="auto"/>
        </w:rPr>
        <w:t>. The representations and warranties set forth in Section 3.01, Section 3.02, Section 3.14,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3.15, Section 3.16, Section 3.17, Section 3.19, Section 3.26, Section 3.32, Section 4.01, Section 4.02, Section 4.04, Section 4.05(a), Section 4.05(b), Section 4.05(d) and Section 4.07(b) hereunder shall survive the execution and delivery of this Agreement indefinitely and the other representations and warranties set forth herein shall survive for a period of twelve (12) months following the Closing Date, regardless of any investigation made by or on behalf of the Company, the Purchasers or the Agent and its affiliates. The covenants made in this Agreement (including those in Article V) or any other Transaction Document that by their terms are to be performed following the Closing shall survive the Closing and remain operative and in full force and effect until fully performed. Regardless of any purported general termination of this Agreement, the provisions of Article VI and all indemnification rights and obligations of the Company and the Purchasers thereunder, Section 8.01 and this Article VIII shall remain operative and in full force and effect as between the Company and each Purchaser, unless the Company and the applicable Purchaser execute a writing that expressly terminates such rights and obligations as between the Company and such Purchaser.</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b w:val="1"/>
          <w:bCs w:val="1"/>
          <w:u w:val="single" w:color="auto"/>
          <w:color w:val="auto"/>
        </w:rPr>
        <w:t>No Waiver: Modifications in Writing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96"/>
        <w:spacing w:after="0" w:line="261" w:lineRule="auto"/>
        <w:tabs>
          <w:tab w:leader="none" w:pos="12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spacing w:after="0" w:line="71" w:lineRule="exact"/>
        <w:rPr>
          <w:rFonts w:ascii="Times New Roman" w:cs="Times New Roman" w:eastAsia="Times New Roman" w:hAnsi="Times New Roman"/>
          <w:sz w:val="18"/>
          <w:szCs w:val="18"/>
          <w:color w:val="auto"/>
        </w:rPr>
      </w:pPr>
    </w:p>
    <w:p>
      <w:pPr>
        <w:ind w:right="180" w:firstLine="996"/>
        <w:spacing w:after="0" w:line="272" w:lineRule="auto"/>
        <w:tabs>
          <w:tab w:leader="none" w:pos="1247"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Waiver; Amendment</w:t>
      </w:r>
      <w:r>
        <w:rPr>
          <w:rFonts w:ascii="Times New Roman" w:cs="Times New Roman" w:eastAsia="Times New Roman" w:hAnsi="Times New Roman"/>
          <w:sz w:val="17"/>
          <w:szCs w:val="17"/>
          <w:color w:val="auto"/>
        </w:rPr>
        <w:t>. Except as otherwise provided herein or as specifically provided otherwise in any other Transaction Document with respect thereto, no amendment, waiver, consent, modification or termination of any provision of any Transaction Document shall be effective unless signed by (i) before Closing, each of the parties thereto affected by such amendment, waiver, consent, modification or termination and</w:t>
      </w:r>
    </w:p>
    <w:p>
      <w:pPr>
        <w:spacing w:after="0" w:line="1" w:lineRule="exact"/>
        <w:rPr>
          <w:rFonts w:ascii="Times New Roman" w:cs="Times New Roman" w:eastAsia="Times New Roman" w:hAnsi="Times New Roman"/>
          <w:sz w:val="17"/>
          <w:szCs w:val="17"/>
          <w:color w:val="auto"/>
        </w:rPr>
      </w:pPr>
    </w:p>
    <w:p>
      <w:pPr>
        <w:ind w:right="80" w:firstLine="4"/>
        <w:spacing w:after="0" w:line="252" w:lineRule="auto"/>
        <w:tabs>
          <w:tab w:leader="none" w:pos="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Closing, Purchasers holding a majority of the Purchased Securities then held by the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any amendment, waiver, consent, modification or termination pursuant to clause (ii) shall not apply with respect to any Purchaser without the written consent of such Purchaser unless such amendment or waiver applies to all Purchasers in the same fashion and (B)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clause (B) constitutes a separate right granted to each Purchaser by the Company and negotiated separately by each Purchaser, and shall not in any way be construed as the Purchasers acting in concert or as a group with respect to the purchase, disposition or voting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91" w:name="page92"/>
    <w:bookmarkEnd w:id="9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Purchased Securities or otherwise). Any amendment, supplement or modification of or to any provision of any Transaction Document, any waiver of any provision of any Transaction Document and any consent to any departure by the Company or any Purchaser from the terms of any provision of any Transaction Document shall be effective only in the specific instance and for the specific purpose for which made or given. Except where notice is specifically required by this Agreement, no notice to or demand on the Company or any Purchaser in any case shall entitle the Company or such Purchaser to any other or further notice or demand in similar or other circumstances. Any investigation by or on behalf of any party shall not be deemed to constitute a waiver by the party taking such action of compliance with any representation, warranty, covenant or agreement contained herein.</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b w:val="1"/>
          <w:bCs w:val="1"/>
          <w:u w:val="single" w:color="auto"/>
          <w:color w:val="auto"/>
        </w:rPr>
        <w:t>Binding Effect; Assignment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firstLine="996"/>
        <w:spacing w:after="0" w:line="266" w:lineRule="auto"/>
        <w:tabs>
          <w:tab w:leader="none" w:pos="123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the Company, each of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68" w:lineRule="exact"/>
        <w:rPr>
          <w:rFonts w:ascii="Times New Roman" w:cs="Times New Roman" w:eastAsia="Times New Roman" w:hAnsi="Times New Roman"/>
          <w:sz w:val="18"/>
          <w:szCs w:val="18"/>
          <w:color w:val="auto"/>
        </w:rPr>
      </w:pPr>
    </w:p>
    <w:p>
      <w:pPr>
        <w:ind w:right="20" w:firstLine="996"/>
        <w:spacing w:after="0" w:line="256" w:lineRule="auto"/>
        <w:tabs>
          <w:tab w:leader="none" w:pos="12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not any of the rights, interests or obligations hereunder shall be assigned, in whole or in part, by operation of Law or otherwise, by any Purchaser without the prior written consent of the Company (such consent not to be unreasonably withheld);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a Purchaser may transfer or assign its rights hereunder in connection with the transfer of the Purchased Preferred Stock or the Purchased Warrants, each in accordance with the terms thereof, and subject to Purchaser providing written notice of any such assignment to the Company promptly after such assignment is effected and that the transferee agrees to assume all of such Purchaser’s rights and obligations in connection with such transfer and be bound by, and entitled to the benefits of, this Agreement as an original party hereto.</w:t>
      </w:r>
    </w:p>
    <w:p>
      <w:pPr>
        <w:spacing w:after="0" w:line="184" w:lineRule="exact"/>
        <w:rPr>
          <w:sz w:val="20"/>
          <w:szCs w:val="20"/>
          <w:color w:val="auto"/>
        </w:rPr>
      </w:pPr>
    </w:p>
    <w:p>
      <w:pPr>
        <w:ind w:firstLine="99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8.06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Except as set forth below, no public release or announcement concerning the transactions contemplated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issued by the Company or the Purchasers without the prior consent of the Company (in the case of a release or announcement by the Purchasers) or the Purchasers (in the case of a release or announcement by the Company) (which consents shall not be unreasonably withheld), except as such release or announcement may be required by law or the applicable rules or regulations of any securities exchange or securities market, in which case the Company or the Purchasers, as the case may be, shall allow the Purchasers or the Company, as applicable, to the extent reasonably practicable in the circumstances, reasonable time to comment on such release or announcement in advance of such issuance. The parties acknowledge that (i) as of 9:30 a.m. (New York time) on the trading day immediately following the date hereof, no Purchaser shall be in possession of any material, nonpublic information received from the Company or any of its respective officers, directors, employees or agents, with respect to the transactions contemplated hereby, and (ii) prior to such time the Company shall issue a press release or file a report on Form 8-K disclosing any material information required to comply with the preceding clause (i), and that, in addition, the Company will make such other filings and notices in the manner and time required by the Commission or NASDAQ with respect to such matters. The Company shall not, and shall cause each of its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92" w:name="page93"/>
    <w:bookmarkEnd w:id="92"/>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and each of their respective officers, directors, employees and agents, not to, provide any Purchaser with any such material, nonpublic information regarding the Company or any of the Company Entities from and after the filing of the press release without the express written consent of such Purchaser. For the avoidance of doubt, following the issuance of such press release, this Agreement shall not prohibit any Purchaser from trading Common Stock as it sees fit.</w:t>
      </w:r>
    </w:p>
    <w:p>
      <w:pPr>
        <w:spacing w:after="0" w:line="176" w:lineRule="exact"/>
        <w:rPr>
          <w:sz w:val="20"/>
          <w:szCs w:val="20"/>
          <w:color w:val="auto"/>
        </w:rPr>
      </w:pPr>
    </w:p>
    <w:p>
      <w:pPr>
        <w:ind w:right="30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8.07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return receipt requested, telecopy, electronic mail, air courier guaranteeing overnight delivery or personal delivery to the following addresses</w:t>
      </w:r>
    </w:p>
    <w:p>
      <w:pPr>
        <w:spacing w:after="0" w:line="63" w:lineRule="exact"/>
        <w:rPr>
          <w:sz w:val="20"/>
          <w:szCs w:val="20"/>
          <w:color w:val="auto"/>
        </w:rPr>
      </w:pPr>
    </w:p>
    <w:p>
      <w:pPr>
        <w:ind w:left="1240" w:hanging="244"/>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addresses set forth on </w:t>
      </w:r>
      <w:r>
        <w:rPr>
          <w:rFonts w:ascii="Times New Roman" w:cs="Times New Roman" w:eastAsia="Times New Roman" w:hAnsi="Times New Roman"/>
          <w:sz w:val="18"/>
          <w:szCs w:val="18"/>
          <w:b w:val="1"/>
          <w:bCs w:val="1"/>
          <w:color w:val="auto"/>
        </w:rPr>
        <w:t>Schedule A</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260" w:hanging="264"/>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Matthew S. Heiter</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NN, Inc.</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Email: matt.heiter@nninc.com</w:t>
      </w:r>
    </w:p>
    <w:p>
      <w:pPr>
        <w:spacing w:after="0" w:line="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Eric M. Swedenburg</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Email: eswedenburg@stblaw.com</w:t>
      </w:r>
    </w:p>
    <w:p>
      <w:pPr>
        <w:spacing w:after="0" w:line="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Daniel N. Webb</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Email: dwebb@stblaw.com</w:t>
      </w:r>
    </w:p>
    <w:p>
      <w:pPr>
        <w:spacing w:after="0" w:line="20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or to such other address as the Company or the Purchasers may designate in writing. All notices and communications shall be deemed to have been duly given: at the time delivered by hand, if personally delivered; upon actual receipt if sent by certified or registered mail, return receipt requested, or regular mail, if mailed; upon actual receipt of the facsimile, if sent via facsimile; when sent, if sent by electronic mail prior to 5:00 pm New York time on a Business Day, or on the next succeeding Business Day, if not; and upon actual receipt when delivered to an air courier guaranteeing overnight delivery.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70" w:right="439" w:bottom="1440" w:gutter="0" w:footer="0" w:header="0"/>
        </w:sectPr>
      </w:pPr>
    </w:p>
    <w:bookmarkStart w:id="93" w:name="page94"/>
    <w:bookmarkEnd w:id="93"/>
    <w:p>
      <w:pPr>
        <w:ind w:right="80" w:firstLine="992"/>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other Transaction Documents and the other agreements and documents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in this Agreement or the other Transaction Documents with respect to the rights granted by the Company or any of its Affiliates or the Purchasers or any of their respective Affiliates. This Agreement, the other Transaction Documents and the other agreements and documents referred to herein or therein supersede all prior agreements and understandings among the parties with respect to such subject matter.</w:t>
      </w:r>
    </w:p>
    <w:p>
      <w:pPr>
        <w:spacing w:after="0" w:line="183" w:lineRule="exact"/>
        <w:rPr>
          <w:sz w:val="20"/>
          <w:szCs w:val="20"/>
          <w:color w:val="auto"/>
        </w:rPr>
      </w:pPr>
    </w:p>
    <w:p>
      <w:pPr>
        <w:ind w:firstLine="99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8.09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New York without regard to principles of conflicts of laws that would result in the application of the law of any other jurisdiction. Any action against any party relating to the foregoing shall be brought in any federal or state court of competent jurisdiction located within the State of New York, and the parties hereto hereby irrevocably submit to the non-exclusive jurisdiction of any federal or state court located within the State of New York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6" w:lineRule="exact"/>
        <w:rPr>
          <w:sz w:val="20"/>
          <w:szCs w:val="20"/>
          <w:color w:val="auto"/>
        </w:rPr>
      </w:pPr>
    </w:p>
    <w:p>
      <w:pPr>
        <w:ind w:right="120" w:firstLine="992"/>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Section 8.10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color w:val="auto"/>
        </w:rPr>
        <w:t>. THE PARTIES TO THIS AGREEMENT EACH HEREBY WAIVES, AND AGREES TO CAUSE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66" w:right="479" w:bottom="1440" w:gutter="0" w:footer="0" w:header="0"/>
        </w:sectPr>
      </w:pPr>
    </w:p>
    <w:bookmarkStart w:id="94" w:name="page95"/>
    <w:bookmarkEnd w:id="94"/>
    <w:p>
      <w:pPr>
        <w:ind w:lef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8.11 </w:t>
      </w:r>
      <w:r>
        <w:rPr>
          <w:rFonts w:ascii="Times New Roman" w:cs="Times New Roman" w:eastAsia="Times New Roman" w:hAnsi="Times New Roman"/>
          <w:sz w:val="18"/>
          <w:szCs w:val="18"/>
          <w:b w:val="1"/>
          <w:bCs w:val="1"/>
          <w:u w:val="single" w:color="auto"/>
          <w:color w:val="auto"/>
        </w:rPr>
        <w:t>No Recourse Against Others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96"/>
        <w:spacing w:after="0" w:line="271" w:lineRule="auto"/>
        <w:tabs>
          <w:tab w:leader="none" w:pos="123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Company and its Subsidiaries and the Purchasers. No Person other than the Company or the Purchasers, including no member, partner, stockholder, Affiliate or Representative thereof, nor any member, partner, stockholder, Affiliate or Representative of any of the foregoing,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of the Company and the Purchasers hereby waives and releases all such liabilities, claims, causes of action and obligations against any such third Person.</w:t>
      </w:r>
    </w:p>
    <w:p>
      <w:pPr>
        <w:spacing w:after="0" w:line="66" w:lineRule="exact"/>
        <w:rPr>
          <w:rFonts w:ascii="Times New Roman" w:cs="Times New Roman" w:eastAsia="Times New Roman" w:hAnsi="Times New Roman"/>
          <w:sz w:val="17"/>
          <w:szCs w:val="17"/>
          <w:color w:val="auto"/>
        </w:rPr>
      </w:pPr>
    </w:p>
    <w:p>
      <w:pPr>
        <w:ind w:firstLine="996"/>
        <w:spacing w:after="0" w:line="255" w:lineRule="auto"/>
        <w:tabs>
          <w:tab w:leader="none" w:pos="12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to the maximum extent permitted by Law, (i) each of the Company and its Subsidiaries on the one hand and the Purchasers on the other hereby waives and releases any and all rights, claims, demands or causes of action that may otherwise be available at law or in equity, or granted by statute, to avoid or disregard the entity form of the other or otherwise impose liability of the other on any third Person in respect of the transactions contemplated hereby, whether granted by statute or based on theories of equity, agency, control, instrumentality, alter ego, domination, sham, single business enterprise, piercing the veil, unfairness, undercapitalization or otherwise; and (ii) each of the Company and the Purchasers disclaims any reliance upon any third Person with respect to the performance of this Agreement or any representation or warranty made in, in connection with or as an inducement to this Agreement.</w:t>
      </w:r>
    </w:p>
    <w:p>
      <w:pPr>
        <w:spacing w:after="0" w:line="185" w:lineRule="exact"/>
        <w:rPr>
          <w:sz w:val="20"/>
          <w:szCs w:val="20"/>
          <w:color w:val="auto"/>
        </w:rPr>
      </w:pPr>
    </w:p>
    <w:p>
      <w:pPr>
        <w:ind w:right="340" w:firstLine="99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8.12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other than the Company and the Purchasers and their respective permitted assigns any rights or remedies hereunder. Notwithstanding the foregoing, the Agent is a third party beneficiary of, and may rely on, the representations and warranties of each Purchaser contained in Section 4.05, Section 4.08 and Section 4.09.</w:t>
      </w:r>
    </w:p>
    <w:p>
      <w:pPr>
        <w:spacing w:after="0" w:line="177" w:lineRule="exact"/>
        <w:rPr>
          <w:sz w:val="20"/>
          <w:szCs w:val="20"/>
          <w:color w:val="auto"/>
        </w:rPr>
      </w:pPr>
    </w:p>
    <w:p>
      <w:pPr>
        <w:ind w:right="80" w:firstLine="99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8.13 </w:t>
      </w: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separate counterparts, each of which counterparts, when so executed and delivered, shall be deemed to be an original and all of which counterparts, taken together, shall constitute but one and the same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6"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execute this Agreement, effective as of the date first above written.</w:t>
      </w:r>
    </w:p>
    <w:p>
      <w:pPr>
        <w:spacing w:after="0" w:line="2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Warren A. Veltman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019"/>
          </w:cols>
          <w:pgMar w:left="1440" w:top="270" w:right="1440" w:bottom="1440" w:gutter="0" w:footer="0" w:header="0"/>
        </w:sectPr>
      </w:pPr>
    </w:p>
    <w:bookmarkStart w:id="96" w:name="page97"/>
    <w:bookmarkEnd w:id="9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CORRE OPPORTUNITIES QUALIFIED MASTER</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 OPPORTUNITIES II MASTER FUND,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 HORIZON FUND,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680"/>
          </w:cols>
          <w:pgMar w:left="1440" w:top="266" w:right="77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LEGION PARTNERS, L.P. I</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By: Legion Partners Asset Management, LLC</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Investment Advisor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 Kiper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LEGION PARTNERS, L.P. II</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By: Legion Partners Asset Management, LLC</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Investment Advisor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S. Kiper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[Signature Page to Purchase Agreement]</w:t>
      </w:r>
    </w:p>
    <w:p>
      <w:pPr>
        <w:sectPr>
          <w:pgSz w:w="11900" w:h="16838" w:orient="portrait"/>
          <w:cols w:equalWidth="0" w:num="1">
            <w:col w:w="9160"/>
          </w:cols>
          <w:pgMar w:left="1440" w:top="266" w:right="129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920" w:type="dxa"/>
            <w:vAlign w:val="bottom"/>
            <w:gridSpan w:val="2"/>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Warrants to</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440" w:type="dxa"/>
            <w:vAlign w:val="bottom"/>
          </w:tcPr>
          <w:p>
            <w:pPr>
              <w:spacing w:after="0"/>
              <w:rPr>
                <w:sz w:val="12"/>
                <w:szCs w:val="12"/>
                <w:color w:val="auto"/>
              </w:rPr>
            </w:pP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60"/>
        </w:trPr>
        <w:tc>
          <w:tcPr>
            <w:tcW w:w="4860" w:type="dxa"/>
            <w:vAlign w:val="bottom"/>
            <w:gridSpan w:val="3"/>
            <w:vMerge w:val="continue"/>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100" w:type="dxa"/>
            <w:vAlign w:val="bottom"/>
            <w:gridSpan w:val="2"/>
          </w:tcPr>
          <w:p>
            <w:pPr>
              <w:jc w:val="center"/>
              <w:ind w:left="13"/>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Corre Partners Management, L.L.C.</w:t>
            </w:r>
          </w:p>
        </w:tc>
        <w:tc>
          <w:tcPr>
            <w:tcW w:w="1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Corre Opportunities Qualified Master Fund, LP</w:t>
            </w:r>
          </w:p>
        </w:tc>
        <w:tc>
          <w:tcPr>
            <w:tcW w:w="2940" w:type="dxa"/>
            <w:vAlign w:val="bottom"/>
            <w:gridSpan w:val="2"/>
          </w:tcPr>
          <w:p>
            <w:pPr>
              <w:ind w:left="1420"/>
              <w:spacing w:after="0" w:line="194" w:lineRule="exact"/>
              <w:rPr>
                <w:sz w:val="20"/>
                <w:szCs w:val="20"/>
                <w:color w:val="auto"/>
              </w:rPr>
            </w:pPr>
            <w:r>
              <w:rPr>
                <w:rFonts w:ascii="Times New Roman" w:cs="Times New Roman" w:eastAsia="Times New Roman" w:hAnsi="Times New Roman"/>
                <w:sz w:val="18"/>
                <w:szCs w:val="18"/>
                <w:b w:val="1"/>
                <w:bCs w:val="1"/>
                <w:color w:val="auto"/>
              </w:rPr>
              <w:t>12 East 49th St.,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York, NY 10017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59,380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890,700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59,380,000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Corre Opportunities II Master Fund, LP</w:t>
            </w:r>
          </w:p>
        </w:tc>
        <w:tc>
          <w:tcPr>
            <w:tcW w:w="2940" w:type="dxa"/>
            <w:vAlign w:val="bottom"/>
            <w:gridSpan w:val="2"/>
            <w:shd w:val="clear" w:color="auto" w:fill="CCEEFF"/>
          </w:tcPr>
          <w:p>
            <w:pPr>
              <w:ind w:left="1420"/>
              <w:spacing w:after="0" w:line="194" w:lineRule="exact"/>
              <w:rPr>
                <w:sz w:val="20"/>
                <w:szCs w:val="20"/>
                <w:color w:val="auto"/>
              </w:rPr>
            </w:pPr>
            <w:r>
              <w:rPr>
                <w:rFonts w:ascii="Times New Roman" w:cs="Times New Roman" w:eastAsia="Times New Roman" w:hAnsi="Times New Roman"/>
                <w:sz w:val="18"/>
                <w:szCs w:val="18"/>
                <w:b w:val="1"/>
                <w:bCs w:val="1"/>
                <w:color w:val="auto"/>
              </w:rPr>
              <w:t>12 East 49th St.,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York, NY 10017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189,300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Corre Horizon Fund, LP</w:t>
            </w:r>
          </w:p>
        </w:tc>
        <w:tc>
          <w:tcPr>
            <w:tcW w:w="2940" w:type="dxa"/>
            <w:vAlign w:val="bottom"/>
            <w:gridSpan w:val="2"/>
          </w:tcPr>
          <w:p>
            <w:pPr>
              <w:ind w:left="1420"/>
              <w:spacing w:after="0" w:line="194" w:lineRule="exact"/>
              <w:rPr>
                <w:sz w:val="20"/>
                <w:szCs w:val="20"/>
                <w:color w:val="auto"/>
              </w:rPr>
            </w:pPr>
            <w:r>
              <w:rPr>
                <w:rFonts w:ascii="Times New Roman" w:cs="Times New Roman" w:eastAsia="Times New Roman" w:hAnsi="Times New Roman"/>
                <w:sz w:val="18"/>
                <w:szCs w:val="18"/>
                <w:b w:val="1"/>
                <w:bCs w:val="1"/>
                <w:color w:val="auto"/>
              </w:rPr>
              <w:t>12 East 49th St.,</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40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New</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York, NY 10017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Micah Spiegel</w:t>
            </w:r>
          </w:p>
        </w:tc>
        <w:tc>
          <w:tcPr>
            <w:tcW w:w="1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Legion Partners Asset Management, LLC</w:t>
            </w: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LEGION PARTNERS, L.P. I</w:t>
            </w:r>
          </w:p>
        </w:tc>
        <w:tc>
          <w:tcPr>
            <w:tcW w:w="2940" w:type="dxa"/>
            <w:vAlign w:val="bottom"/>
            <w:gridSpan w:val="2"/>
            <w:shd w:val="clear" w:color="auto" w:fill="CCEEFF"/>
          </w:tcPr>
          <w:p>
            <w:pPr>
              <w:ind w:left="14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9401 Wilshire Blvd,</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Suite 705, Beverly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b w:val="1"/>
                <w:bCs w:val="1"/>
                <w:color w:val="auto"/>
              </w:rPr>
              <w:t>Hills, CA 90212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214,095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14,273,000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LEGION PARTNERS, L.P. II</w:t>
            </w:r>
          </w:p>
        </w:tc>
        <w:tc>
          <w:tcPr>
            <w:tcW w:w="2940" w:type="dxa"/>
            <w:vAlign w:val="bottom"/>
            <w:gridSpan w:val="2"/>
          </w:tcPr>
          <w:p>
            <w:pPr>
              <w:ind w:left="14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9401 Wilshire Blvd,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Suite 705, Beverly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94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Hills, CA 90212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Christopher S. Kiper</w:t>
            </w:r>
          </w:p>
        </w:tc>
        <w:tc>
          <w:tcPr>
            <w:tcW w:w="1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100,000,000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66" w:right="419" w:bottom="1440" w:gutter="0" w:footer="0" w:header="0"/>
        </w:sectPr>
      </w:pPr>
    </w:p>
    <w:bookmarkStart w:id="99" w:name="page100"/>
    <w:bookmarkEnd w:id="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88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Schedule B</w:t>
            </w:r>
          </w:p>
        </w:tc>
      </w:tr>
      <w:tr>
        <w:trPr>
          <w:trHeight w:val="412"/>
        </w:trPr>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9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100" w:type="dxa"/>
            <w:vAlign w:val="bottom"/>
            <w:gridSpan w:val="3"/>
          </w:tcPr>
          <w:p>
            <w:pPr>
              <w:ind w:left="272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Corre Partners Management, L.L.C.</w:t>
            </w: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240" w:type="dxa"/>
            <w:vAlign w:val="bottom"/>
            <w:shd w:val="clear" w:color="auto" w:fill="CCEEFF"/>
          </w:tcPr>
          <w:p>
            <w:pPr>
              <w:ind w:left="1500"/>
              <w:spacing w:after="0" w:line="203" w:lineRule="exact"/>
              <w:rPr>
                <w:sz w:val="20"/>
                <w:szCs w:val="20"/>
                <w:color w:val="auto"/>
              </w:rPr>
            </w:pPr>
            <w:r>
              <w:rPr>
                <w:rFonts w:ascii="Times New Roman" w:cs="Times New Roman" w:eastAsia="Times New Roman" w:hAnsi="Times New Roman"/>
                <w:sz w:val="18"/>
                <w:szCs w:val="18"/>
                <w:b w:val="1"/>
                <w:bCs w:val="1"/>
                <w:color w:val="auto"/>
                <w:w w:val="99"/>
              </w:rPr>
              <w:t>2,736,432</w:t>
            </w:r>
          </w:p>
        </w:tc>
        <w:tc>
          <w:tcPr>
            <w:tcW w:w="140" w:type="dxa"/>
            <w:vAlign w:val="bottom"/>
            <w:shd w:val="clear" w:color="auto" w:fill="CCEEFF"/>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Legion Partners Asset Management, LLC</w:t>
            </w:r>
          </w:p>
        </w:tc>
        <w:tc>
          <w:tcPr>
            <w:tcW w:w="6880" w:type="dxa"/>
            <w:vAlign w:val="bottom"/>
            <w:gridSpan w:val="5"/>
          </w:tcPr>
          <w:p>
            <w:pPr>
              <w:ind w:left="6000"/>
              <w:spacing w:after="0"/>
              <w:rPr>
                <w:sz w:val="20"/>
                <w:szCs w:val="20"/>
                <w:color w:val="auto"/>
              </w:rPr>
            </w:pPr>
            <w:r>
              <w:rPr>
                <w:rFonts w:ascii="Times New Roman" w:cs="Times New Roman" w:eastAsia="Times New Roman" w:hAnsi="Times New Roman"/>
                <w:sz w:val="18"/>
                <w:szCs w:val="18"/>
                <w:b w:val="1"/>
                <w:bCs w:val="1"/>
                <w:color w:val="auto"/>
              </w:rPr>
              <w:t>3,885,317</w:t>
            </w:r>
            <w:r>
              <w:rPr>
                <w:rFonts w:ascii="Times New Roman" w:cs="Times New Roman" w:eastAsia="Times New Roman" w:hAnsi="Times New Roman"/>
                <w:sz w:val="15"/>
                <w:szCs w:val="15"/>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63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8" w:lineRule="exact"/>
        <w:rPr>
          <w:sz w:val="20"/>
          <w:szCs w:val="20"/>
          <w:color w:val="auto"/>
        </w:rPr>
      </w:pPr>
    </w:p>
    <w:p>
      <w:pPr>
        <w:ind w:left="440" w:hanging="436"/>
        <w:spacing w:after="0"/>
        <w:tabs>
          <w:tab w:leader="none" w:pos="4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that this does not include 300 shares owned by Legion Partners Holdings, LLC</w:t>
      </w:r>
    </w:p>
    <w:p>
      <w:pPr>
        <w:sectPr>
          <w:pgSz w:w="11900" w:h="16838" w:orient="portrait"/>
          <w:cols w:equalWidth="0" w:num="1">
            <w:col w:w="11040"/>
          </w:cols>
          <w:pgMar w:left="440" w:top="257" w:right="4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182880</wp:posOffset>
            </wp:positionV>
            <wp:extent cx="6997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226060</wp:posOffset>
            </wp:positionV>
            <wp:extent cx="6997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REGISTRATION RIGHTS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NN,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PARTIES LISTED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ON SCHEDULE I HERETO</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December 11, 2019</w:t>
      </w:r>
    </w:p>
    <w:p>
      <w:pPr>
        <w:sectPr>
          <w:pgSz w:w="11900" w:h="16838" w:orient="portrait"/>
          <w:cols w:equalWidth="0" w:num="1">
            <w:col w:w="10020"/>
          </w:cols>
          <w:pgMar w:left="1440" w:top="117" w:right="4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708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60" w:type="dxa"/>
            <w:vAlign w:val="bottom"/>
          </w:tcPr>
          <w:p>
            <w:pPr>
              <w:spacing w:after="0"/>
              <w:rPr>
                <w:sz w:val="24"/>
                <w:szCs w:val="24"/>
                <w:color w:val="auto"/>
              </w:rPr>
            </w:pPr>
          </w:p>
        </w:tc>
        <w:tc>
          <w:tcPr>
            <w:tcW w:w="7080" w:type="dxa"/>
            <w:vAlign w:val="bottom"/>
            <w:vMerge w:val="restart"/>
          </w:tcPr>
          <w:p>
            <w:pPr>
              <w:jc w:val="center"/>
              <w:ind w:left="890"/>
              <w:spacing w:after="0"/>
              <w:rPr>
                <w:sz w:val="20"/>
                <w:szCs w:val="20"/>
                <w:color w:val="auto"/>
              </w:rPr>
            </w:pPr>
            <w:r>
              <w:rPr>
                <w:rFonts w:ascii="Times New Roman" w:cs="Times New Roman" w:eastAsia="Times New Roman" w:hAnsi="Times New Roman"/>
                <w:sz w:val="18"/>
                <w:szCs w:val="18"/>
                <w:color w:val="auto"/>
                <w:w w:val="99"/>
              </w:rPr>
              <w:t>ARTICLE I</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0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DEFINITIONS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70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7"/>
              </w:rPr>
              <w:t>ARTICLE II</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0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8"/>
              </w:rPr>
              <w:t>REGISTRATION RIGHTS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Demand Registration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Shelf Registration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Piggyback Registration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Black-out Periods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Procedures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Underwritten Offerings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Inconsistent Agreements; Additional Rights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Expenses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Registration Defaults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 144</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Limitation on Registrations and Underwritten Offerings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70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ARTICLE III</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70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Injunctive Relief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Recapitalization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Successors, Assigns and Transferees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Immunity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440" w:top="266" w:right="47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RIGHTS AGREEMENT</w:t>
      </w:r>
    </w:p>
    <w:p>
      <w:pPr>
        <w:spacing w:after="0" w:line="229" w:lineRule="exact"/>
        <w:rPr>
          <w:sz w:val="20"/>
          <w:szCs w:val="20"/>
          <w:color w:val="auto"/>
        </w:rPr>
      </w:pPr>
    </w:p>
    <w:p>
      <w:pPr>
        <w:ind w:right="140" w:firstLine="992"/>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11, 2019, is by and among NN, Inc., a Delaware corporation (including any of its successors by merger, acquisition, reorganization, conversion or otherwise,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Unless otherwise indicated, capitalized terms used herein shall have the meanings ascribed to such terms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right="340" w:firstLine="992"/>
        <w:spacing w:after="0" w:line="282" w:lineRule="auto"/>
        <w:rPr>
          <w:sz w:val="20"/>
          <w:szCs w:val="20"/>
          <w:color w:val="auto"/>
        </w:rPr>
      </w:pPr>
      <w:r>
        <w:rPr>
          <w:rFonts w:ascii="Times New Roman" w:cs="Times New Roman" w:eastAsia="Times New Roman" w:hAnsi="Times New Roman"/>
          <w:sz w:val="18"/>
          <w:szCs w:val="18"/>
          <w:color w:val="auto"/>
        </w:rPr>
        <w:t>WHEREAS, the parties hereto desire to provide for, among other things, the grant of registration rights with respect to the Registrable Securities (as defined below).</w:t>
      </w:r>
    </w:p>
    <w:p>
      <w:pPr>
        <w:spacing w:after="0" w:line="54" w:lineRule="exact"/>
        <w:rPr>
          <w:sz w:val="20"/>
          <w:szCs w:val="20"/>
          <w:color w:val="auto"/>
        </w:rPr>
      </w:pPr>
    </w:p>
    <w:p>
      <w:pPr>
        <w:ind w:right="140" w:firstLine="99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covenants and agreements of the parties hereto, and for other good and valuable consideration the receipt and sufficiency of which are hereby acknowledged, and subject to the satisfaction or waiver of the conditions hereof, the parties hereto agree as follows: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w:t>
      </w:r>
    </w:p>
    <w:p>
      <w:pPr>
        <w:spacing w:after="0" w:line="117" w:lineRule="exact"/>
        <w:rPr>
          <w:sz w:val="20"/>
          <w:szCs w:val="20"/>
          <w:color w:val="auto"/>
        </w:rPr>
      </w:pPr>
    </w:p>
    <w:p>
      <w:pPr>
        <w:ind w:right="20" w:firstLine="992"/>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Disclosure</w:t>
      </w:r>
      <w:r>
        <w:rPr>
          <w:rFonts w:ascii="Times New Roman" w:cs="Times New Roman" w:eastAsia="Times New Roman" w:hAnsi="Times New Roman"/>
          <w:sz w:val="18"/>
          <w:szCs w:val="18"/>
          <w:color w:val="auto"/>
        </w:rPr>
        <w:t>” means public disclosure of material non-public information that, in the Board of Directors’ good faith judgment would be required to be made in any Registration Statement filed with the Commission by the Company or any Prospectus included therein so that such Registration Statement or Prospectus would not contain a material misstatement of fact or omit to state a material fact required to be stated therein or necessary to make the statements therein, in the case of the Prospectus in light of the circumstances under which they were made, not misleading, would not be required to be publicly disclosed at such time but for the filing of such Registration Statement, and which information the Company has a bona fide business purpose for not disclosing publicly at such time.</w:t>
      </w:r>
    </w:p>
    <w:p>
      <w:pPr>
        <w:spacing w:after="0" w:line="188" w:lineRule="exact"/>
        <w:rPr>
          <w:sz w:val="20"/>
          <w:szCs w:val="20"/>
          <w:color w:val="auto"/>
        </w:rPr>
      </w:pPr>
    </w:p>
    <w:p>
      <w:pPr>
        <w:jc w:val="both"/>
        <w:ind w:right="280" w:firstLine="99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in Rule 405 promulgated under the Securities 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03" w:name="page104"/>
    <w:bookmarkEnd w:id="103"/>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6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day on which commercial banks located in New York, New York are required or authorized by law or executive order to be closed.</w:t>
      </w:r>
    </w:p>
    <w:p>
      <w:pPr>
        <w:spacing w:after="0" w:line="162" w:lineRule="exact"/>
        <w:rPr>
          <w:sz w:val="20"/>
          <w:szCs w:val="20"/>
          <w:color w:val="auto"/>
        </w:rPr>
      </w:pPr>
    </w:p>
    <w:p>
      <w:pPr>
        <w:ind w:right="2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for any entity, any and all shares, interests, rights to purchase, warrants, options, participations or other equivalents of or interests in (however designated) stock issued by that entity but excluding any debt securities convertible into such equity.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shares of the Company’s common stock, par value $0.01 per share.</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Public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Equivalents</w:t>
      </w:r>
      <w:r>
        <w:rPr>
          <w:rFonts w:ascii="Times New Roman" w:cs="Times New Roman" w:eastAsia="Times New Roman" w:hAnsi="Times New Roman"/>
          <w:sz w:val="18"/>
          <w:szCs w:val="18"/>
          <w:color w:val="auto"/>
        </w:rPr>
        <w:t>” means the Series B Preferred Stock, the Warrants and any other securities exercisable, exchangeable or convertible into Company Shares and any options, warrants or other rights to acquire Company Shares.</w:t>
      </w:r>
    </w:p>
    <w:p>
      <w:pPr>
        <w:spacing w:after="0" w:line="162" w:lineRule="exact"/>
        <w:rPr>
          <w:sz w:val="20"/>
          <w:szCs w:val="20"/>
          <w:color w:val="auto"/>
        </w:rPr>
      </w:pPr>
    </w:p>
    <w:p>
      <w:pPr>
        <w:ind w:firstLine="99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shares of Common Stock (including any Common Stock issuable upon conversion of the Series B Preferred Stock or exercise of the Warrants), any securities into which such shares of Common Stock shall have been changed, or any securities resulting from any reclassification, recapitalization or similar transactions with respect to such shares of Common Stock.</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any successor thereto, and any rules and regulations promulgated thereunder, all as the same shall be in effect from time to time.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means a registration statement on Form S-1 under the Securities Act.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S-3</w:t>
      </w:r>
      <w:r>
        <w:rPr>
          <w:rFonts w:ascii="Times New Roman" w:cs="Times New Roman" w:eastAsia="Times New Roman" w:hAnsi="Times New Roman"/>
          <w:sz w:val="18"/>
          <w:szCs w:val="18"/>
          <w:color w:val="auto"/>
        </w:rPr>
        <w:t>” means a registration statement on Form S-3 under the Securities Act.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means a registration statement on Form S-4 under the Securities Act.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S-8</w:t>
      </w:r>
      <w:r>
        <w:rPr>
          <w:rFonts w:ascii="Times New Roman" w:cs="Times New Roman" w:eastAsia="Times New Roman" w:hAnsi="Times New Roman"/>
          <w:sz w:val="18"/>
          <w:szCs w:val="18"/>
          <w:color w:val="auto"/>
        </w:rPr>
        <w:t>” means a registration statement on Form S-8 under the Securities Act.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04" w:name="page105"/>
    <w:bookmarkEnd w:id="104"/>
    <w:p>
      <w:pPr>
        <w:ind w:right="520" w:firstLine="99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United States federal, state, local (including county or municipal) or foreign governmental, regulatory or administrative authority, agency, division, instrumentality, commission, court, judicial or arbitral body or any securities exchange or similar self-regulatory organization.</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any holder of Registrable Securities that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or that succeeds to rights hereunder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 issuer free writing prospectus, as defined in Rule 433 under the Securities Act, relating to an offer of Registrable Securities.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xml:space="preserve">” means all amounts, if any, payable to the Holders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Non-Complying Holder</w:t>
      </w:r>
      <w:r>
        <w:rPr>
          <w:rFonts w:ascii="Times New Roman" w:cs="Times New Roman" w:eastAsia="Times New Roman" w:hAnsi="Times New Roman"/>
          <w:sz w:val="18"/>
          <w:szCs w:val="18"/>
          <w:color w:val="auto"/>
        </w:rPr>
        <w:t>” has the meaning set forth in Section 2.02(b).</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2.02(f)(iii)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Marketed Underwritten Shelf Take-Down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2.02(f)(iii)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Offering Size</w:t>
      </w:r>
      <w:r>
        <w:rPr>
          <w:rFonts w:ascii="Times New Roman" w:cs="Times New Roman" w:eastAsia="Times New Roman" w:hAnsi="Times New Roman"/>
          <w:sz w:val="18"/>
          <w:szCs w:val="18"/>
          <w:color w:val="auto"/>
        </w:rPr>
        <w:t>” means, with respect to any offering that is underwritten, the number of securities that, in the good faith opinion of the managing underwriter or underwriters in such offering (as evidenced by a written notice to the relevant Holders and the Company), can be sold in such offering without being likely to have a significant adverse effect on the price, timing or the distribution of the securities offered or the market for the securities offered.</w:t>
      </w:r>
    </w:p>
    <w:p>
      <w:pPr>
        <w:spacing w:after="0" w:line="180" w:lineRule="exact"/>
        <w:rPr>
          <w:sz w:val="20"/>
          <w:szCs w:val="20"/>
          <w:color w:val="auto"/>
        </w:rPr>
      </w:pPr>
    </w:p>
    <w:p>
      <w:pPr>
        <w:ind w:right="18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Holder</w:t>
      </w:r>
      <w:r>
        <w:rPr>
          <w:rFonts w:ascii="Times New Roman" w:cs="Times New Roman" w:eastAsia="Times New Roman" w:hAnsi="Times New Roman"/>
          <w:sz w:val="18"/>
          <w:szCs w:val="18"/>
          <w:color w:val="auto"/>
        </w:rPr>
        <w:t>” means, with respect to any Registration, including a Demand Registration, Piggyback Registration or Shelf Take-Down, any Holder of Registrable Securities participating as a selling Holder in such Registration.</w:t>
      </w:r>
    </w:p>
    <w:p>
      <w:pPr>
        <w:spacing w:after="0" w:line="162" w:lineRule="exact"/>
        <w:rPr>
          <w:sz w:val="20"/>
          <w:szCs w:val="20"/>
          <w:color w:val="auto"/>
        </w:rPr>
      </w:pPr>
    </w:p>
    <w:p>
      <w:pPr>
        <w:ind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corporation, limited liability company, unincorporated organization, trust or joint venture, or a Governmental Authority or political subdivision thereof or any other entity.</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Postponing Officer’s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any Registration Statement, all amendments and supplements to such prospectus, including pre- and post-effective amendments to such Registration Statement, and all information incorporated by reference in such prospectus.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05" w:name="page106"/>
    <w:bookmarkEnd w:id="105"/>
    <w:p>
      <w:pPr>
        <w:ind w:right="60" w:firstLine="99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the Warrants, Series B Preferred Stock or Common Stock, the date fixed for determination of holders of any such securities entitled to receive such cash, securities or other property (whether such date is fixed by the Board of Directors, by statute, by contract or otherwise).</w:t>
      </w:r>
    </w:p>
    <w:p>
      <w:pPr>
        <w:spacing w:after="0" w:line="176" w:lineRule="exact"/>
        <w:rPr>
          <w:sz w:val="20"/>
          <w:szCs w:val="20"/>
          <w:color w:val="auto"/>
        </w:rPr>
      </w:pPr>
    </w:p>
    <w:p>
      <w:pPr>
        <w:ind w:right="40" w:firstLine="992"/>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any Company Shares (including shares of Common Stock issuable upon exercise of the Warrants or conversion of the Series B Preferred Stock), any Series B Preferred Stock, any Warrants, or any other securities that may be issued or distributed or be issuable or distributable in respect of, or in substitution for, any Warrants, Series B Preferred Stock or Company Shares by way of conversion, exercise, dividend, stock split or other distribution, merger, consolidation, exchange, recapitalization or reclassification or similar transaction, in each case whether now owned or hereafter acquired by a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to the extent (i) a Registration Statement with respect to the sale of such Registrable Securities has been declared effective under the Securities Act and such Registrable Securities have been disposed of in accordance with the plan of distribution set forth in such Registration Statement, (ii) such Registrable Securities (including any Registrable Securities received upon exercise or conversion of another Registrable Security) then owned by a Holder and its Affiliates could be sold in their entirety on a single day pursuant to Rule 144 without restriction as to volume or manner of sale, (iii) such Registrable Securities are otherwise transferred, the Company has delivered a new certificate or other evidence of ownership for such securities not bearing a restrictive legend and such Registrable Securities may be resold without limitation or subsequent registration under the Securities Act; or (iv) the Registrable Securities have ceased to be outstanding.</w:t>
      </w:r>
    </w:p>
    <w:p>
      <w:pPr>
        <w:spacing w:after="0" w:line="191" w:lineRule="exact"/>
        <w:rPr>
          <w:sz w:val="20"/>
          <w:szCs w:val="20"/>
          <w:color w:val="auto"/>
        </w:rPr>
      </w:pPr>
    </w:p>
    <w:p>
      <w:pPr>
        <w:ind w:right="84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means a registration with the Commission of the offer and sale of the Company’s securities to the public under a Registration Statement. The term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shall have a correlative meaning.</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offer and sale of Registrable Securities pursuant to the provisions of this Agreement filed with, or to be filed with, the Commission under the rules and regulations promulgated under the Securities Act, including the related Prospectus, amendments and supplements to such registration statement, including pre- and post-effective amendments, and all exhibits and all information incorporated by reference in such registration statement.</w:t>
      </w:r>
    </w:p>
    <w:p>
      <w:pPr>
        <w:spacing w:after="0" w:line="180" w:lineRule="exact"/>
        <w:rPr>
          <w:sz w:val="20"/>
          <w:szCs w:val="20"/>
          <w:color w:val="auto"/>
        </w:rPr>
      </w:pPr>
    </w:p>
    <w:p>
      <w:pPr>
        <w:ind w:right="18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62" w:lineRule="exact"/>
        <w:rPr>
          <w:sz w:val="20"/>
          <w:szCs w:val="20"/>
          <w:color w:val="auto"/>
        </w:rPr>
      </w:pPr>
    </w:p>
    <w:p>
      <w:pPr>
        <w:ind w:right="220" w:firstLine="992"/>
        <w:spacing w:after="0" w:line="3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Requesting Holder(s)</w:t>
      </w:r>
      <w:r>
        <w:rPr>
          <w:rFonts w:ascii="Times New Roman" w:cs="Times New Roman" w:eastAsia="Times New Roman" w:hAnsi="Times New Roman"/>
          <w:sz w:val="17"/>
          <w:szCs w:val="17"/>
          <w:color w:val="auto"/>
        </w:rPr>
        <w:t>” means, with respect to a Demand Registration or Shelf Take-Down, as applicable, a Holder (or Holders, as the case may be) that initiated such Registration or Shelf Take-Down, as the case may be, in accordance with the terms and conditions of this Agreement.</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6" w:name="page107"/>
    <w:bookmarkEnd w:id="106"/>
    <w:p>
      <w:pPr>
        <w:ind w:right="160" w:firstLine="99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Filing Date</w:t>
      </w:r>
      <w:r>
        <w:rPr>
          <w:rFonts w:ascii="Times New Roman" w:cs="Times New Roman" w:eastAsia="Times New Roman" w:hAnsi="Times New Roman"/>
          <w:sz w:val="18"/>
          <w:szCs w:val="18"/>
          <w:color w:val="auto"/>
        </w:rPr>
        <w:t>” means the relevant date by which the Company is required to file its Registration Statement or Shelf Registration Statement in accordance with this Agreement.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(or any successor provisions) under the Securities Act.</w:t>
      </w:r>
    </w:p>
    <w:p>
      <w:pPr>
        <w:spacing w:after="0" w:line="225" w:lineRule="exact"/>
        <w:rPr>
          <w:sz w:val="20"/>
          <w:szCs w:val="20"/>
          <w:color w:val="auto"/>
        </w:rPr>
      </w:pPr>
    </w:p>
    <w:p>
      <w:pPr>
        <w:ind w:right="42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questions and answers, guidance, forms, comments, requirements or requests of the Commission or its staff, (ii) the Securities Act and (iii) any other rules and regulations of the Commission.</w:t>
      </w:r>
    </w:p>
    <w:p>
      <w:pPr>
        <w:spacing w:after="0" w:line="162" w:lineRule="exact"/>
        <w:rPr>
          <w:sz w:val="20"/>
          <w:szCs w:val="20"/>
          <w:color w:val="auto"/>
        </w:rPr>
      </w:pPr>
    </w:p>
    <w:p>
      <w:pPr>
        <w:ind w:right="40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any successor thereto, and any rules and regulations promulgated thereunder, all as the same shall be in effect from time to time.</w:t>
      </w:r>
    </w:p>
    <w:p>
      <w:pPr>
        <w:spacing w:after="0" w:line="162" w:lineRule="exact"/>
        <w:rPr>
          <w:sz w:val="20"/>
          <w:szCs w:val="20"/>
          <w:color w:val="auto"/>
        </w:rPr>
      </w:pPr>
    </w:p>
    <w:p>
      <w:pPr>
        <w:ind w:right="52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means the Securities Purchase Agreement dated December 5, 2019 between the Company and the purchasers listed on the signature pages thereto.</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Holder</w:t>
      </w:r>
      <w:r>
        <w:rPr>
          <w:rFonts w:ascii="Times New Roman" w:cs="Times New Roman" w:eastAsia="Times New Roman" w:hAnsi="Times New Roman"/>
          <w:sz w:val="18"/>
          <w:szCs w:val="18"/>
          <w:color w:val="auto"/>
        </w:rPr>
        <w:t>” means any holder of the Series B Preferred Stock.</w:t>
      </w:r>
    </w:p>
    <w:p>
      <w:pPr>
        <w:spacing w:after="0" w:line="225" w:lineRule="exact"/>
        <w:rPr>
          <w:sz w:val="20"/>
          <w:szCs w:val="20"/>
          <w:color w:val="auto"/>
        </w:rPr>
      </w:pPr>
    </w:p>
    <w:p>
      <w:pPr>
        <w:ind w:right="10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means the Series B Convertible Preferred Stock of the Company, issued on the date hereof as contemplated by the Securities Purchase Agreement.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2"/>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means a Registration Statement filed with the Commission on either (i) Form S-3 or (ii) solely if the Company is not permitted to file a Registration Statement on Form S-3 or register all Registrable Securities on such form, an evergreen Registration Statement on Form S-1 (which, in the case the Company is not permitted to register all Registrable Securities on Form S-3, shall register any such shares not registered on Form S-3), in each case for an offering to be made on a continuous basis pursuant to Rule 415 under the Securities Act (or any successor provision) covering the offer and sale of all or any portion of the Registrable Securities, as applicable.</w:t>
      </w:r>
    </w:p>
    <w:p>
      <w:pPr>
        <w:spacing w:after="0" w:line="18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Suspension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2"/>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07" w:name="page108"/>
    <w:bookmarkEnd w:id="107"/>
    <w:p>
      <w:pPr>
        <w:ind w:left="1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Suspending Officer’s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or underwriters (or other counterparty) for reoffering to the public.</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2.02(f)(ii)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Valid Business Reason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warrants, exercisable for shares of Common Stock, issued on the date hereof as contemplated by the Securities Purchase Agreement.</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means a “well-known seasoned issuer” as defined in Rule 405 promulgated under the Securities Act.</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 In this Agreement, except as otherwise provided:</w:t>
      </w:r>
    </w:p>
    <w:p>
      <w:pPr>
        <w:spacing w:after="0" w:line="117" w:lineRule="exact"/>
        <w:rPr>
          <w:sz w:val="20"/>
          <w:szCs w:val="20"/>
          <w:color w:val="auto"/>
        </w:rPr>
      </w:pPr>
    </w:p>
    <w:p>
      <w:pPr>
        <w:ind w:right="200" w:firstLine="1436"/>
        <w:spacing w:after="0" w:line="282" w:lineRule="auto"/>
        <w:tabs>
          <w:tab w:leader="none" w:pos="16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 Article, Section, Schedule or Exhibit is a reference to an Article or Section of, or Schedule or Exhibit to, this Agreement, and references to this Agreement include any recital in or Schedule or Exhibit to this Agreement.</w:t>
      </w:r>
    </w:p>
    <w:p>
      <w:pPr>
        <w:spacing w:after="0" w:line="53" w:lineRule="exact"/>
        <w:rPr>
          <w:rFonts w:ascii="Times New Roman" w:cs="Times New Roman" w:eastAsia="Times New Roman" w:hAnsi="Times New Roman"/>
          <w:sz w:val="18"/>
          <w:szCs w:val="18"/>
          <w:color w:val="auto"/>
        </w:rPr>
      </w:pPr>
    </w:p>
    <w:p>
      <w:pPr>
        <w:ind w:left="1700" w:hanging="264"/>
        <w:spacing w:after="0"/>
        <w:tabs>
          <w:tab w:leader="none" w:pos="17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form an integral part of and are hereby incorporated by reference into this Agreement.</w:t>
      </w:r>
    </w:p>
    <w:p>
      <w:pPr>
        <w:spacing w:after="0" w:line="117" w:lineRule="exact"/>
        <w:rPr>
          <w:rFonts w:ascii="Times New Roman" w:cs="Times New Roman" w:eastAsia="Times New Roman" w:hAnsi="Times New Roman"/>
          <w:sz w:val="18"/>
          <w:szCs w:val="18"/>
          <w:color w:val="auto"/>
        </w:rPr>
      </w:pPr>
    </w:p>
    <w:p>
      <w:pPr>
        <w:ind w:left="1760" w:hanging="324"/>
        <w:spacing w:after="0"/>
        <w:tabs>
          <w:tab w:leader="none" w:pos="1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and the Table of Contents are inserted for convenience only and shall not affect the construction or interpretation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98" w:lineRule="exact"/>
        <w:rPr>
          <w:rFonts w:ascii="Times New Roman" w:cs="Times New Roman" w:eastAsia="Times New Roman" w:hAnsi="Times New Roman"/>
          <w:sz w:val="18"/>
          <w:szCs w:val="18"/>
          <w:color w:val="auto"/>
        </w:rPr>
      </w:pPr>
    </w:p>
    <w:p>
      <w:pPr>
        <w:ind w:right="60" w:firstLine="1436"/>
        <w:spacing w:after="0" w:line="266" w:lineRule="auto"/>
        <w:tabs>
          <w:tab w:leader="none" w:pos="17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words importing the singular include the plural and vice versa, words importing the masculine include the feminine and vice versa, and words importing persons include corporations, associations, partnerships, joint ventures and limited liability companies and vice versa.</w:t>
      </w:r>
    </w:p>
    <w:p>
      <w:pPr>
        <w:spacing w:after="0" w:line="68" w:lineRule="exact"/>
        <w:rPr>
          <w:rFonts w:ascii="Times New Roman" w:cs="Times New Roman" w:eastAsia="Times New Roman" w:hAnsi="Times New Roman"/>
          <w:sz w:val="18"/>
          <w:szCs w:val="18"/>
          <w:color w:val="auto"/>
        </w:rPr>
      </w:pPr>
    </w:p>
    <w:p>
      <w:pPr>
        <w:ind w:firstLine="1436"/>
        <w:spacing w:after="0" w:line="266" w:lineRule="auto"/>
        <w:tabs>
          <w:tab w:leader="none" w:pos="168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the words “hereof” and “herein,” and words of similar meaning refer to this Agreement as a whole and not to any particular Article, Section or clause. The words “include,” “includes” and “including” shall be deemed to be followed by the words “without limitation.”</w:t>
      </w:r>
    </w:p>
    <w:p>
      <w:pPr>
        <w:spacing w:after="0" w:line="68" w:lineRule="exact"/>
        <w:rPr>
          <w:rFonts w:ascii="Times New Roman" w:cs="Times New Roman" w:eastAsia="Times New Roman" w:hAnsi="Times New Roman"/>
          <w:sz w:val="18"/>
          <w:szCs w:val="18"/>
          <w:color w:val="auto"/>
        </w:rPr>
      </w:pPr>
    </w:p>
    <w:p>
      <w:pPr>
        <w:ind w:right="600" w:firstLine="1436"/>
        <w:spacing w:after="0" w:line="282" w:lineRule="auto"/>
        <w:tabs>
          <w:tab w:leader="none" w:pos="173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any legislation or to any provision of or form or rule promulgated under any legislation shall include any amendment, modification, substitution or re-enactment thereof.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08" w:name="page109"/>
    <w:bookmarkEnd w:id="108"/>
    <w:p>
      <w:pPr>
        <w:jc w:val="center"/>
        <w:ind w:right="-15"/>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ind w:left="996"/>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36" w:hanging="244"/>
        <w:spacing w:after="0"/>
        <w:tabs>
          <w:tab w:leader="none" w:pos="12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Demand Registration</w:t>
      </w:r>
      <w:r>
        <w:rPr>
          <w:rFonts w:ascii="Times New Roman" w:cs="Times New Roman" w:eastAsia="Times New Roman" w:hAnsi="Times New Roman"/>
          <w:sz w:val="18"/>
          <w:szCs w:val="18"/>
          <w:color w:val="auto"/>
        </w:rPr>
        <w:t>. Subject to the terms and conditions of this Agreement, upon the earlier of (i) March 31, 2021 and</w:t>
      </w:r>
    </w:p>
    <w:p>
      <w:pPr>
        <w:spacing w:after="0" w:line="27" w:lineRule="exact"/>
        <w:rPr>
          <w:rFonts w:ascii="Times New Roman" w:cs="Times New Roman" w:eastAsia="Times New Roman" w:hAnsi="Times New Roman"/>
          <w:sz w:val="18"/>
          <w:szCs w:val="18"/>
          <w:color w:val="auto"/>
        </w:rPr>
      </w:pPr>
    </w:p>
    <w:p>
      <w:pPr>
        <w:ind w:left="-4" w:right="40" w:firstLine="4"/>
        <w:spacing w:after="0" w:line="251" w:lineRule="auto"/>
        <w:tabs>
          <w:tab w:leader="none" w:pos="2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Board of Directors determines to abandon the strategic alternatives process announced in its earnings release for the quarter ended September 30, 2019 (the “</w:t>
      </w:r>
      <w:r>
        <w:rPr>
          <w:rFonts w:ascii="Times New Roman" w:cs="Times New Roman" w:eastAsia="Times New Roman" w:hAnsi="Times New Roman"/>
          <w:sz w:val="18"/>
          <w:szCs w:val="18"/>
          <w:u w:val="single" w:color="auto"/>
          <w:color w:val="auto"/>
        </w:rPr>
        <w:t>Specified Date</w:t>
      </w:r>
      <w:r>
        <w:rPr>
          <w:rFonts w:ascii="Times New Roman" w:cs="Times New Roman" w:eastAsia="Times New Roman" w:hAnsi="Times New Roman"/>
          <w:sz w:val="18"/>
          <w:szCs w:val="18"/>
          <w:color w:val="auto"/>
        </w:rPr>
        <w:t>”), a Requesting Holder (or Requesting Holders, as the case may be) holding Registrable Securities with a liquidation preference or market value (calculated based on the good faith estimate of the Requesting Holder) of at least $20 million (or, if less, all such Registered Holder’s Registrable Securities) may make a written request (a “</w:t>
      </w:r>
      <w:r>
        <w:rPr>
          <w:rFonts w:ascii="Times New Roman" w:cs="Times New Roman" w:eastAsia="Times New Roman" w:hAnsi="Times New Roman"/>
          <w:sz w:val="18"/>
          <w:szCs w:val="18"/>
          <w:u w:val="single" w:color="auto"/>
          <w:color w:val="auto"/>
        </w:rPr>
        <w:t>Demand Registration Notice</w:t>
      </w:r>
      <w:r>
        <w:rPr>
          <w:rFonts w:ascii="Times New Roman" w:cs="Times New Roman" w:eastAsia="Times New Roman" w:hAnsi="Times New Roman"/>
          <w:sz w:val="18"/>
          <w:szCs w:val="18"/>
          <w:color w:val="auto"/>
        </w:rPr>
        <w:t>”) to the Company to register, and the Company shall register, under the Securities Act (other than pursuant to a Registration Statement on Form S-4 or S-8), in accordance with the terms of this Agreement, the number of Registrable Securities stated in such request (a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and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that the Company shall not be obligated to effect any Demand Registration if the Registrable Securities that the Requesting Holder (or Requesting Holders, as the case may be) proposes to sell in such Demand Registration are already covered by an existing and effective Shelf Registration Statement which may be utilized for the offering and sale of the Registrable Securities requested to be registered. Each request for a Demand Registration by a Requesting Holder (or Requesting Holders, as the case may be) shall state the amount of the Registrable Securities proposed to be sold and the intended method of disposition thereof. The Company shall effect such Demand Registration using the appropriate SEC form.</w:t>
      </w:r>
    </w:p>
    <w:p>
      <w:pPr>
        <w:spacing w:after="0" w:line="85" w:lineRule="exact"/>
        <w:rPr>
          <w:rFonts w:ascii="Times New Roman" w:cs="Times New Roman" w:eastAsia="Times New Roman" w:hAnsi="Times New Roman"/>
          <w:sz w:val="18"/>
          <w:szCs w:val="18"/>
          <w:color w:val="auto"/>
        </w:rPr>
      </w:pPr>
    </w:p>
    <w:p>
      <w:pPr>
        <w:ind w:left="-4" w:firstLine="996"/>
        <w:spacing w:after="0" w:line="252" w:lineRule="auto"/>
        <w:tabs>
          <w:tab w:leader="none" w:pos="124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Demand Registrations</w:t>
      </w:r>
      <w:r>
        <w:rPr>
          <w:rFonts w:ascii="Times New Roman" w:cs="Times New Roman" w:eastAsia="Times New Roman" w:hAnsi="Times New Roman"/>
          <w:sz w:val="18"/>
          <w:szCs w:val="18"/>
          <w:color w:val="auto"/>
        </w:rPr>
        <w:t>. If the Board of Directors, in its good faith judgment, determines that the registration of Registrable Securities pursuant to a Demand Registration, or the amendment or supplement of a Registration Statement filed pursuant to a Demand Registration, would materially interfere with any financing, acquisition, corporate reorganization or merger or other transaction involving the Company or would require the Company to make an Adverse Disclosure, or that suspension of such registration is necessary to prepare, obtain or have audited any financial statements or other financial information required by law or SEC regulations to be included or incorporated by reference in the Registration Statement or Prospectus (each, a “</w:t>
      </w:r>
      <w:r>
        <w:rPr>
          <w:rFonts w:ascii="Times New Roman" w:cs="Times New Roman" w:eastAsia="Times New Roman" w:hAnsi="Times New Roman"/>
          <w:sz w:val="18"/>
          <w:szCs w:val="18"/>
          <w:u w:val="single" w:color="auto"/>
          <w:color w:val="auto"/>
        </w:rPr>
        <w:t>Valid Business Reason</w:t>
      </w:r>
      <w:r>
        <w:rPr>
          <w:rFonts w:ascii="Times New Roman" w:cs="Times New Roman" w:eastAsia="Times New Roman" w:hAnsi="Times New Roman"/>
          <w:sz w:val="18"/>
          <w:szCs w:val="18"/>
          <w:color w:val="auto"/>
        </w:rPr>
        <w:t>”), and the Company furnishes to the Requesting Holder (or Requesting Holders, as the case may be) a certificate signed by the Chief Executive Officer and/or the Chief Financial Officer of the Company (or persons in substantially equivalent positions) stating that a Valid Business Reason exists (the “</w:t>
      </w:r>
      <w:r>
        <w:rPr>
          <w:rFonts w:ascii="Times New Roman" w:cs="Times New Roman" w:eastAsia="Times New Roman" w:hAnsi="Times New Roman"/>
          <w:sz w:val="18"/>
          <w:szCs w:val="18"/>
          <w:u w:val="single" w:color="auto"/>
          <w:color w:val="auto"/>
        </w:rPr>
        <w:t>Postponing Officer’s Certificate</w:t>
      </w:r>
      <w:r>
        <w:rPr>
          <w:rFonts w:ascii="Times New Roman" w:cs="Times New Roman" w:eastAsia="Times New Roman" w:hAnsi="Times New Roman"/>
          <w:sz w:val="18"/>
          <w:szCs w:val="18"/>
          <w:color w:val="auto"/>
        </w:rPr>
        <w:t xml:space="preserve">”), (i) the Company may postpone the filing or effectiveness of the Registration Statement (but not the preparation of the Registration Statement) relating to such Demand Registration and (ii) in the case of a Registration Statement that has been filed with respect to a Demand Registration, the Company may postpone amending or supplementing such Registration Statement,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until such Valid Business Reason ceases to exist (a “</w:t>
      </w:r>
      <w:r>
        <w:rPr>
          <w:rFonts w:ascii="Times New Roman" w:cs="Times New Roman" w:eastAsia="Times New Roman" w:hAnsi="Times New Roman"/>
          <w:sz w:val="18"/>
          <w:szCs w:val="18"/>
          <w:u w:val="single" w:color="auto"/>
          <w:color w:val="auto"/>
        </w:rPr>
        <w:t>Demand Suspension</w:t>
      </w:r>
      <w:r>
        <w:rPr>
          <w:rFonts w:ascii="Times New Roman" w:cs="Times New Roman" w:eastAsia="Times New Roman" w:hAnsi="Times New Roman"/>
          <w:sz w:val="18"/>
          <w:szCs w:val="18"/>
          <w:color w:val="auto"/>
        </w:rPr>
        <w:t>”), but in no event shall any such postponement be for more than ninety (90) consecutive days after the date of the Demand Registration Notice or, if later, the occurrence of the Valid Business Reason. For the avoidance of doubt, it is understood and agreed that the Postponing Officer’s Certificate shall contain no information about the Valid</w:t>
      </w:r>
    </w:p>
    <w:p>
      <w:pPr>
        <w:spacing w:after="0" w:line="13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16"/>
          </w:cols>
          <w:pgMar w:left="444" w:top="270" w:right="439" w:bottom="1440" w:gutter="0" w:footer="0" w:header="0"/>
        </w:sectPr>
      </w:pPr>
    </w:p>
    <w:bookmarkStart w:id="109" w:name="page110"/>
    <w:bookmarkEnd w:id="10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Reason or the Adverse Disclosure, and shall merely state that a Valid Business Reason exists. In the event of any such postponement, the Requesting Holder (or requesting Holders, as the case may be) initiating such Demand Registration shall be entitled to withdraw the Demand Registration request by delivering written notice to the Company within five (5) days of receipt of a Postponing Officer’s Certificate. In addition to the Postponing Officer’s Certificate discussed above, the Company shall promptly give written notice to the Requesting Holder (or Requesting Holders, as the case may be) once the Valid Business Reason for such postponement no longer exists. Notwithstanding anything to the contrary contained herein, the Company may not postpone a filing, amendment or supplement or suspend the use of a Shelf Registration Statement pursuant to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xml:space="preserve"> or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due to a Valid Business Reason more than two (2) times, or for more than an aggregate of ninety (90) days, in all such cases, during any 12-month period. Each Holder shall keep confidential the fact that a Demand Registration Notice was made and, if applicable, a Demand Suspension is in effect, the Postponing Officer’s Certificate and its contents unless and until otherwise notified by the Company, except (A) for disclosure to such Holder’s directors, officers,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Holder, was not subject to an obligation or duty of confidentiality to the Company and its Subsidiaries, (D) as required by law, rule or regulation, provided that the Holder gives prior written notice to the Company of such requirement and the contents of the proposed disclosure to the extent it is permitted to do so under applicable law, and (E) for disclosure to any other Holder.</w:t>
      </w:r>
    </w:p>
    <w:p>
      <w:pPr>
        <w:spacing w:after="0" w:line="88" w:lineRule="exact"/>
        <w:rPr>
          <w:sz w:val="20"/>
          <w:szCs w:val="20"/>
          <w:color w:val="auto"/>
        </w:rPr>
      </w:pPr>
    </w:p>
    <w:p>
      <w:pPr>
        <w:ind w:firstLine="996"/>
        <w:spacing w:after="0" w:line="253"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Incidental or “Piggy-Back” Rights with Respect to a Demand Registration</w:t>
      </w:r>
      <w:r>
        <w:rPr>
          <w:rFonts w:ascii="Times New Roman" w:cs="Times New Roman" w:eastAsia="Times New Roman" w:hAnsi="Times New Roman"/>
          <w:sz w:val="18"/>
          <w:szCs w:val="18"/>
          <w:color w:val="auto"/>
        </w:rPr>
        <w:t xml:space="preserve">. Each of the Holders (other than the Requesting Holder(s) that requested the relevant Demand Registration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may offer such Holder’s Registrable Securities under any such Demand Registration pursuant to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The Company shall (i) as promptly as practicable, but in no event later than five (5) Business Days after the receipt of a request for a Demand Registration from any Requesting Holder(s), give written notice thereof to all of the Holders (other than such Requesting Holder(s)), which notice shall specify the number of Registrable Securities subject to the request for Demand Registration, the name of the Requesting Holder(s) and the intended method of disposition of such Registrable Securities and (ii) subject to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 xml:space="preserve">, include in the Registration Statement filed pursuant to such Demand Registration all of the Registrable Securities requested by such Holders for inclusion in such Registration Statement from whom the Company has received a written request for inclusion therein within five (5) days after the receipt by such Holders of such written notice referred to in clause (i) above. Each such request by such Holders shall specify the number of Registrable Securities proposed to be registered. Any Holder may waive its rights under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prior to the expiration of such five (5) day period by giving written notice to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10" w:name="page111"/>
    <w:bookmarkEnd w:id="110"/>
    <w:p>
      <w:pPr>
        <w:ind w:left="-20" w:firstLine="996"/>
        <w:spacing w:after="0" w:line="254" w:lineRule="auto"/>
        <w:tabs>
          <w:tab w:leader="none" w:pos="12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Demand Registration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the Company shall use its reasonable best efforts to file a Registration Statement relating to the Demand Registration as promptly as practicable (but in no event later than thirty (30) days after it receives a Demand Registration Notice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hereof), and shall use its reasonable best efforts to cause such Registration Statement to become effective as promptly as practicable thereafter (but in no event later than sixty (60) days after it shall have filed such Registration Statement, unless it is not practicable to do so due to circumstances directly relating to outstanding comments of the Commission relating to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using its reasonable best efforts to address any such comments as promptly as possible). Except as provided herein, the Company shall use its reasonable best efforts to keep any Demand Registration filed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continuously effective under the Securities Act until the earliest of (i) one hundred eighty (180) days after the date it first becomes effective, (ii) the date on which this Agreement terminates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all Participating Holders and (iii) the date on which all Registrable Securities included in such Registration Statement have been sold pursuant to the Registration Statement or the Registrable Securities registered hereunder cease to be Registrable Securities.</w:t>
      </w:r>
    </w:p>
    <w:p>
      <w:pPr>
        <w:spacing w:after="0" w:line="78" w:lineRule="exact"/>
        <w:rPr>
          <w:rFonts w:ascii="Times New Roman" w:cs="Times New Roman" w:eastAsia="Times New Roman" w:hAnsi="Times New Roman"/>
          <w:sz w:val="18"/>
          <w:szCs w:val="18"/>
          <w:color w:val="auto"/>
        </w:rPr>
      </w:pPr>
    </w:p>
    <w:p>
      <w:pPr>
        <w:ind w:left="-20" w:firstLine="996"/>
        <w:spacing w:after="0" w:line="258" w:lineRule="auto"/>
        <w:tabs>
          <w:tab w:leader="none" w:pos="12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Each Participating Holder (including the Requesting Holder(s)) shall be permitted to withdraw all or part of its Registrable Securities from a Demand Registration at any time prior to the time the Commission declares the Registration Statement effective by giving written notice to the Company of its request to withdraw. Except as provided herein, each Participating Holder shall be responsible for its own fees and expenses of counsel and financial advisors and their internal administrative and similar costs, as well as their respective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shares of underwriters’ commissions and discounts, which shall not constitute Registration Expenses.</w:t>
      </w:r>
    </w:p>
    <w:p>
      <w:pPr>
        <w:spacing w:after="0" w:line="75" w:lineRule="exact"/>
        <w:rPr>
          <w:rFonts w:ascii="Times New Roman" w:cs="Times New Roman" w:eastAsia="Times New Roman" w:hAnsi="Times New Roman"/>
          <w:sz w:val="18"/>
          <w:szCs w:val="18"/>
          <w:color w:val="auto"/>
        </w:rPr>
      </w:pPr>
    </w:p>
    <w:p>
      <w:pPr>
        <w:ind w:left="-20" w:right="40" w:firstLine="996"/>
        <w:spacing w:after="0" w:line="252" w:lineRule="auto"/>
        <w:tabs>
          <w:tab w:leader="none" w:pos="11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 Procedures</w:t>
      </w:r>
      <w:r>
        <w:rPr>
          <w:rFonts w:ascii="Times New Roman" w:cs="Times New Roman" w:eastAsia="Times New Roman" w:hAnsi="Times New Roman"/>
          <w:sz w:val="18"/>
          <w:szCs w:val="18"/>
          <w:color w:val="auto"/>
        </w:rPr>
        <w:t xml:space="preserve">. If the Requesting Holder(s) making a Demand Registration request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so elect in the Demand Registration Notice, the Company shall use its reasonable best efforts to cause the offering made pursuant to such Demand Registration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to be in the form of a firm commitment underwritten offering. In connection with any Demand Registration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involving an underwritten offering, none of the Registrable Securities held by any Holder making a request for inclusion of such Registrable Securities pursuant to </w:t>
      </w:r>
      <w:r>
        <w:rPr>
          <w:rFonts w:ascii="Times New Roman" w:cs="Times New Roman" w:eastAsia="Times New Roman" w:hAnsi="Times New Roman"/>
          <w:sz w:val="18"/>
          <w:szCs w:val="18"/>
          <w:u w:val="single" w:color="auto"/>
          <w:color w:val="auto"/>
        </w:rPr>
        <w:t>Sections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included in such underwritten offering unless, at the request of the underwriters for such Demand Registration, such Holder enters into an underwriting agreement pursuant to the terms of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hereof and then only in such quantity as set forth below. If the managing underwriter or underwriters of any proposed Demand Registration informs the Holders that have requested to participate in such Demand Registration that, in its or their good faith opinion, the number of securities which such Holders intend to include in such offering exceeds the Maximum Offering Size, then the Company shall include in such registration: (i) first, Registrable Securities that are requested to be included in such registration pursuant to </w:t>
      </w:r>
      <w:r>
        <w:rPr>
          <w:rFonts w:ascii="Times New Roman" w:cs="Times New Roman" w:eastAsia="Times New Roman" w:hAnsi="Times New Roman"/>
          <w:sz w:val="18"/>
          <w:szCs w:val="18"/>
          <w:u w:val="single" w:color="auto"/>
          <w:color w:val="auto"/>
        </w:rPr>
        <w:t>Sections 2.01(a)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 relative number of Registrable Securities owned at such time by each Holder seeking to participate in the Demand Registration; and (ii) second, after all of the Registrable Securities requested to be included in clause (i) are included, the Company Shares or other securities to be issued by the Company or held by any holder thereof with a contractual right to include such Company Shares or other securities in such registration that can be sold without having the adverse effect referred to above,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on a basis based on the number of Company Shares or other securities proposed to be registered by each such Person. The Holders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Registrable Securities to be included in any Demand Registration shall have the right to select, subject to the prior written consent of the Company (not to be unreasonably withheld, conditioned or delayed), the managing underwriter or underwriters to administer such offering.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111" w:name="page112"/>
    <w:bookmarkEnd w:id="111"/>
    <w:p>
      <w:pPr>
        <w:ind w:left="-80" w:right="120" w:firstLine="996"/>
        <w:spacing w:after="0" w:line="254" w:lineRule="auto"/>
        <w:tabs>
          <w:tab w:leader="none" w:pos="11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Undertakings</w:t>
      </w:r>
      <w:r>
        <w:rPr>
          <w:rFonts w:ascii="Times New Roman" w:cs="Times New Roman" w:eastAsia="Times New Roman" w:hAnsi="Times New Roman"/>
          <w:sz w:val="18"/>
          <w:szCs w:val="18"/>
          <w:color w:val="auto"/>
        </w:rPr>
        <w:t xml:space="preserve">. Notwithstanding any other provisions of this Agreement to the contrary, the Company shall cause (i) each Demand Registration Statement (as of the effective date thereof), any amendment thereof (as of the effective date thereof) or supplement thereto (as of its date), (A) to comply in all material respects with applicable SEC Guidance and (B) not to contain any untrue statement of a material fact or omit to state a material fact required to be stated therein or necessary in order to make the statements therein not misleading, and (ii) any related Prospectus (including any preliminary Prospectus) or Issuer Free Writing Prospectus and any amendment thereof or supplement thereto, as of its date, (A) to comply in all material respects with applicable SEC Guidance and (B) not to contain any untrue statement of a material fact or omit to state a material fact required to be stated therein or necessary in order to make the statements therein, in light of the circumstances in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have no such obligations or liabilities with respect to any written information pertaining to any Holder and furnished in writing to the Company by or on behalf of such Holder specifically for inclusion therein.</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 w:firstLine="996"/>
        <w:spacing w:after="0" w:line="252" w:lineRule="auto"/>
        <w:tabs>
          <w:tab w:leader="none" w:pos="115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Shelf Registration</w:t>
      </w:r>
      <w:r>
        <w:rPr>
          <w:rFonts w:ascii="Times New Roman" w:cs="Times New Roman" w:eastAsia="Times New Roman" w:hAnsi="Times New Roman"/>
          <w:sz w:val="18"/>
          <w:szCs w:val="18"/>
          <w:color w:val="auto"/>
        </w:rPr>
        <w:t xml:space="preserve">. No later than fifteen (15) Business Days after the Specified Date, the Company shall file with the Commission a Shelf Registration Statement on Form S-3 covering the resale of all Registrable Securities, and shall use its reasonable best efforts to cause such Shelf Registration Statement to become effective as promptly as practicable (but in no event later than ninety (90) days after it shall have filed such Shelf Registration Statement (or the 30th day if the Commission does not review the Registration Statement), unless it is not practicable to do so due to circumstances directly relating to outstanding comments of the Commission relating to such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is using its reasonable best efforts to address any such comments as promptly as possible). If at the time of filing of such Shelf Registration Statement the Company is eligible for use of an Automatic Shelf Registration Statement, then such Shelf Registration Statement shall be filed as an Automatic Shelf Registration Statement in accordance with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 xml:space="preserve">. The Shelf Registration Statement described in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shall relate to the offer and sale of the Registrable Securities by the Holders thereof from time to time in accordance with the methods of distribution set forth in the applicable Shelf Registration Statement (hereinafter the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The Company shall use its reasonable best efforts to address any comments from the Commission regarding such Shelf Registration Statement and to advocate with the Commission for the Registration of all Registrable Securities in accordance with SEC Guidance (it being understood that the Company shall not be required to institute or maintain any action, suit or proceeding against the Commission or any member of the staff of the Commission). Notwithstanding the foregoing, if the Commission or SEC Guidance prevents the Company from including any or all of the Registrable Securities on any Shelf Registration Statement, such Shelf Registration Statement shall include the resale of a number of Registrable Securities which is equal to the maximum amount permitted by the Commission. In such event, the number of Registrable Securities to be included for each Holder in the applicable Shelf Registration Statement shall be reduced pro rata among all 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20" w:top="270" w:right="499" w:bottom="1440" w:gutter="0" w:footer="0" w:header="0"/>
        </w:sectPr>
      </w:pPr>
    </w:p>
    <w:bookmarkStart w:id="112" w:name="page113"/>
    <w:bookmarkEnd w:id="112"/>
    <w:p>
      <w:pPr>
        <w:ind w:left="-20" w:firstLine="996"/>
        <w:spacing w:after="0" w:line="252" w:lineRule="auto"/>
        <w:tabs>
          <w:tab w:leader="none" w:pos="12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Information to be Provided</w:t>
      </w:r>
      <w:r>
        <w:rPr>
          <w:rFonts w:ascii="Times New Roman" w:cs="Times New Roman" w:eastAsia="Times New Roman" w:hAnsi="Times New Roman"/>
          <w:sz w:val="18"/>
          <w:szCs w:val="18"/>
          <w:color w:val="auto"/>
        </w:rPr>
        <w:t>. The Company will give notice of its intention to file the Shelf Registration Statement to the Holders at least ten (10) Business Days prior to the intended filing date of the Shelf Registration Statement. Each Holder of Registrable Securities agrees to deliver such information regarding the distribution of such securities and such other information relating to such Holder and its ownership of Registrable Securities as the Company may reasonably request in writing, if any, to the Company at least five (5) Business Days prior to the anticipated filing date of the Shelf Registration Statement. If a Holder does not provide all such information the Company may reasonably request (a “</w:t>
      </w:r>
      <w:r>
        <w:rPr>
          <w:rFonts w:ascii="Times New Roman" w:cs="Times New Roman" w:eastAsia="Times New Roman" w:hAnsi="Times New Roman"/>
          <w:sz w:val="18"/>
          <w:szCs w:val="18"/>
          <w:u w:val="single" w:color="auto"/>
          <w:color w:val="auto"/>
        </w:rPr>
        <w:t>Non-Complying Holder</w:t>
      </w:r>
      <w:r>
        <w:rPr>
          <w:rFonts w:ascii="Times New Roman" w:cs="Times New Roman" w:eastAsia="Times New Roman" w:hAnsi="Times New Roman"/>
          <w:sz w:val="18"/>
          <w:szCs w:val="18"/>
          <w:color w:val="auto"/>
        </w:rPr>
        <w:t>”), that Holder will not be named as a selling securityholder in the Prospectus and will not be permitted to sell its securities under the Shelf Registration Statement. From and after the effective date of the Shelf Registration Statement, the Company shall use reasonable best efforts, as promptly as is practicable after a Non-Complying Holder delivers the information required pursuant to the previous two sentences, (i) if required by applicable law, to file with the Commission a post-effective amendment to the Shelf Registration Statement; and, if the Company shall file a post-effective amendment to the Shelf Registration Statement, use reasonable best efforts to cause such post-effective amendment to be declared effective under the Securities Act as promptly as is practicable; or (ii) to prepare and, if permitted or required by applicable law, to file a supplement to the related Prospectus or an amendment or supplement to any document incorporated therein by reference or file any other required document so that the Non-Complying Holder is named as a selling securityholder in the Shelf Registration Statement and the related Prospectus, and so that such Holder is permitted to deliver such Prospectus to purchasers of the Registrable Securities in accordance with applicable law; provided, that the Company shall not be required to file more than one post-effective amendment under this clause (b) in any calendar quarter or to file a supplement or post-effective amendment during any Shelf Suspension (but shall be required to make such filing as soon as practicable thereafter).</w:t>
      </w:r>
    </w:p>
    <w:p>
      <w:pPr>
        <w:spacing w:after="0" w:line="88" w:lineRule="exact"/>
        <w:rPr>
          <w:rFonts w:ascii="Times New Roman" w:cs="Times New Roman" w:eastAsia="Times New Roman" w:hAnsi="Times New Roman"/>
          <w:sz w:val="18"/>
          <w:szCs w:val="18"/>
          <w:color w:val="auto"/>
        </w:rPr>
      </w:pPr>
    </w:p>
    <w:p>
      <w:pPr>
        <w:ind w:left="-20" w:right="40" w:firstLine="996"/>
        <w:spacing w:after="0" w:line="255" w:lineRule="auto"/>
        <w:tabs>
          <w:tab w:leader="none" w:pos="12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Effectiveness</w:t>
      </w:r>
      <w:r>
        <w:rPr>
          <w:rFonts w:ascii="Times New Roman" w:cs="Times New Roman" w:eastAsia="Times New Roman" w:hAnsi="Times New Roman"/>
          <w:sz w:val="18"/>
          <w:szCs w:val="18"/>
          <w:color w:val="auto"/>
        </w:rPr>
        <w:t xml:space="preserve">. Except as provided herein, the Company shall use its reasonable best efforts to keep any Shelf Registration Statement filed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continuously effective under the Securities Act until the earliest of (i) the date as of which all Registrable Securities have been sold pursuant to such Shelf Registration Statement or another Registration Statement filed under the Securities Act (but in no event prior to the applicable period referred to in Section 4(a)(3) of the Securities Act and Rule 174 thereunder), (ii) the date on which this Agreement terminates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all Participating Holders, (iii) the date on which all Registrable Securities included in such Shelf Registration Statement cease to be Registrable Securities and (iv) such shorter period as all of the Participating Holders with respect to such Shelf Registration shall agree in writing.</w:t>
      </w:r>
    </w:p>
    <w:p>
      <w:pPr>
        <w:spacing w:after="0" w:line="81" w:lineRule="exact"/>
        <w:rPr>
          <w:rFonts w:ascii="Times New Roman" w:cs="Times New Roman" w:eastAsia="Times New Roman" w:hAnsi="Times New Roman"/>
          <w:sz w:val="18"/>
          <w:szCs w:val="18"/>
          <w:color w:val="auto"/>
        </w:rPr>
      </w:pPr>
    </w:p>
    <w:p>
      <w:pPr>
        <w:ind w:left="-20" w:right="40" w:firstLine="996"/>
        <w:spacing w:after="0" w:line="255" w:lineRule="auto"/>
        <w:tabs>
          <w:tab w:leader="none" w:pos="12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Undertakings</w:t>
      </w:r>
      <w:r>
        <w:rPr>
          <w:rFonts w:ascii="Times New Roman" w:cs="Times New Roman" w:eastAsia="Times New Roman" w:hAnsi="Times New Roman"/>
          <w:sz w:val="18"/>
          <w:szCs w:val="18"/>
          <w:color w:val="auto"/>
        </w:rPr>
        <w:t>. Notwithstanding any other provisions of this Agreement to the contrary, the Company shall cause (i) each Shelf Registration Statement (as of the effective date of such Shelf Registration Statement), any amendment thereof (as of the effective date thereof) or supplement thereto (as of its date), (A) to comply in all material respects with applicable SEC Guidance and (B) not to contain any untrue statement of a material fact or omit to state a material fact required to be stated therein or necessary in order to make the statements therein not misleading, and (ii) any related Prospectus (including any preliminary Prospectus) or Issuer Free Writing Prospectus and any amendment thereof or supplement thereto, as of its date, (A) to comply in all material respects with applicable SEC Guidance and (B) not to contain any untrue statement of a material fact or omit to state a material fact required to be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60" w:top="270" w:right="439" w:bottom="1440" w:gutter="0" w:footer="0" w:header="0"/>
        </w:sectPr>
      </w:pPr>
    </w:p>
    <w:bookmarkStart w:id="113" w:name="page114"/>
    <w:bookmarkEnd w:id="11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stated therein or necessary in order to make the statements therein, in light of the circumstances in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have no such obligations or liabilities with respect to any written information pertaining to any Holder and furnished in writing to the Company by or on behalf of such Holder specifically for inclusion therein. The Company agrees, to the extent necessary, to supplement or make amendments to each Shelf Registration Statement if required by the registration form used by the Company for the applicable Registration or by SEC Guidance, or as may reasonably be requested by any Participating Holder to permit such Participating Holders intended method of distribution.</w:t>
      </w:r>
    </w:p>
    <w:p>
      <w:pPr>
        <w:spacing w:after="0" w:line="76" w:lineRule="exact"/>
        <w:rPr>
          <w:sz w:val="20"/>
          <w:szCs w:val="20"/>
          <w:color w:val="auto"/>
        </w:rPr>
      </w:pPr>
    </w:p>
    <w:p>
      <w:pPr>
        <w:ind w:firstLine="996"/>
        <w:spacing w:after="0" w:line="253" w:lineRule="auto"/>
        <w:tabs>
          <w:tab w:leader="none" w:pos="12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Registration</w:t>
      </w:r>
      <w:r>
        <w:rPr>
          <w:rFonts w:ascii="Times New Roman" w:cs="Times New Roman" w:eastAsia="Times New Roman" w:hAnsi="Times New Roman"/>
          <w:sz w:val="18"/>
          <w:szCs w:val="18"/>
          <w:color w:val="auto"/>
        </w:rPr>
        <w:t xml:space="preserve">. If the Board of Directors, in its good faith judgment, determines that a Valid Business Reason shall exist to postpone the filing, amendment, or supplement, or suspend the use, of a Shelf Registration Statement filed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and the Company furnishes to the Participating Holder (or Holders, as the case may be) a certificate signed by the Chief Executive Officer and/or the Chief Financial Officer of the Company (or persons in substantially equivalent positions) (the “</w:t>
      </w:r>
      <w:r>
        <w:rPr>
          <w:rFonts w:ascii="Times New Roman" w:cs="Times New Roman" w:eastAsia="Times New Roman" w:hAnsi="Times New Roman"/>
          <w:sz w:val="18"/>
          <w:szCs w:val="18"/>
          <w:u w:val="single" w:color="auto"/>
          <w:color w:val="auto"/>
        </w:rPr>
        <w:t>Suspending Officer’s Certificate</w:t>
      </w:r>
      <w:r>
        <w:rPr>
          <w:rFonts w:ascii="Times New Roman" w:cs="Times New Roman" w:eastAsia="Times New Roman" w:hAnsi="Times New Roman"/>
          <w:sz w:val="18"/>
          <w:szCs w:val="18"/>
          <w:color w:val="auto"/>
        </w:rPr>
        <w:t>”), then the Company may postpone the filing, amendment or supplement (but not the preparation thereof), and/or suspend use, of such Shelf Registration Statement (a “</w:t>
      </w:r>
      <w:r>
        <w:rPr>
          <w:rFonts w:ascii="Times New Roman" w:cs="Times New Roman" w:eastAsia="Times New Roman" w:hAnsi="Times New Roman"/>
          <w:sz w:val="18"/>
          <w:szCs w:val="18"/>
          <w:u w:val="single" w:color="auto"/>
          <w:color w:val="auto"/>
        </w:rPr>
        <w:t>Shelf 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such postponement or suspension be for more than ninety (90) days after the date of the Suspending Officer’s Certificate. The Company shall not be permitted to exercise a Shelf Suspension or a Demand Suspension more than two (2) times in the aggregate in any 12-month period nor may the aggregate length of all such Shelf Suspensions and Demand Suspensions during any 12-month period exceed ninety</w:t>
      </w:r>
    </w:p>
    <w:p>
      <w:pPr>
        <w:spacing w:after="0" w:line="1" w:lineRule="exact"/>
        <w:rPr>
          <w:rFonts w:ascii="Times New Roman" w:cs="Times New Roman" w:eastAsia="Times New Roman" w:hAnsi="Times New Roman"/>
          <w:sz w:val="18"/>
          <w:szCs w:val="18"/>
          <w:color w:val="auto"/>
        </w:rPr>
      </w:pPr>
    </w:p>
    <w:p>
      <w:pPr>
        <w:ind w:right="20" w:firstLine="4"/>
        <w:spacing w:after="0" w:line="250" w:lineRule="auto"/>
        <w:tabs>
          <w:tab w:leader="none" w:pos="3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Each Holder agrees that, upon delivery of a Suspending Officer’s Certificate, such Holder will forthwith discontinue disposition of Registrable Securities pursuant to the applicable Shelf Registration Statement until the Company informs such Holder in accordance with this </w:t>
      </w:r>
      <w:r>
        <w:rPr>
          <w:rFonts w:ascii="Times New Roman" w:cs="Times New Roman" w:eastAsia="Times New Roman" w:hAnsi="Times New Roman"/>
          <w:sz w:val="18"/>
          <w:szCs w:val="18"/>
          <w:u w:val="single" w:color="auto"/>
          <w:color w:val="auto"/>
        </w:rPr>
        <w:t>Section 2.02(e)</w:t>
      </w:r>
      <w:r>
        <w:rPr>
          <w:rFonts w:ascii="Times New Roman" w:cs="Times New Roman" w:eastAsia="Times New Roman" w:hAnsi="Times New Roman"/>
          <w:sz w:val="18"/>
          <w:szCs w:val="18"/>
          <w:color w:val="auto"/>
        </w:rPr>
        <w:t>, that the Shelf Suspension has been terminated. For the avoidance of doubt, it is understood and agreed that the Suspending Officer’s Certificate shall contain no information about the Valid Business Reason or the Adverse Disclosure, and shall merely state that a Valid Business Reason exists. Each Holder shall keep confidential the fact that a Shelf Suspension is in effect, the Suspending Officer’s Certificate and its contents unless and until otherwise notified by the Company, except (A) for disclosure to such Holder’s employees, agents and professional advisers who reasonably need to know such information for purposes of assisting the Holder with respect to its investment in the Company Shares and agree to keep it confidential,</w:t>
      </w:r>
    </w:p>
    <w:p>
      <w:pPr>
        <w:spacing w:after="0" w:line="3"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Holder, was not subject to an obligation or duty of confidentiality to the Company and its Subsidiaries, (D) as required by law, rule or regulation; provided that the Holder gives prior written notice to the Company of such requirement and the contents of the proposed disclosure to the extent it is permitted to do so under applicable law, and (E) for disclosure to any other Holder. In the case of a Shelf Suspension, the Holders agree to suspend use of the applicable Prospectus and any Issuer Free Writing Prospectus in connection with any sale or purchase of, or offer to sell or purchase, Registrable Securities, upon delivery of the Suspending Officer’s Certificate. The Company shall promptly notify the Holders upon the termination of any Shelf Suspension, amend or supplement the Prospectus and any Issuer Free Writing Prospectus, if necessary, so it does not contain a material misstatement of fact or omit to state a material fact required to be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14" w:name="page115"/>
    <w:bookmarkEnd w:id="114"/>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stated therein or necessary to make the statements therein, in light of the circumstances in which they were made, not misleading and furnish to the Holders such numbers of copies of the Prospectus and any Issuer Free Writing Prospectus as so amended or supplemented as the Holders may reasonably request. The Company agrees, if necessary, to supplement or make amendments to each Shelf Registration Statement if required by the registration form used by the Company for the applicable Registration or by SEC Guidance, or as may reasonably be requested by any Holder.</w:t>
      </w:r>
    </w:p>
    <w:p>
      <w:pPr>
        <w:spacing w:after="0" w:line="72" w:lineRule="exact"/>
        <w:rPr>
          <w:sz w:val="20"/>
          <w:szCs w:val="20"/>
          <w:color w:val="auto"/>
        </w:rPr>
      </w:pPr>
    </w:p>
    <w:p>
      <w:pPr>
        <w:ind w:left="1220" w:hanging="224"/>
        <w:spacing w:after="0"/>
        <w:tabs>
          <w:tab w:leader="none" w:pos="12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1436"/>
        <w:spacing w:after="0" w:line="256" w:lineRule="auto"/>
        <w:tabs>
          <w:tab w:leader="none" w:pos="164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an offering or sale of Registrable Securities pursuant to a Shelf Registration Statement (each, a “</w:t>
      </w:r>
      <w:r>
        <w:rPr>
          <w:rFonts w:ascii="Times New Roman" w:cs="Times New Roman" w:eastAsia="Times New Roman" w:hAnsi="Times New Roman"/>
          <w:sz w:val="18"/>
          <w:szCs w:val="18"/>
          <w:u w:val="single" w:color="auto"/>
          <w:color w:val="auto"/>
        </w:rPr>
        <w:t>Shelf Take-Down</w:t>
      </w:r>
      <w:r>
        <w:rPr>
          <w:rFonts w:ascii="Times New Roman" w:cs="Times New Roman" w:eastAsia="Times New Roman" w:hAnsi="Times New Roman"/>
          <w:sz w:val="18"/>
          <w:szCs w:val="18"/>
          <w:color w:val="auto"/>
        </w:rPr>
        <w:t xml:space="preserve">”) may be initiated by any Holder (or Holders, as the case may be) that has Registrable Securities registered for sale on such Shelf Registration Statement. The Company shall effect such Shelf Take-Down as promptly as practicable in accordance with this Agreement and except as set forth in </w:t>
      </w:r>
      <w:r>
        <w:rPr>
          <w:rFonts w:ascii="Times New Roman" w:cs="Times New Roman" w:eastAsia="Times New Roman" w:hAnsi="Times New Roman"/>
          <w:sz w:val="18"/>
          <w:szCs w:val="18"/>
          <w:u w:val="single" w:color="auto"/>
          <w:color w:val="auto"/>
        </w:rPr>
        <w:t>Section 2.02(f)(iii)</w:t>
      </w:r>
      <w:r>
        <w:rPr>
          <w:rFonts w:ascii="Times New Roman" w:cs="Times New Roman" w:eastAsia="Times New Roman" w:hAnsi="Times New Roman"/>
          <w:sz w:val="18"/>
          <w:szCs w:val="18"/>
          <w:color w:val="auto"/>
        </w:rPr>
        <w:t xml:space="preserve"> with respect to Marketed Underwritten Shelf Take-Downs, each such Requesting Holder shall not be required to permit the offer and sale of Registrable Securities by other Holders in connection with any such Shelf Take-Down initiated by such Requesting Holder(s).</w:t>
      </w:r>
    </w:p>
    <w:p>
      <w:pPr>
        <w:spacing w:after="0" w:line="79" w:lineRule="exact"/>
        <w:rPr>
          <w:rFonts w:ascii="Times New Roman" w:cs="Times New Roman" w:eastAsia="Times New Roman" w:hAnsi="Times New Roman"/>
          <w:sz w:val="18"/>
          <w:szCs w:val="18"/>
          <w:color w:val="auto"/>
        </w:rPr>
      </w:pPr>
    </w:p>
    <w:p>
      <w:pPr>
        <w:ind w:right="40" w:firstLine="1436"/>
        <w:spacing w:after="0" w:line="255" w:lineRule="auto"/>
        <w:tabs>
          <w:tab w:leader="none" w:pos="169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if the Requesting Holder(s) so elects by written request to the Company, a Shelf Take-Down, with respect to which the anticipated aggregate offering price to the public (calculated based upon the fair market value of the Registrable Securities as determined in good faith by the Requesting Holder) of the Registrable Securities that the Requesting Holder(s) request to include in such Shelf Take-Down is at least $20 million, shall be in the form of an Underwritten Offering (an “</w:t>
      </w:r>
      <w:r>
        <w:rPr>
          <w:rFonts w:ascii="Times New Roman" w:cs="Times New Roman" w:eastAsia="Times New Roman" w:hAnsi="Times New Roman"/>
          <w:sz w:val="18"/>
          <w:szCs w:val="18"/>
          <w:u w:val="single" w:color="auto"/>
          <w:color w:val="auto"/>
        </w:rPr>
        <w:t>Underwritten Shelf Take-Down Notice</w:t>
      </w:r>
      <w:r>
        <w:rPr>
          <w:rFonts w:ascii="Times New Roman" w:cs="Times New Roman" w:eastAsia="Times New Roman" w:hAnsi="Times New Roman"/>
          <w:sz w:val="18"/>
          <w:szCs w:val="18"/>
          <w:color w:val="auto"/>
        </w:rPr>
        <w:t>”), and the Company shall amend or supplement the applicable Shelf Registration Statement for such purpose as soon as practicable. Subject to clause (iii) below, such Requesting Holder(s) shall have the right to select, subject to the prior written consent of the Company (not to be unreasonably withheld, conditioned or delayed), the managing underwriter or underwriters to administer such offering.</w:t>
      </w:r>
    </w:p>
    <w:p>
      <w:pPr>
        <w:spacing w:after="0" w:line="81" w:lineRule="exact"/>
        <w:rPr>
          <w:rFonts w:ascii="Times New Roman" w:cs="Times New Roman" w:eastAsia="Times New Roman" w:hAnsi="Times New Roman"/>
          <w:sz w:val="18"/>
          <w:szCs w:val="18"/>
          <w:color w:val="auto"/>
        </w:rPr>
      </w:pPr>
    </w:p>
    <w:p>
      <w:pPr>
        <w:ind w:firstLine="1436"/>
        <w:spacing w:after="0" w:line="253" w:lineRule="auto"/>
        <w:tabs>
          <w:tab w:leader="none" w:pos="1748"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of distribution for any Underwritten Shelf Take-Down Notice includes a customary “road show” (including an “electronic road show”) or other substantial marketing effort by the Company and the underwriters over a period expected not to exceed 48 hours (a “</w:t>
      </w:r>
      <w:r>
        <w:rPr>
          <w:rFonts w:ascii="Times New Roman" w:cs="Times New Roman" w:eastAsia="Times New Roman" w:hAnsi="Times New Roman"/>
          <w:sz w:val="18"/>
          <w:szCs w:val="18"/>
          <w:u w:val="single" w:color="auto"/>
          <w:color w:val="auto"/>
        </w:rPr>
        <w:t>Marketed Underwritten Shelf Take-Down</w:t>
      </w:r>
      <w:r>
        <w:rPr>
          <w:rFonts w:ascii="Times New Roman" w:cs="Times New Roman" w:eastAsia="Times New Roman" w:hAnsi="Times New Roman"/>
          <w:sz w:val="18"/>
          <w:szCs w:val="18"/>
          <w:color w:val="auto"/>
        </w:rPr>
        <w:t>”), upon delivery of such Underwritten Shelf Take-Down Notice (but in no event more than five (5) Business Days thereafter), the Company shall promptly deliver a written notice (a “</w:t>
      </w:r>
      <w:r>
        <w:rPr>
          <w:rFonts w:ascii="Times New Roman" w:cs="Times New Roman" w:eastAsia="Times New Roman" w:hAnsi="Times New Roman"/>
          <w:sz w:val="18"/>
          <w:szCs w:val="18"/>
          <w:u w:val="single" w:color="auto"/>
          <w:color w:val="auto"/>
        </w:rPr>
        <w:t>Marketed Underwritten Shelf Take-Down Notice</w:t>
      </w:r>
      <w:r>
        <w:rPr>
          <w:rFonts w:ascii="Times New Roman" w:cs="Times New Roman" w:eastAsia="Times New Roman" w:hAnsi="Times New Roman"/>
          <w:sz w:val="18"/>
          <w:szCs w:val="18"/>
          <w:color w:val="auto"/>
        </w:rPr>
        <w:t>”) of such Marketed Underwritten Shelf Take-Down to all Holders with Registrable Securities on the Shelf Registration Statement (other than the Requesting Holder(s)), and the Company shall include in such Marketed Underwritten Shelf Take-Down all such Registrable Securities of such Holders that are Registered on such Shelf Registration Statement for which the Company has received written requests, which requests must specify the aggregate amount of such Registrable Securities of such Holder to be offered and sold pursuant to such Marketed Underwritten Shelf Take-Down, for inclusion therein within five</w:t>
      </w:r>
    </w:p>
    <w:p>
      <w:pPr>
        <w:spacing w:after="0" w:line="1" w:lineRule="exact"/>
        <w:rPr>
          <w:rFonts w:ascii="Times New Roman" w:cs="Times New Roman" w:eastAsia="Times New Roman" w:hAnsi="Times New Roman"/>
          <w:sz w:val="18"/>
          <w:szCs w:val="18"/>
          <w:color w:val="auto"/>
        </w:rPr>
      </w:pPr>
    </w:p>
    <w:p>
      <w:pPr>
        <w:ind w:right="400" w:firstLine="4"/>
        <w:spacing w:after="0" w:line="261"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the date that such Marketed Underwritten Shelf Take-Down Notice has been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managing underwriter or underwriters of any proposed Marketed Underwritten Shelf Take-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15" w:name="page116"/>
    <w:bookmarkEnd w:id="11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Down informs the Holders that have requested to participate in such Marketed Underwritten Shelf Take-Down that, in its or their good faith opinion, the number of securities which such Holders intend to include in such offering exceeds the Maximum Offering Size, then the Company shall include in such registration: (i) first, Registrable Securities that are requested to be included in such registration by the Requesting Holder and the other Holders pursuant to this </w:t>
      </w:r>
      <w:r>
        <w:rPr>
          <w:rFonts w:ascii="Times New Roman" w:cs="Times New Roman" w:eastAsia="Times New Roman" w:hAnsi="Times New Roman"/>
          <w:sz w:val="18"/>
          <w:szCs w:val="18"/>
          <w:u w:val="single" w:color="auto"/>
          <w:color w:val="auto"/>
        </w:rPr>
        <w:t>Section 2.02(f)(iii)</w:t>
      </w:r>
      <w:r>
        <w:rPr>
          <w:rFonts w:ascii="Times New Roman" w:cs="Times New Roman" w:eastAsia="Times New Roman" w:hAnsi="Times New Roman"/>
          <w:sz w:val="18"/>
          <w:szCs w:val="18"/>
          <w:color w:val="auto"/>
        </w:rPr>
        <w:t>, pro rata on the basis of the relative number of Registrable Securities owned at such time by each Holder seeking to participate in the Marketed Underwritten Shelf Take-Down; and (ii) second, after all of the Registrable Securities requested to be included in clause</w:t>
      </w:r>
    </w:p>
    <w:p>
      <w:pPr>
        <w:spacing w:after="0" w:line="3" w:lineRule="exact"/>
        <w:rPr>
          <w:sz w:val="20"/>
          <w:szCs w:val="20"/>
          <w:color w:val="auto"/>
        </w:rPr>
      </w:pPr>
    </w:p>
    <w:p>
      <w:pPr>
        <w:ind w:firstLine="4"/>
        <w:spacing w:after="0" w:line="252" w:lineRule="auto"/>
        <w:tabs>
          <w:tab w:leader="none" w:pos="2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included, the Company Shares or other securities to be issued by the Company or held by any holder thereof with a contractual right to include such Company Shares or other securities in such registration that can be sold without having an adverse effect on such Marketed Underwritten Shelf Take-Down, pro rata on a basis based on the number of Company Shares or other securities to be sold. The Holders of a majority of the Registrable Securities to be included in any Marketed Underwritten Shelf Take-Down shall have the right to select, subject to the prior written consent of the Company (not to be unreasonably withheld, conditioned or delayed), the managing underwriter or underwriters to administer such offering. No holder of securities of the Company shall be permitted to include such holder’s securities in any Marketed Underwritten Shelf Take-Down except for Holders who timely request, in accordance with this clause (iii), to include Registrable Securities in such Marketed Underwritten Shelf Take-Down.</w:t>
      </w:r>
    </w:p>
    <w:p>
      <w:pPr>
        <w:spacing w:after="0" w:line="80" w:lineRule="exact"/>
        <w:rPr>
          <w:rFonts w:ascii="Times New Roman" w:cs="Times New Roman" w:eastAsia="Times New Roman" w:hAnsi="Times New Roman"/>
          <w:sz w:val="18"/>
          <w:szCs w:val="18"/>
          <w:color w:val="auto"/>
        </w:rPr>
      </w:pPr>
    </w:p>
    <w:p>
      <w:pPr>
        <w:ind w:right="60" w:firstLine="1436"/>
        <w:spacing w:after="0" w:line="255" w:lineRule="auto"/>
        <w:tabs>
          <w:tab w:leader="none" w:pos="173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shall be permitted to withdraw all or part of its Registrable Securities from a Shelf Take-Down at any time prior to the sale of the Registrable Securities (in the case of a non-Underwritten Shelf Take-Down) or execution of the underwriting agreement (in the case of an Underwritten Shelf Take-Down), in each case by giving written notice to the Company of its request to withdraw. The Company shall pay all Registration Expenses in connection with a Shelf Take-Down;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required to effect more than three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Underwritten Shelf Take-Downs or two (2) Marketed Underwritten Shelf Take-Downs, in each case, in any 12 month period.</w:t>
      </w:r>
    </w:p>
    <w:p>
      <w:pPr>
        <w:spacing w:after="0" w:line="98" w:lineRule="exact"/>
        <w:rPr>
          <w:rFonts w:ascii="Times New Roman" w:cs="Times New Roman" w:eastAsia="Times New Roman" w:hAnsi="Times New Roman"/>
          <w:sz w:val="18"/>
          <w:szCs w:val="18"/>
          <w:color w:val="auto"/>
        </w:rPr>
      </w:pPr>
    </w:p>
    <w:p>
      <w:pPr>
        <w:ind w:right="100" w:firstLine="1436"/>
        <w:spacing w:after="0" w:line="255" w:lineRule="auto"/>
        <w:tabs>
          <w:tab w:leader="none" w:pos="1688"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keep confidential the fact that a Shelf Take-Down is occurring unless and until otherwise notified by the Company, except (A) for disclosure to such Holder’s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Holder, was not subject to an obligation or duty of confidentiality to the Company and its Subsidiaries, (D) as required by law, rule or regulation; provided that the Holder gives prior written notice to the Company of such requirement and the contents of the proposed disclosure to the extent it is permitted to do so under applicable law, and (E) for disclosure to any other Holder.</w:t>
      </w:r>
    </w:p>
    <w:p>
      <w:pPr>
        <w:spacing w:after="0" w:line="77" w:lineRule="exact"/>
        <w:rPr>
          <w:rFonts w:ascii="Times New Roman" w:cs="Times New Roman" w:eastAsia="Times New Roman" w:hAnsi="Times New Roman"/>
          <w:sz w:val="18"/>
          <w:szCs w:val="18"/>
          <w:color w:val="auto"/>
        </w:rPr>
      </w:pPr>
    </w:p>
    <w:p>
      <w:pPr>
        <w:ind w:right="160" w:firstLine="996"/>
        <w:spacing w:after="0" w:line="266" w:lineRule="auto"/>
        <w:tabs>
          <w:tab w:leader="none" w:pos="124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Shelf Registration Statements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Sections 2.01(a)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2.02(a)</w:t>
      </w:r>
      <w:r>
        <w:rPr>
          <w:rFonts w:ascii="Times New Roman" w:cs="Times New Roman" w:eastAsia="Times New Roman" w:hAnsi="Times New Roman"/>
          <w:sz w:val="18"/>
          <w:szCs w:val="18"/>
          <w:color w:val="auto"/>
        </w:rPr>
        <w:t xml:space="preserve"> and 2.02(b), upon the Company becoming aware that it has become a Well-Known Seasoned Issuer (it being understood that the Company shall independently verify whether it has become a Well-Known Seasoned Issuer at the end of each calendar month ending after the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4529455</wp:posOffset>
            </wp:positionH>
            <wp:positionV relativeFrom="paragraph">
              <wp:posOffset>-313055</wp:posOffset>
            </wp:positionV>
            <wp:extent cx="3619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16" w:name="page117"/>
    <w:bookmarkEnd w:id="116"/>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anniversary of this Agreement), (i) the Company shall give written notice of its intent to file an Automatic Shelf Registration Statement to all of the Holders as promptly as practicable but in no event later than ten (10) Business Days prior to the intended filing date of such Automatic Shelf Registration Statement, and (ii) the Company shall as promptly as practicable and subject to any Shelf Suspension, Register, under an Automatic Shelf Registration Statement, the sale of all of the Registrable Securities in accordance with the terms of this Agreement. The Company shall use its reasonable best efforts to file such Automatic Shelf Registration Statement as promptly as practicable but in no event later than thirty (30) Business Days after it becomes a Well-Known Seasoned Issuer, and to cause such Automatic Shelf Registration Statement to remain effective thereafter until the earlier of the date (x) on which all of the securities covered by such Shelf Registration Statement are no longer Registrable Securities and (y) on which the Company cannot extend the effectiveness of such Shelf Registration Statement because it is no longer eligible for use of Form S-3. The Company shall give written notice of filing such Registration Statement to all of the Holders as promptly as practicable thereafter. At any time after the filing of an Automatic Shelf Registration Statement by the Company, if it is reasonably likely that it will no longer be a Well-Known Seasoned Issuer as of a future determination date (the “</w:t>
      </w:r>
      <w:r>
        <w:rPr>
          <w:rFonts w:ascii="Times New Roman" w:cs="Times New Roman" w:eastAsia="Times New Roman" w:hAnsi="Times New Roman"/>
          <w:sz w:val="17"/>
          <w:szCs w:val="17"/>
          <w:u w:val="single" w:color="auto"/>
          <w:color w:val="auto"/>
        </w:rPr>
        <w:t>Determination Date</w:t>
      </w:r>
      <w:r>
        <w:rPr>
          <w:rFonts w:ascii="Times New Roman" w:cs="Times New Roman" w:eastAsia="Times New Roman" w:hAnsi="Times New Roman"/>
          <w:sz w:val="17"/>
          <w:szCs w:val="17"/>
          <w:color w:val="auto"/>
        </w:rPr>
        <w:t>”), as promptly as practicable, the Company shall (A) give written notice thereof to all of the Holders and</w:t>
      </w:r>
    </w:p>
    <w:p>
      <w:pPr>
        <w:spacing w:after="0" w:line="3" w:lineRule="exact"/>
        <w:rPr>
          <w:sz w:val="20"/>
          <w:szCs w:val="20"/>
          <w:color w:val="auto"/>
        </w:rPr>
      </w:pPr>
    </w:p>
    <w:p>
      <w:pPr>
        <w:ind w:right="160" w:firstLine="4"/>
        <w:spacing w:after="0" w:line="253" w:lineRule="auto"/>
        <w:tabs>
          <w:tab w:leader="none" w:pos="2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file a Registration Statement with respect to a Shelf Registration in accordance with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treating all selling stockholders identified as such in the Automatic Shelf Registration Statement (and amendments or supplements thereto) as Requesting Holders and use its reasonable best efforts to have such Registration Statement declared effective. Any Registration pursuant to this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 xml:space="preserve"> shall be deemed a Shelf Registration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Registration pursuant to this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 xml:space="preserve"> shall not be counted as an additional Demand Registration for purposes of subclause (i)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Piggyback Registration.</w:t>
      </w:r>
    </w:p>
    <w:p>
      <w:pPr>
        <w:spacing w:after="0" w:line="117" w:lineRule="exact"/>
        <w:rPr>
          <w:sz w:val="20"/>
          <w:szCs w:val="20"/>
          <w:color w:val="auto"/>
        </w:rPr>
      </w:pPr>
    </w:p>
    <w:p>
      <w:pPr>
        <w:ind w:right="100" w:firstLine="996"/>
        <w:spacing w:after="0" w:line="276" w:lineRule="auto"/>
        <w:tabs>
          <w:tab w:leader="none" w:pos="1236"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 If at any time, the Company proposes to file a Registration Statement with respect to any offering of its equity securities of the same class as any class of outstanding Registrable Securities for its own account or for the account of any other Persons (other than pursuant to</w:t>
      </w:r>
    </w:p>
    <w:p>
      <w:pPr>
        <w:ind w:firstLine="4"/>
        <w:spacing w:after="0" w:line="251" w:lineRule="auto"/>
        <w:tabs>
          <w:tab w:leader="none" w:pos="2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Statement filed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it being understood that this clause (i) does not limit the rights of Holders to make written requests pursuant to Section 2.01 or Section 2.02 or otherwise limit the applicability thereof, except as otherwise provided herein, (ii) a Registration Statement on Form S-4 or Form S-8, (iii) a Registration of securities solely (a) relating to an offering and sale to employees, directors or consultants of the Company or its Subsidiaries pursuant to any employee stock plan or other employee benefit plan arrangement or (b) solely for the sale of securities, the proceeds of which will be used solely to fund an acquisition, (iv) a Registration not otherwise covered by clause (ii) above pursuant to which the Company is offering to exchange its own securities for other securities, (v) a Registration Statement relating solely to dividend reinvestment or similar plans or (vi) a Shelf Registration Statement pursuant to which only the initial purchasers and subsequent transferees of debt securities of the Company or any of its Subsidiaries that are convertible or exchangeable for Company Shares and that are initially issued pursuant to Rule 144A and/or Regulation S (or any successor provisions) of the Securities Act may resell such debt securities and sell the Company Shares into which such debt securities may be converted or exchanged) (any such offering, other than pursuant to a Registration described in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-1125220</wp:posOffset>
            </wp:positionV>
            <wp:extent cx="2286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-1125220</wp:posOffset>
            </wp:positionV>
            <wp:extent cx="2286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17" w:name="page118"/>
    <w:bookmarkEnd w:id="11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clauses (i)-(vi), a “</w:t>
      </w:r>
      <w:r>
        <w:rPr>
          <w:rFonts w:ascii="Times New Roman" w:cs="Times New Roman" w:eastAsia="Times New Roman" w:hAnsi="Times New Roman"/>
          <w:sz w:val="18"/>
          <w:szCs w:val="18"/>
          <w:u w:val="single" w:color="auto"/>
          <w:color w:val="auto"/>
        </w:rPr>
        <w:t>Company Public Sale</w:t>
      </w:r>
      <w:r>
        <w:rPr>
          <w:rFonts w:ascii="Times New Roman" w:cs="Times New Roman" w:eastAsia="Times New Roman" w:hAnsi="Times New Roman"/>
          <w:sz w:val="18"/>
          <w:szCs w:val="18"/>
          <w:color w:val="auto"/>
        </w:rPr>
        <w:t xml:space="preserve">”), then, (A) as soon as practicable (but in no event less than fifteen (15) days prior to the proposed date of filing of such Registration Statement), the Company shall give written notice of such proposed filing to all Holders of Registrable Securities of such Class, and such notice shall offer each Holder the opportunity to Register under such Registration Statement such number of Registrable Securities of such class as such Holder may request in writing delivered to the Company within five (5) Business Days of delivery of such written notice by the Company. Subject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the Company shall use reasonable best efforts to include in such Registration Statement all such Registrable Securities that are requested by Holders to be included therein in compliance with the immediately foregoing sentence (a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any time after giving written notice of its intention to Register any equity securities and prior to the effective date of the Registration Statement filed in connection with such Piggyback Registration, the Company shall determine for any reason not to Register or to delay Registration of the equity securities covered by such Piggyback Registration, the Company shall give written notice of such determination to each Holder that had requested to Register its, his or her Registrable Securities in such Registration Statement and, thereupon, (1) in the case of a determination not to Register, shall be relieved of its obligation to Register any Registrable Securities in connection with such Registration (but not from its obligation to pay the Registration Expenses in connection therewith, to the extent payable) and (2) in the case of a determination to delay Registering, shall be permitted to delay Registering any Registrable Securities, for the same period as the delay in Registering the other equity securities covered by such Piggyback Registration. If the offering pursuant to such Registration Statement is to be underwritten, the Company shall so advise the Holders as a part of the written notice given pursuant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each Holder making a request for a Piggyback Registration pursuant to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must, and the Company shall make such arrangements with the managing underwriter or underwriters so that each such Holder may, participate in such Underwritten Offering, subject to the conditions of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If the offering pursuant to such Registration Statement is to be on any other basis, the Company shall so advise the Holders as part of the written notice given pursuant to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each Holder making a request for a Piggyback Registration pursuant to this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must, and the Company shall make such arrangements so that each such Holder may, participate in such offering on such basis, subject to the conditions of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Each Holder shall be permitted to withdraw all or part of its Registrable Securities from a Piggyback Registration at any time prior to the effectiveness of such Registration Statement.</w:t>
      </w:r>
    </w:p>
    <w:p>
      <w:pPr>
        <w:spacing w:after="0" w:line="82" w:lineRule="exact"/>
        <w:rPr>
          <w:sz w:val="20"/>
          <w:szCs w:val="20"/>
          <w:color w:val="auto"/>
        </w:rPr>
      </w:pPr>
    </w:p>
    <w:p>
      <w:pPr>
        <w:ind w:right="20" w:firstLine="996"/>
        <w:spacing w:after="0" w:line="254" w:lineRule="auto"/>
        <w:tabs>
          <w:tab w:leader="none" w:pos="124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Piggyback Registration</w:t>
      </w:r>
      <w:r>
        <w:rPr>
          <w:rFonts w:ascii="Times New Roman" w:cs="Times New Roman" w:eastAsia="Times New Roman" w:hAnsi="Times New Roman"/>
          <w:sz w:val="18"/>
          <w:szCs w:val="18"/>
          <w:color w:val="auto"/>
        </w:rPr>
        <w:t xml:space="preserve">. If the managing underwriter or underwriters of any proposed Underwritten Offering of Registrable Securities included in a Piggyback Registration informs the Company and the Holders that have requested to participate in such Piggyback Registration in writing that, in its or their good-faith opinion, the number of securities which such Holders and any other Persons intend to include in such offering exceeds the Maximum Offering Size, then the aggregate number of securities to be included in such Registration shall be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all of the securities that the Company proposes to sell,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the number of Registrable Securities that, in the good-faith opinion of such managing underwriter or underwriters, can be sold without exceeding the Maximum Offering Size, which number shall be allocated pro rata on the basis of the relative number of Registrable Securities owned at such time by each Holder seeking to participate in the Demand Registration and (iii)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any other securities eligible for inclusion in such Registration that, in the good-faith opinion of the managing underwriter or underwriters, can be sold without exceeding the Maximum Offering Size.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118" w:name="page119"/>
    <w:bookmarkEnd w:id="118"/>
    <w:p>
      <w:pPr>
        <w:ind w:left="-4" w:right="80" w:firstLine="996"/>
        <w:spacing w:after="0" w:line="255" w:lineRule="auto"/>
        <w:tabs>
          <w:tab w:leader="none" w:pos="123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Holder shall keep confidential the fact that a Public Company Sale is occurring unless and until otherwise notified by the Company, except (A) for disclosure to such Holder’s employees, agents and professional advisers who reasonably need to know such information for purposes of assisting the Holder with respect to its investment in the Company Shares and agree to keep it confidential, (B) for disclosures to the extent required in order to comply with reporting obligations to its limited partners or other direct or indirect investors who have agreed to keep such information confidential, (C) if and to the extent such matters are publicly disclosed by the Company or any of its Subsidiaries or any other Person that, to the actual knowledge of such Holder, was not subject to an obligation or duty of confidentiality to the Company and its Subsidiaries, (D) as required by law, rule or regulation; provided that the Holder gives prior written notice to the Company of such requirement and the contents of the proposed disclosure to the extent it is permitted to do so under applicable law, and (E) for disclosure to any other Holder.</w:t>
      </w:r>
    </w:p>
    <w:p>
      <w:pPr>
        <w:spacing w:after="0" w:line="77" w:lineRule="exact"/>
        <w:rPr>
          <w:rFonts w:ascii="Times New Roman" w:cs="Times New Roman" w:eastAsia="Times New Roman" w:hAnsi="Times New Roman"/>
          <w:sz w:val="18"/>
          <w:szCs w:val="18"/>
          <w:color w:val="auto"/>
        </w:rPr>
      </w:pPr>
    </w:p>
    <w:p>
      <w:pPr>
        <w:ind w:left="-4" w:right="80" w:firstLine="996"/>
        <w:spacing w:after="0" w:line="266" w:lineRule="auto"/>
        <w:tabs>
          <w:tab w:leader="none" w:pos="12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Demand and Shelf Registrations</w:t>
      </w:r>
      <w:r>
        <w:rPr>
          <w:rFonts w:ascii="Times New Roman" w:cs="Times New Roman" w:eastAsia="Times New Roman" w:hAnsi="Times New Roman"/>
          <w:sz w:val="18"/>
          <w:szCs w:val="18"/>
          <w:color w:val="auto"/>
        </w:rPr>
        <w:t xml:space="preserve">. Subject to the provisions of this Agreement, no Registration of Registrable Securities effected pursuant to a request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deemed to have been effected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shall relieve the Company of its obligations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96"/>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6"/>
        <w:spacing w:after="0" w:line="257" w:lineRule="auto"/>
        <w:tabs>
          <w:tab w:leader="none" w:pos="123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 for Holders</w:t>
      </w:r>
      <w:r>
        <w:rPr>
          <w:rFonts w:ascii="Times New Roman" w:cs="Times New Roman" w:eastAsia="Times New Roman" w:hAnsi="Times New Roman"/>
          <w:sz w:val="18"/>
          <w:szCs w:val="18"/>
          <w:color w:val="auto"/>
        </w:rPr>
        <w:t xml:space="preserve">. In the case of any Company Public Sale or an offering of Registrable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that is an Underwritten Offering, each Participating Holder agree with the Company, if requested by the managing underwriter or underwriters in such Underwritten Offering, to execute a lock-up agreement in customary form, in which such Holder may be required to agree not to</w:t>
      </w:r>
    </w:p>
    <w:p>
      <w:pPr>
        <w:spacing w:after="0" w:line="1" w:lineRule="exact"/>
        <w:rPr>
          <w:rFonts w:ascii="Times New Roman" w:cs="Times New Roman" w:eastAsia="Times New Roman" w:hAnsi="Times New Roman"/>
          <w:sz w:val="18"/>
          <w:szCs w:val="18"/>
          <w:color w:val="auto"/>
        </w:rPr>
      </w:pPr>
    </w:p>
    <w:p>
      <w:pPr>
        <w:ind w:left="-4" w:right="40" w:firstLine="4"/>
        <w:spacing w:after="0" w:line="251" w:lineRule="auto"/>
        <w:tabs>
          <w:tab w:leader="none" w:pos="2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for sale, sell, pledge, or otherwise dispose of (or enter into any transaction or device that is designed to, or could be expected to, result in the disposition by any person at any time in the future of) any Company Shares (including Company Shares that may be deemed to be beneficially owned by the undersigned in accordance with the rules and regulations of the Commission and Company Shares that may be issued upon exercise of any Company Share Equivalents) or securities convertible into or exercisable or exchangeable for Company Shares or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in each case, during the period reasonably requested by the managing underwriter or underwriters after the date of the commencement of such Underwritten Offering, to the extent timely notified in writing by the Company or the managing underwriter or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duration of the foregoing restrictions shall be no longer than the duration of the shortest restriction generally imposed by the underwriters on (A) the Company, (B) the Chief Executive Officer and/or the Chief Financial Officer of the Company (or persons in substantially equivalent positions), in their capacities as such, or (C) any Participating Holder that participates in such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herein will prevent any Participating Holder that is a partnership, limited liability company, corporation or other entity</w:t>
      </w:r>
    </w:p>
    <w:p>
      <w:pPr>
        <w:spacing w:after="0" w:line="12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96"/>
          </w:cols>
          <w:pgMar w:left="444" w:top="270" w:right="459" w:bottom="1440" w:gutter="0" w:footer="0" w:header="0"/>
        </w:sectPr>
      </w:pPr>
    </w:p>
    <w:bookmarkStart w:id="119" w:name="page120"/>
    <w:bookmarkEnd w:id="119"/>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from making a distribution of Registrable Securities to the partners, members, stockholders or other equity holders thereof or a transfer to Affiliates that are otherwise in compliance with the applicable securities laws, so long as such distributees or transferees agree to be bound by the restrictions set forth in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from participating in any merger, acquisition or similar change of control transaction. Notwithstanding the foregoing, any lock-up agreement to be executed shall contain additional exceptions as may be agreed by the Participating Holders and the managing underwriter.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not prohibit any transaction by any Participating Holder that is permitted by its lock-up agreement entered into in connection with an Underwritten Offering with the managing underwriter or underwriters in such Underwritten Offering (as such lock-up agreement is modified or waived by such managing underwriter or underwriters from time to time). The Company may impose stop-transfer instructions with respect to the Company Shares (or other securities) subject to the foregoing restriction until the end of the period referenced above. Notwithstanding anything to the contrary in this Agreement, and subject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the time periods for which the Company shall be required to maintain the effectiveness of a Registration Statement or otherwise effect an offering of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be extended for a period equal to the lock-up period required under this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to the extent any Holder makes a request for an offering or sale of securities under any such provision while any lock-up provision is in effect.</w:t>
      </w:r>
    </w:p>
    <w:p>
      <w:pPr>
        <w:spacing w:after="0" w:line="83" w:lineRule="exact"/>
        <w:rPr>
          <w:sz w:val="20"/>
          <w:szCs w:val="20"/>
          <w:color w:val="auto"/>
        </w:rPr>
      </w:pPr>
    </w:p>
    <w:p>
      <w:pPr>
        <w:ind w:firstLine="996"/>
        <w:spacing w:after="0" w:line="252" w:lineRule="auto"/>
        <w:tabs>
          <w:tab w:leader="none" w:pos="124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 for the Company</w:t>
      </w:r>
      <w:r>
        <w:rPr>
          <w:rFonts w:ascii="Times New Roman" w:cs="Times New Roman" w:eastAsia="Times New Roman" w:hAnsi="Times New Roman"/>
          <w:sz w:val="18"/>
          <w:szCs w:val="18"/>
          <w:color w:val="auto"/>
        </w:rPr>
        <w:t xml:space="preserve">. In the case of an offering of Registrable Securities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that is an Underwritten Offering in which the Holders are proposing to sell at least $30 million of Registrable Securities (based on liquidation preference or market value calculated based on the good faith estimate of the Company), the Company agrees, if requested by the managing underwriter or underwriters in such Underwritten Offering, not to (1) offer for sale, sell, pledge, or otherwise dispose of (or enter into any transaction or device that is designed to, or could be expected to, result in the disposition by any person at any time in the future of) any Company Shares (and any Company Shares that may be issued upon exercise of any Company Share Equivalents) or securities convertible into or exercisable or exchangeable for Company Shares or (2) enter into any swap or other derivatives transaction that transfers to another, in whole or in part, any of the economic benefits or risks of ownership of Company Shares, whether any such transaction described in clause (1) or (2) above is to be settled by delivery of Company Shares or other securities, in cash or otherwise, in each case, during the period beginning seven (7) days before and ending ninety (90) days after the date of the commencement of such Underwritten Offering (or such lesser period as may be reasonably requested by the managing underwriter or underwriters), to the extent timely notified in writing by a Requesting Holder or the managing underwriter or underwriters,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duration of the foregoing restrictions shall be no longer than the duration of the shortest restriction generally imposed by the underwriters on (i) the Chief Executive Officer and/or the Chief Financial Officer of the Company (or persons in substantially equivalent positions), in their capacities as such, or</w:t>
      </w:r>
    </w:p>
    <w:p>
      <w:pPr>
        <w:spacing w:after="0" w:line="2" w:lineRule="exact"/>
        <w:rPr>
          <w:rFonts w:ascii="Times New Roman" w:cs="Times New Roman" w:eastAsia="Times New Roman" w:hAnsi="Times New Roman"/>
          <w:sz w:val="18"/>
          <w:szCs w:val="18"/>
          <w:color w:val="auto"/>
        </w:rPr>
      </w:pPr>
    </w:p>
    <w:p>
      <w:pPr>
        <w:ind w:right="320" w:firstLine="4"/>
        <w:spacing w:after="0" w:line="253" w:lineRule="auto"/>
        <w:tabs>
          <w:tab w:leader="none" w:pos="26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Participating Holder that participates in such offering. If requested by the managing underwriter or underwriters of any such Underwritten Offering, the Company shall execute a separate lock-up agreement to the foregoing effect.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not prohibit any transaction by the Company that is permitted by its lock-up agreement or provision in an underwriting agreement or otherwise entered into in connection with an Underwritten Offering with the managing underwriter or underwriters in such Underwritten Offering (as such lock-up agreement or provision is modified or waived by such managing underwriter or underwriters from time to time). Notwithstanding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20" w:name="page121"/>
    <w:bookmarkEnd w:id="120"/>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the Company may effect a public sale or distribution of securities of the type described above and during the periods described above if such sale or distribution is made pursuant to registrations on Form S-4 or Form S-8 or as part of any registration of securities for offering and sale to employees, directors or consultants of the Company and its Subsidiaries pursuant to any employee stock plan or other employee benefit plan arrangement.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6"/>
        <w:spacing w:after="0" w:line="261" w:lineRule="auto"/>
        <w:tabs>
          <w:tab w:leader="none" w:pos="12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Company’s Registration obligations under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and subject to the applicable terms and conditions set forth therein, the Company shall use its reasonable best efforts to effect such Registration to permit the sale of such Registrable Securities in accordance with the plan of distribution requested by the Participating Holder(s) and set forth in the applicable Registration Statement as expeditiously as reasonably practicable, and in connection therewith the Company shall:</w:t>
      </w:r>
    </w:p>
    <w:p>
      <w:pPr>
        <w:spacing w:after="0" w:line="71" w:lineRule="exact"/>
        <w:rPr>
          <w:rFonts w:ascii="Times New Roman" w:cs="Times New Roman" w:eastAsia="Times New Roman" w:hAnsi="Times New Roman"/>
          <w:sz w:val="18"/>
          <w:szCs w:val="18"/>
          <w:color w:val="auto"/>
        </w:rPr>
      </w:pPr>
    </w:p>
    <w:p>
      <w:pPr>
        <w:jc w:val="both"/>
        <w:ind w:firstLine="1436"/>
        <w:spacing w:after="0" w:line="276" w:lineRule="auto"/>
        <w:tabs>
          <w:tab w:leader="none" w:pos="1648" w:val="left"/>
        </w:tabs>
        <w:numPr>
          <w:ilvl w:val="2"/>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w:t>
      </w:r>
    </w:p>
    <w:p>
      <w:pPr>
        <w:ind w:right="120" w:firstLine="4"/>
        <w:spacing w:after="0" w:line="251"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to the underwriters, if any, and the Participating Holders, if any, copies of all documents prepared to be filed, and provide such underwriters and the Participating Holders and their respective counsel with a reasonable opportunity to review and comment on such documents prior to their filing and (y) not file any Registration Statement or Prospectus or amendments or supplements thereto to which any Participating Holder or the underwriters, if any, shall reasonably object;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Registration is pursuant to a Registration Statement on Form S-1 or Form S-3 or any similar short-form Registration Statement, the Company shall include in such Registration Statement such additional information for marketing purposes as any managing underwriter reasonably requests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exclude such additional information from the Registration Statement if in its opinion, in consultation with outside legal counsel, such information contains a material misstatement of fact or omits to state a material fact required to be stated therein or necessary to make the statements therein not misleading or would otherwise not be customary for similar offerings;</w:t>
      </w:r>
    </w:p>
    <w:p>
      <w:pPr>
        <w:spacing w:after="0" w:line="86" w:lineRule="exact"/>
        <w:rPr>
          <w:rFonts w:ascii="Times New Roman" w:cs="Times New Roman" w:eastAsia="Times New Roman" w:hAnsi="Times New Roman"/>
          <w:sz w:val="18"/>
          <w:szCs w:val="18"/>
          <w:color w:val="auto"/>
        </w:rPr>
      </w:pPr>
    </w:p>
    <w:p>
      <w:pPr>
        <w:ind w:right="140" w:firstLine="1436"/>
        <w:spacing w:after="0" w:line="254" w:lineRule="auto"/>
        <w:tabs>
          <w:tab w:leader="none" w:pos="1698"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pre- and post-effective amendments to such Registration Statement, supplements to the Prospectus and such amendments or supplements to any Issuer Free Writing Prospectus as may be (x) reasonably requested by any Participating Holder (to the extent such request relates to information relating to such Participating Holder), or (y) necessary to keep such Registration effective for the period of time required by this Agreement, and comply with provisions of the applicable securities laws and SEC Guidance with respect to the sale or other disposition of all securities covered by such Registration Statement during such period in accordance with the intended method or methods of disposition by the sellers thereof set forth in such Registration Statement, and prior to the filing of such amendments and supplements, furnish such amendments and supplements to the underwriters, if any, and the Participating Holders, if any, and provide such underwriters and the Participating Holders and their respective counsel with an adequate and appropriate opportunity to review and comment on such amendments and supplements prior to their filing;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21" w:name="page122"/>
    <w:bookmarkEnd w:id="121"/>
    <w:p>
      <w:pPr>
        <w:ind w:left="-4" w:right="80" w:firstLine="1436"/>
        <w:spacing w:after="0" w:line="261" w:lineRule="auto"/>
        <w:tabs>
          <w:tab w:leader="none" w:pos="174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notify the Participating Holders and the managing underwriter or underwriters, if any, and (if requested) confirm such advice in writing and provide copies of the relevant documents, as soon as reasonably practicable after notice thereof is received by the Company</w:t>
      </w:r>
    </w:p>
    <w:p>
      <w:pPr>
        <w:ind w:left="-4" w:right="80" w:firstLine="4"/>
        <w:spacing w:after="0" w:line="251" w:lineRule="auto"/>
        <w:tabs>
          <w:tab w:leader="none" w:pos="29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applicable Registration Statement or any amendment thereto has been filed or becomes effective, and when the applicable Prospectus or Issuer Free Writing Prospectus or any amendment or supplement thereto has been filed, (B) of any written comments by the Commission or any request by the Commission or any other Governmental Authority for amendments or supplements to such Registration Statement, Prospectus or Issuer Free Writing Prospectus or for additional information, (C) of the issuance or threatened issuance by the Commission of any stop order suspending or threatening to suspend the effectiveness of such Registration Statement or any order by the Commission or any other regulatory authority preventing or suspending the use of any preliminary or final Prospectus or any Issuer Free Writing Prospectus or the initiation or threatening of any proceedings for such purposes, (D) if, at any time, the representations and warranties of the Company in any applicable underwriting agreement cease to be true and correct in all material respects, (E) of the receipt by the Company of any notification with respect to the suspension of the qualification of the Registrable Securities for offering or sale in any jurisdiction and (F) of the receipt by the Company of any notification with respect to the initiation or threatening of any proceeding for the suspension of the qualification of the Registrable Securities for offering or sale in any jurisdiction;</w:t>
      </w:r>
    </w:p>
    <w:p>
      <w:pPr>
        <w:spacing w:after="0" w:line="85" w:lineRule="exact"/>
        <w:rPr>
          <w:rFonts w:ascii="Times New Roman" w:cs="Times New Roman" w:eastAsia="Times New Roman" w:hAnsi="Times New Roman"/>
          <w:sz w:val="18"/>
          <w:szCs w:val="18"/>
          <w:color w:val="auto"/>
        </w:rPr>
      </w:pPr>
    </w:p>
    <w:p>
      <w:pPr>
        <w:ind w:left="-4" w:firstLine="1436"/>
        <w:spacing w:after="0" w:line="254" w:lineRule="auto"/>
        <w:tabs>
          <w:tab w:leader="none" w:pos="17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Participating Holders and the managing underwriter or underwriters, if any, when the Company becomes aware of the happening of any event as a result of which the applicable Registration Statement, the Prospectus included in such Registration Statement (as then in effect) or any Issuer Free Writing Prospectus (when taken together with the Prospectus) contains any untrue statement of a material fact or omits to state a material fact necessary to make the statements therein (in the case of such Prospectus, any preliminary Prospectus or any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Commission,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78" w:lineRule="exact"/>
        <w:rPr>
          <w:rFonts w:ascii="Times New Roman" w:cs="Times New Roman" w:eastAsia="Times New Roman" w:hAnsi="Times New Roman"/>
          <w:sz w:val="18"/>
          <w:szCs w:val="18"/>
          <w:color w:val="auto"/>
        </w:rPr>
      </w:pPr>
    </w:p>
    <w:p>
      <w:pPr>
        <w:ind w:left="-4" w:right="340" w:firstLine="1436"/>
        <w:spacing w:after="0" w:line="282" w:lineRule="auto"/>
        <w:tabs>
          <w:tab w:leader="none" w:pos="16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prevent, or obtain the withdrawal of, any stop order or other order suspending the use of any preliminary or final Prospectus or any Issuer Free Writing Prospectus;</w:t>
      </w:r>
    </w:p>
    <w:p>
      <w:pPr>
        <w:spacing w:after="0" w:line="53" w:lineRule="exact"/>
        <w:rPr>
          <w:rFonts w:ascii="Times New Roman" w:cs="Times New Roman" w:eastAsia="Times New Roman" w:hAnsi="Times New Roman"/>
          <w:sz w:val="18"/>
          <w:szCs w:val="18"/>
          <w:color w:val="auto"/>
        </w:rPr>
      </w:pPr>
    </w:p>
    <w:p>
      <w:pPr>
        <w:ind w:left="-4" w:right="100" w:firstLine="1436"/>
        <w:spacing w:after="0" w:line="258" w:lineRule="auto"/>
        <w:tabs>
          <w:tab w:leader="none" w:pos="173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incorporate in a Prospectus supplement, Issuer Free Writing Prospectus or post-effective amendment to the applicable Registration Statement such information as the managing underwriter or underwriters and the Participating Holder(s)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116"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16"/>
          </w:cols>
          <w:pgMar w:left="444" w:top="270" w:right="439" w:bottom="1440" w:gutter="0" w:footer="0" w:header="0"/>
        </w:sectPr>
      </w:pPr>
    </w:p>
    <w:bookmarkStart w:id="122" w:name="page123"/>
    <w:bookmarkEnd w:id="122"/>
    <w:p>
      <w:pPr>
        <w:ind w:left="-40" w:right="120" w:firstLine="1436"/>
        <w:spacing w:after="0" w:line="258" w:lineRule="auto"/>
        <w:tabs>
          <w:tab w:leader="none" w:pos="17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furnish to each Participating Holder and each underwriter, if any, without charge, as many conformed copies as such Participating Holder or underwriter may reasonably request of the applicable Registration Statement and any amendment, post-effective amendment or supplement thereto, including financial statements and schedules, all documents incorporated therein by reference and all exhibits (including any incorporated by reference),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 its discretion, may satisfy its obligation to furnish any such documents to the Participating Holders and underwriters by filing such documents with the Commission so they are publicly available on the Commission’s EDGAR website;</w:t>
      </w:r>
    </w:p>
    <w:p>
      <w:pPr>
        <w:spacing w:after="0" w:line="75" w:lineRule="exact"/>
        <w:rPr>
          <w:rFonts w:ascii="Times New Roman" w:cs="Times New Roman" w:eastAsia="Times New Roman" w:hAnsi="Times New Roman"/>
          <w:sz w:val="18"/>
          <w:szCs w:val="18"/>
          <w:color w:val="auto"/>
        </w:rPr>
      </w:pPr>
    </w:p>
    <w:p>
      <w:pPr>
        <w:ind w:left="-40" w:right="120" w:firstLine="1436"/>
        <w:spacing w:after="0" w:line="255" w:lineRule="auto"/>
        <w:tabs>
          <w:tab w:leader="none" w:pos="17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each Participating Holder and each underwriter, if any, without charge, as many copies of the applicable Prospectus (including each preliminary Prospectus), any Issuer Free Writing Prospectus and any amendment or supplement thereto as such Participating Holder or underwriter may reasonably request (it being understood that the Company consents to the use of such Prospectus, any Issuer Free Writing Prospectus and any amendment or supplement thereto by such Participating Holder and the underwriters, if any, in connection with the offering and sale of the Registrable Securities thereby) and such other documents as such Participating Holder or underwriter may reasonably request in order to facilitate the disposition of the Registrable Securities by such Participating Holder or underwriter),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 its discretion, may satisfy its obligation to deliver any such documents to the Participating Holders and underwriters by filing such documents with the Commission so they are publicly available on the Commission’s EDGAR website;</w:t>
      </w:r>
    </w:p>
    <w:p>
      <w:pPr>
        <w:spacing w:after="0" w:line="77" w:lineRule="exact"/>
        <w:rPr>
          <w:rFonts w:ascii="Times New Roman" w:cs="Times New Roman" w:eastAsia="Times New Roman" w:hAnsi="Times New Roman"/>
          <w:sz w:val="18"/>
          <w:szCs w:val="18"/>
          <w:color w:val="auto"/>
        </w:rPr>
      </w:pPr>
    </w:p>
    <w:p>
      <w:pPr>
        <w:ind w:left="-40" w:right="40" w:firstLine="1436"/>
        <w:spacing w:after="0" w:line="255" w:lineRule="auto"/>
        <w:tabs>
          <w:tab w:leader="none" w:pos="16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prior to the date on which the applicable Registration Statement is declared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whichever is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77" w:lineRule="exact"/>
        <w:rPr>
          <w:rFonts w:ascii="Times New Roman" w:cs="Times New Roman" w:eastAsia="Times New Roman" w:hAnsi="Times New Roman"/>
          <w:sz w:val="18"/>
          <w:szCs w:val="18"/>
          <w:color w:val="auto"/>
        </w:rPr>
      </w:pPr>
    </w:p>
    <w:p>
      <w:pPr>
        <w:ind w:left="-40" w:firstLine="1436"/>
        <w:spacing w:after="0" w:line="261" w:lineRule="auto"/>
        <w:tabs>
          <w:tab w:leader="none" w:pos="1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Participating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(2) Business Days prior to any sale of Registrable Securities to the underwriters;</w:t>
      </w:r>
    </w:p>
    <w:p>
      <w:pPr>
        <w:spacing w:after="0" w:line="71" w:lineRule="exact"/>
        <w:rPr>
          <w:rFonts w:ascii="Times New Roman" w:cs="Times New Roman" w:eastAsia="Times New Roman" w:hAnsi="Times New Roman"/>
          <w:sz w:val="18"/>
          <w:szCs w:val="18"/>
          <w:color w:val="auto"/>
        </w:rPr>
      </w:pPr>
    </w:p>
    <w:p>
      <w:pPr>
        <w:ind w:left="-40" w:right="360" w:firstLine="1436"/>
        <w:spacing w:after="0" w:line="266" w:lineRule="auto"/>
        <w:tabs>
          <w:tab w:leader="none" w:pos="16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the Registrable Securities covered by the applicable Registration Statement to be registered with or approved by such other Governmental Authorities as may be necessary to enable the seller or sellers thereof or the underwriter or underwriters, if any, to consummate the disposition of such Registrable Securities;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80" w:top="270" w:right="459" w:bottom="1440" w:gutter="0" w:footer="0" w:header="0"/>
        </w:sectPr>
      </w:pPr>
    </w:p>
    <w:bookmarkStart w:id="123" w:name="page124"/>
    <w:bookmarkEnd w:id="123"/>
    <w:p>
      <w:pPr>
        <w:ind w:left="-20" w:right="60" w:firstLine="1436"/>
        <w:spacing w:after="0" w:line="282" w:lineRule="auto"/>
        <w:tabs>
          <w:tab w:leader="none" w:pos="17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such representations and warranties to the Participating Holders and the underwriters or agents, if any, in form, substance and scope as are customarily made by issuers in secondary underwritten public offerings;</w:t>
      </w:r>
    </w:p>
    <w:p>
      <w:pPr>
        <w:spacing w:after="0" w:line="53" w:lineRule="exact"/>
        <w:rPr>
          <w:rFonts w:ascii="Times New Roman" w:cs="Times New Roman" w:eastAsia="Times New Roman" w:hAnsi="Times New Roman"/>
          <w:sz w:val="18"/>
          <w:szCs w:val="18"/>
          <w:color w:val="auto"/>
        </w:rPr>
      </w:pPr>
    </w:p>
    <w:p>
      <w:pPr>
        <w:ind w:left="-20" w:right="60" w:firstLine="1436"/>
        <w:spacing w:after="0" w:line="266" w:lineRule="auto"/>
        <w:tabs>
          <w:tab w:leader="none" w:pos="18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customary agreements (including underwriting and indemnification agreements) and take all such other actions as any Participating Holder(s) or the managing underwriter or underwriters, if any, reasonably request in order to expedite or facilitate the Registration and disposition of such Registrable Securities;</w:t>
      </w:r>
    </w:p>
    <w:p>
      <w:pPr>
        <w:spacing w:after="0" w:line="68" w:lineRule="exact"/>
        <w:rPr>
          <w:rFonts w:ascii="Times New Roman" w:cs="Times New Roman" w:eastAsia="Times New Roman" w:hAnsi="Times New Roman"/>
          <w:sz w:val="18"/>
          <w:szCs w:val="18"/>
          <w:color w:val="auto"/>
        </w:rPr>
      </w:pPr>
    </w:p>
    <w:p>
      <w:pPr>
        <w:ind w:left="-20" w:right="60" w:firstLine="1436"/>
        <w:spacing w:after="0" w:line="261" w:lineRule="auto"/>
        <w:tabs>
          <w:tab w:leader="none" w:pos="18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for delivery to the underwriter or underwriters, if any, with copies to the Participating Holders, an opinion or opinions from counsel for the Company dated the effective date of the Registration Statement or, in the event of an Underwritten Offering, the date of the closing under the underwriting agreement, in customary form, scope and substance, which opinions shall be reasonably satisfactory to such underwriters and their respective counsel;</w:t>
      </w:r>
    </w:p>
    <w:p>
      <w:pPr>
        <w:spacing w:after="0" w:line="71" w:lineRule="exact"/>
        <w:rPr>
          <w:rFonts w:ascii="Times New Roman" w:cs="Times New Roman" w:eastAsia="Times New Roman" w:hAnsi="Times New Roman"/>
          <w:sz w:val="18"/>
          <w:szCs w:val="18"/>
          <w:color w:val="auto"/>
        </w:rPr>
      </w:pPr>
    </w:p>
    <w:p>
      <w:pPr>
        <w:ind w:left="-20" w:firstLine="1436"/>
        <w:spacing w:after="0" w:line="258" w:lineRule="auto"/>
        <w:tabs>
          <w:tab w:leader="none" w:pos="175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obtain for delivery to the Company and the managing underwriter or underwriters, with copies to the Participating Holders, a cold comfort letter from the Company’s independent certified public accountants in customary form and covering such matters of the type customarily covered by cold comfort letters as the managing underwriter or underwriters reasonably request, dated the date of execution of the underwriting agreement and brought down to the date of the closing of the Underwritten Offering, as specified in the underwriting agreement;</w:t>
      </w:r>
    </w:p>
    <w:p>
      <w:pPr>
        <w:spacing w:after="0" w:line="75" w:lineRule="exact"/>
        <w:rPr>
          <w:rFonts w:ascii="Times New Roman" w:cs="Times New Roman" w:eastAsia="Times New Roman" w:hAnsi="Times New Roman"/>
          <w:sz w:val="18"/>
          <w:szCs w:val="18"/>
          <w:color w:val="auto"/>
        </w:rPr>
      </w:pPr>
    </w:p>
    <w:p>
      <w:pPr>
        <w:ind w:left="-20" w:right="480" w:firstLine="1436"/>
        <w:spacing w:after="0" w:line="282" w:lineRule="auto"/>
        <w:tabs>
          <w:tab w:leader="none" w:pos="18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Participating Holder and each underwriter, if any, participating in the disposition of such Registrable Securities and their respective counsel in connection with any filings required to be made with the FINRA;</w:t>
      </w:r>
    </w:p>
    <w:p>
      <w:pPr>
        <w:spacing w:after="0" w:line="53" w:lineRule="exact"/>
        <w:rPr>
          <w:rFonts w:ascii="Times New Roman" w:cs="Times New Roman" w:eastAsia="Times New Roman" w:hAnsi="Times New Roman"/>
          <w:sz w:val="18"/>
          <w:szCs w:val="18"/>
          <w:color w:val="auto"/>
        </w:rPr>
      </w:pPr>
    </w:p>
    <w:p>
      <w:pPr>
        <w:ind w:left="-20" w:right="120" w:firstLine="1436"/>
        <w:spacing w:after="0" w:line="266" w:lineRule="auto"/>
        <w:tabs>
          <w:tab w:leader="none" w:pos="185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w:t>
      </w:r>
    </w:p>
    <w:p>
      <w:pPr>
        <w:spacing w:after="0" w:line="68" w:lineRule="exact"/>
        <w:rPr>
          <w:rFonts w:ascii="Times New Roman" w:cs="Times New Roman" w:eastAsia="Times New Roman" w:hAnsi="Times New Roman"/>
          <w:sz w:val="18"/>
          <w:szCs w:val="18"/>
          <w:color w:val="auto"/>
        </w:rPr>
      </w:pPr>
    </w:p>
    <w:p>
      <w:pPr>
        <w:ind w:left="-20" w:right="460" w:firstLine="1436"/>
        <w:spacing w:after="0" w:line="282" w:lineRule="auto"/>
        <w:tabs>
          <w:tab w:leader="none" w:pos="19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53" w:lineRule="exact"/>
        <w:rPr>
          <w:rFonts w:ascii="Times New Roman" w:cs="Times New Roman" w:eastAsia="Times New Roman" w:hAnsi="Times New Roman"/>
          <w:sz w:val="18"/>
          <w:szCs w:val="18"/>
          <w:color w:val="auto"/>
        </w:rPr>
      </w:pPr>
    </w:p>
    <w:p>
      <w:pPr>
        <w:ind w:left="-20" w:right="180" w:firstLine="1436"/>
        <w:spacing w:after="0" w:line="266" w:lineRule="auto"/>
        <w:tabs>
          <w:tab w:leader="none" w:pos="180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Registrable Securities that are the Company Shares covered by the applicable Registration Statement to be listed on each securities exchange on which any of the Company Shares are then listed or quoted and on each inter-dealer quotation system on which any of the Company Shares are then quoted;</w:t>
      </w:r>
    </w:p>
    <w:p>
      <w:pPr>
        <w:spacing w:after="0" w:line="68" w:lineRule="exact"/>
        <w:rPr>
          <w:rFonts w:ascii="Times New Roman" w:cs="Times New Roman" w:eastAsia="Times New Roman" w:hAnsi="Times New Roman"/>
          <w:sz w:val="18"/>
          <w:szCs w:val="18"/>
          <w:color w:val="auto"/>
        </w:rPr>
      </w:pPr>
    </w:p>
    <w:p>
      <w:pPr>
        <w:ind w:left="-20" w:right="60" w:firstLine="1436"/>
        <w:spacing w:after="0" w:line="266" w:lineRule="auto"/>
        <w:tabs>
          <w:tab w:leader="none" w:pos="175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Underwritten Offering, cause appropriate personnel of the Company and the independent public accountants who have certified its financial statements to make themselves available during normal business hours and upon reasonable advance notice, to discuss the business of the Company and to supply pertinent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60" w:top="270" w:right="439" w:bottom="1440" w:gutter="0" w:footer="0" w:header="0"/>
        </w:sectPr>
      </w:pPr>
    </w:p>
    <w:bookmarkStart w:id="124" w:name="page125"/>
    <w:bookmarkEnd w:id="124"/>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records, pertinent corporate documents and other pertinent information, in each case as reasonably requested by any Participating Holder, by any underwriter participating in any disposition to be effected pursuant to such Registration Statement and by any attorney, accountant or other agent retained by such Participating Holder(s) or any such underwriter in connection with such Registration Statement as shall be necessary to enable them to exercise their due diligence responsibility; provided, however that any information that is not generally publicly available shall be kept confidential by such persons;</w:t>
      </w:r>
    </w:p>
    <w:p>
      <w:pPr>
        <w:spacing w:after="0" w:line="76" w:lineRule="exact"/>
        <w:rPr>
          <w:sz w:val="20"/>
          <w:szCs w:val="20"/>
          <w:color w:val="auto"/>
        </w:rPr>
      </w:pPr>
    </w:p>
    <w:p>
      <w:pPr>
        <w:ind w:firstLine="1436"/>
        <w:spacing w:after="0" w:line="261" w:lineRule="auto"/>
        <w:tabs>
          <w:tab w:leader="none" w:pos="182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Commission or Company preliminarily requires that any Holder should be named as an underwriter in a Registration Statement, Prospectus, Prospectus Supplement or free writing prospectus, the Company will use commercially reasonable efforts to work with the Commission to change such determination, and in any case, the Company shall not allow any Registration Statement to become effective or file a Prospectus Supplement that names a Holder an underwriter without its prior written consent; and</w:t>
      </w:r>
    </w:p>
    <w:p>
      <w:pPr>
        <w:spacing w:after="0" w:line="71" w:lineRule="exact"/>
        <w:rPr>
          <w:rFonts w:ascii="Times New Roman" w:cs="Times New Roman" w:eastAsia="Times New Roman" w:hAnsi="Times New Roman"/>
          <w:sz w:val="18"/>
          <w:szCs w:val="18"/>
          <w:color w:val="auto"/>
        </w:rPr>
      </w:pPr>
    </w:p>
    <w:p>
      <w:pPr>
        <w:ind w:right="100" w:firstLine="1436"/>
        <w:spacing w:after="0" w:line="255" w:lineRule="auto"/>
        <w:tabs>
          <w:tab w:leader="none" w:pos="1878"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 Underwritten Offering of Registrable Securities in an amount of at least $40 million, cause appropriate officers of the Company to participate in the customary “road show” presentations that may be reasonably requested by the managing underwriter or underwriters in any such Underwritten Offering and otherwise use reasonable best efforts to facilitate, cooperate with, and participate in each proposed Underwritten Offering contemplated herein and customary selling efforts related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participation shall not unreasonably interfere with the business operations of the Company. Notwithstanding anything to the contrary contained herein, in no event shall the Company be obligated to cause its officers to participate in any road show presentation occurring within one hundred twenty (120) days after the consummation of a previous Underwritten Offering that included a roadshow presentation in which officers of the Company were participants.</w:t>
      </w:r>
    </w:p>
    <w:p>
      <w:pPr>
        <w:spacing w:after="0" w:line="81" w:lineRule="exact"/>
        <w:rPr>
          <w:rFonts w:ascii="Times New Roman" w:cs="Times New Roman" w:eastAsia="Times New Roman" w:hAnsi="Times New Roman"/>
          <w:sz w:val="18"/>
          <w:szCs w:val="18"/>
          <w:color w:val="auto"/>
        </w:rPr>
      </w:pPr>
    </w:p>
    <w:p>
      <w:pPr>
        <w:ind w:right="280" w:firstLine="996"/>
        <w:spacing w:after="0" w:line="261" w:lineRule="auto"/>
        <w:tabs>
          <w:tab w:leader="none" w:pos="124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Participating Holder to furnish to the Company such information regarding the distribution of such securities and such other information relating to such Holder and its ownership of Registrable Securities as the Company may from time to time reasonably request in writing. Each Participating Holder agrees to furnish such information to the Company and to cooperate with the Company as reasonably necessary to enable the Company to comply with the provisions of this Agreement.</w:t>
      </w:r>
    </w:p>
    <w:p>
      <w:pPr>
        <w:spacing w:after="0" w:line="71" w:lineRule="exact"/>
        <w:rPr>
          <w:rFonts w:ascii="Times New Roman" w:cs="Times New Roman" w:eastAsia="Times New Roman" w:hAnsi="Times New Roman"/>
          <w:sz w:val="18"/>
          <w:szCs w:val="18"/>
          <w:color w:val="auto"/>
        </w:rPr>
      </w:pPr>
    </w:p>
    <w:p>
      <w:pPr>
        <w:ind w:right="20" w:firstLine="996"/>
        <w:spacing w:after="0" w:line="270" w:lineRule="auto"/>
        <w:tabs>
          <w:tab w:leader="none" w:pos="1237"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Participating Holder agrees that, upon delivery of any notice by the Company of the happening of any event of the kind described in </w:t>
      </w:r>
      <w:r>
        <w:rPr>
          <w:rFonts w:ascii="Times New Roman" w:cs="Times New Roman" w:eastAsia="Times New Roman" w:hAnsi="Times New Roman"/>
          <w:sz w:val="17"/>
          <w:szCs w:val="17"/>
          <w:u w:val="single" w:color="auto"/>
          <w:color w:val="auto"/>
        </w:rPr>
        <w:t>Section 2.05(a)(iii)(C)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or (E) or </w:t>
      </w:r>
      <w:r>
        <w:rPr>
          <w:rFonts w:ascii="Times New Roman" w:cs="Times New Roman" w:eastAsia="Times New Roman" w:hAnsi="Times New Roman"/>
          <w:sz w:val="17"/>
          <w:szCs w:val="17"/>
          <w:u w:val="single" w:color="auto"/>
          <w:color w:val="auto"/>
        </w:rPr>
        <w:t>Section 2.05(a)(iv)</w:t>
      </w:r>
      <w:r>
        <w:rPr>
          <w:rFonts w:ascii="Times New Roman" w:cs="Times New Roman" w:eastAsia="Times New Roman" w:hAnsi="Times New Roman"/>
          <w:sz w:val="17"/>
          <w:szCs w:val="17"/>
          <w:color w:val="auto"/>
        </w:rPr>
        <w:t xml:space="preserve">, such Participating Holder will forthwith discontinue disposition of Registrable Securities pursuant to such Registration Statement until (i) if such notice relates to an event of the kind described in </w:t>
      </w:r>
      <w:r>
        <w:rPr>
          <w:rFonts w:ascii="Times New Roman" w:cs="Times New Roman" w:eastAsia="Times New Roman" w:hAnsi="Times New Roman"/>
          <w:sz w:val="17"/>
          <w:szCs w:val="17"/>
          <w:u w:val="single" w:color="auto"/>
          <w:color w:val="auto"/>
        </w:rPr>
        <w:t>Section 2.05(a)(iv)</w:t>
      </w:r>
      <w:r>
        <w:rPr>
          <w:rFonts w:ascii="Times New Roman" w:cs="Times New Roman" w:eastAsia="Times New Roman" w:hAnsi="Times New Roman"/>
          <w:sz w:val="17"/>
          <w:szCs w:val="17"/>
          <w:color w:val="auto"/>
        </w:rPr>
        <w:t xml:space="preserve">, such Participating Holder’s receipt of the copies of the supplemented or amended Prospectus or Issuer Free Writing Prospectus contemplated by </w:t>
      </w:r>
      <w:r>
        <w:rPr>
          <w:rFonts w:ascii="Times New Roman" w:cs="Times New Roman" w:eastAsia="Times New Roman" w:hAnsi="Times New Roman"/>
          <w:sz w:val="17"/>
          <w:szCs w:val="17"/>
          <w:u w:val="single" w:color="auto"/>
          <w:color w:val="auto"/>
        </w:rPr>
        <w:t>Section 2.05(a)(iv)</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right="60" w:firstLine="4"/>
        <w:spacing w:after="0" w:line="273" w:lineRule="auto"/>
        <w:tabs>
          <w:tab w:leader="none" w:pos="26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Participating Holder is advised in writing by the Company that the use of the Prospectus or Issuer Free Writing Prospectus, as the case may be, may be resumed, (iii) if such notice relates to an event of the kind described in </w:t>
      </w:r>
      <w:r>
        <w:rPr>
          <w:rFonts w:ascii="Times New Roman" w:cs="Times New Roman" w:eastAsia="Times New Roman" w:hAnsi="Times New Roman"/>
          <w:sz w:val="17"/>
          <w:szCs w:val="17"/>
          <w:u w:val="single" w:color="auto"/>
          <w:color w:val="auto"/>
        </w:rPr>
        <w:t>Section 2.05(a)(iii)(C)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such Participating Holder is advised in writing by the Company of the termination, expiration or cessation of the applicable order or suspension and (iv) if such notice relates to an event of the kind described in </w:t>
      </w:r>
      <w:r>
        <w:rPr>
          <w:rFonts w:ascii="Times New Roman" w:cs="Times New Roman" w:eastAsia="Times New Roman" w:hAnsi="Times New Roman"/>
          <w:sz w:val="17"/>
          <w:szCs w:val="17"/>
          <w:u w:val="single" w:color="auto"/>
          <w:color w:val="auto"/>
        </w:rPr>
        <w:t>Section 2.05(a)(iii)(D)</w:t>
      </w:r>
      <w:r>
        <w:rPr>
          <w:rFonts w:ascii="Times New Roman" w:cs="Times New Roman" w:eastAsia="Times New Roman" w:hAnsi="Times New Roman"/>
          <w:sz w:val="17"/>
          <w:szCs w:val="17"/>
          <w:color w:val="auto"/>
        </w:rPr>
        <w:t>, such Participating Holder is advised in writing by the Company that the representations and warranties of the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25" w:name="page126"/>
    <w:bookmarkEnd w:id="12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in the applicable underwriting agreement are true and correct in all material respects. The Company may impose stop-transfer instructions with respect to the Registrable Securities subject to the foregoing restriction until the end of the period referenced above. In the event the Company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Issuer Free Writing Prospectus contemplated by </w:t>
      </w:r>
      <w:r>
        <w:rPr>
          <w:rFonts w:ascii="Times New Roman" w:cs="Times New Roman" w:eastAsia="Times New Roman" w:hAnsi="Times New Roman"/>
          <w:sz w:val="18"/>
          <w:szCs w:val="18"/>
          <w:u w:val="single" w:color="auto"/>
          <w:color w:val="auto"/>
        </w:rPr>
        <w:t>Section 2.05(a)(iv)</w:t>
      </w:r>
      <w:r>
        <w:rPr>
          <w:rFonts w:ascii="Times New Roman" w:cs="Times New Roman" w:eastAsia="Times New Roman" w:hAnsi="Times New Roman"/>
          <w:sz w:val="18"/>
          <w:szCs w:val="18"/>
          <w:color w:val="auto"/>
        </w:rPr>
        <w:t xml:space="preserve"> or is advised in writing by the Company that the use of the Prospectus or Issuer Free Writing Prospectus may be resumed.</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Underwritten Offerings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6"/>
        <w:spacing w:after="0" w:line="252" w:lineRule="auto"/>
        <w:tabs>
          <w:tab w:leader="none" w:pos="123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 xml:space="preserve">. If requested by the underwriters for any Underwritten Offering requested by any Participating Holder pursuant to a Registration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Company shall enter into an underwriting agreement with such underwriters for such offering, such agreement to be reasonably satisfactory in substance and form to the Company, each Participating Holder and the underwriters, and to contain such representations and warranties by the Company and such other terms as are generally prevailing in agreements of that type, including customary indemnities. Each Participating Holder shall cooperate reasonably with the Company in the negotiation of such underwriting agreement and shall give consideration to the reasonable suggestions of the Company regarding the form thereof. Any such Participating Holder shall be required to make representations or warranties to, and other agreements with, the Company and the underwriters in connection with such underwriting agreement as are customarily made by selling stockholders in secondary underwritten public offerings, including representations, warranties or agreements regarding such Participating Holder (but not such Participating Holder’s knowledge about the Company), such Participating Holder’s title to the Registrable Securities, such Participating Holder’s authority to sell the Registrable Securities, such Participating Holder’s intended method of distribution, absence of liens with respect to the Registrable Securities, receipt of all required consents and approvals with respect to the entry into such underwriting agreement and the sale of such Registrable Securities and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after underwriting commissions and discounts (but before any taxes and expenses which may be payable by such Participating Holder) from such Underwritten Offering.</w:t>
      </w:r>
    </w:p>
    <w:p>
      <w:pPr>
        <w:spacing w:after="0" w:line="89" w:lineRule="exact"/>
        <w:rPr>
          <w:rFonts w:ascii="Times New Roman" w:cs="Times New Roman" w:eastAsia="Times New Roman" w:hAnsi="Times New Roman"/>
          <w:sz w:val="18"/>
          <w:szCs w:val="18"/>
          <w:color w:val="auto"/>
        </w:rPr>
      </w:pPr>
    </w:p>
    <w:p>
      <w:pPr>
        <w:ind w:right="40" w:firstLine="996"/>
        <w:spacing w:after="0" w:line="255" w:lineRule="auto"/>
        <w:tabs>
          <w:tab w:leader="none" w:pos="124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Registrations</w:t>
      </w:r>
      <w:r>
        <w:rPr>
          <w:rFonts w:ascii="Times New Roman" w:cs="Times New Roman" w:eastAsia="Times New Roman" w:hAnsi="Times New Roman"/>
          <w:sz w:val="18"/>
          <w:szCs w:val="18"/>
          <w:color w:val="auto"/>
        </w:rPr>
        <w:t xml:space="preserve">. If requested by the underwriters for any Underwritten Shelf Take-Down requested by any Holder pursuant to a Registration under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the Company shall enter into an underwriting agreement with such underwriters for such offering, such agreement to be reasonably satisfactory in substance and form to the Company, each Participating Holder and the underwriters, and to contain such representations and warranties by the Company and such other terms as are generally prevailing in agreements of that type, including customary indemnities. Each Participating Holder shall cooperate reasonably with the Company in the negotiation of such underwriting agreement and shall give consideration to the reasonable suggestions of the Company regarding the form thereof. Any such Participating Holder shall be required to make representations or warranties to, and other agreements with, the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26" w:name="page127"/>
    <w:bookmarkEnd w:id="12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underwriters in connection with such underwriting agreement as are customarily made by selling stockholders in secondary underwritten public offerings, including representations, warranties and agreements regarding such Participating Holder (but not such Participating Holder’s knowledge about the Company), such Participating Holder’s title to the Registrable Securities, such Participating Holder’s authority to sell the Registrable Securities, such Participating Holder’s intended method of distribution, absence of liens with respect to the Registrable Securities, receipt of all required consents and approvals with respect to the entry into such underwriting agreement and the sale of such Registrable Securities and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after underwriting commissions and discounts (but before any taxes and expenses which may be payable by such Participating Holder) from such Underwritten Offering.</w:t>
      </w:r>
    </w:p>
    <w:p>
      <w:pPr>
        <w:spacing w:after="0" w:line="77" w:lineRule="exact"/>
        <w:rPr>
          <w:sz w:val="20"/>
          <w:szCs w:val="20"/>
          <w:color w:val="auto"/>
        </w:rPr>
      </w:pPr>
    </w:p>
    <w:p>
      <w:pPr>
        <w:ind w:right="40" w:firstLine="996"/>
        <w:spacing w:after="0" w:line="252"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If the Company proposes to Register any of its securities under the Securities Act as contemplated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such securities are to be distributed in an Underwritten Offering through one or more underwriters, the Company shall, if requested by any Holder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subject to the provisions of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use its reasonable best efforts to arrange for such underwriters to include on the same terms and conditions that apply to the other sellers in such Registration all the Registrable Securities of the relevant class to be offered and sold by such Holder among the securities of the Company to be distributed by such underwriters in such Registration. Any such Participating Holder shall not be required to make any representations or warranties to, or agreements with, the Company or the underwriters in connection with such underwriting agreement other than customary representations, warranties or agreements regarding such Participating Holder (but not such Participating Holder’s knowledge about the Company), such Participating Holder’s title to the Registrable Securities, such Participating Holder’s authority to sell the Registrable Securities, such Participating Holder’s intended method of distribution, absence of liens with respect to the Registrable Securities, receipt of all required consents and approvals with respect to the entry into such underwriting agreement and the sale of such Registrable Securities or any other representations required to be made by such Participating Holder under applicable law, rule or regulation, and the aggregate amount of the liability of such Participating Holder in connection with such underwriting agreement shall not exceed such Participating Holder’s net proceeds after underwriting commissions and discounts (but before any taxes and expenses which may be payable by such Participating Holder) from such Underwritten Offering.</w:t>
      </w:r>
    </w:p>
    <w:p>
      <w:pPr>
        <w:spacing w:after="0" w:line="90" w:lineRule="exact"/>
        <w:rPr>
          <w:rFonts w:ascii="Times New Roman" w:cs="Times New Roman" w:eastAsia="Times New Roman" w:hAnsi="Times New Roman"/>
          <w:sz w:val="18"/>
          <w:szCs w:val="18"/>
          <w:color w:val="auto"/>
        </w:rPr>
      </w:pPr>
    </w:p>
    <w:p>
      <w:pPr>
        <w:ind w:right="20" w:firstLine="996"/>
        <w:spacing w:after="0" w:line="281" w:lineRule="auto"/>
        <w:tabs>
          <w:tab w:leader="none" w:pos="124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 in Underwritten Registrations</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Sections 2.06(a)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(c)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custody agreements, powers of attorney, indemnities, underwriting agreements and other documents reasonably required under the terms of such underwriting arrangements.</w:t>
      </w:r>
    </w:p>
    <w:p>
      <w:pPr>
        <w:spacing w:after="0" w:line="56" w:lineRule="exact"/>
        <w:rPr>
          <w:rFonts w:ascii="Times New Roman" w:cs="Times New Roman" w:eastAsia="Times New Roman" w:hAnsi="Times New Roman"/>
          <w:sz w:val="17"/>
          <w:szCs w:val="17"/>
          <w:color w:val="auto"/>
        </w:rPr>
      </w:pPr>
    </w:p>
    <w:p>
      <w:pPr>
        <w:ind w:right="60" w:firstLine="996"/>
        <w:spacing w:after="0" w:line="26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 and Underwriting Discounts</w:t>
      </w:r>
      <w:r>
        <w:rPr>
          <w:rFonts w:ascii="Times New Roman" w:cs="Times New Roman" w:eastAsia="Times New Roman" w:hAnsi="Times New Roman"/>
          <w:sz w:val="18"/>
          <w:szCs w:val="18"/>
          <w:color w:val="auto"/>
        </w:rPr>
        <w:t xml:space="preserve">. In the case of an Underwritten Offering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the price, underwriting discount and other financial terms for the Registrable Securities shall be determined by the Requesting Holder(s) participating in such Underwritten Offering.</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127" w:name="page128"/>
    <w:bookmarkEnd w:id="127"/>
    <w:p>
      <w:pPr>
        <w:ind w:right="60" w:firstLine="99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2.07. </w:t>
      </w:r>
      <w:r>
        <w:rPr>
          <w:rFonts w:ascii="Times New Roman" w:cs="Times New Roman" w:eastAsia="Times New Roman" w:hAnsi="Times New Roman"/>
          <w:sz w:val="18"/>
          <w:szCs w:val="18"/>
          <w:u w:val="single" w:color="auto"/>
          <w:color w:val="auto"/>
        </w:rPr>
        <w:t>No Inconsistent Agreements; Additional Rights</w:t>
      </w:r>
      <w:r>
        <w:rPr>
          <w:rFonts w:ascii="Times New Roman" w:cs="Times New Roman" w:eastAsia="Times New Roman" w:hAnsi="Times New Roman"/>
          <w:sz w:val="18"/>
          <w:szCs w:val="18"/>
          <w:color w:val="auto"/>
        </w:rPr>
        <w:t xml:space="preserve">(a) . The Company is not currently a party to, and shall not hereafter enter into any agreement with respect to its securities that is inconsistent with the rights granted to the Holders by this Agreement, including allowing any other holder or prospective holder of any securities of the Company registration rights in the nature or substantially in the nature of those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that would have priority over the Registrable Securities with respect to the inclusion of such securities in any Registration (except to the extent such registration rights are solely related to Registrations of the type contemplated by </w:t>
      </w:r>
      <w:r>
        <w:rPr>
          <w:rFonts w:ascii="Times New Roman" w:cs="Times New Roman" w:eastAsia="Times New Roman" w:hAnsi="Times New Roman"/>
          <w:sz w:val="18"/>
          <w:szCs w:val="18"/>
          <w:u w:val="single" w:color="auto"/>
          <w:color w:val="auto"/>
        </w:rPr>
        <w:t>Section 2.03(a)(ii)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or (b) demand registration rights in the nature or substantially in the nature of those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are exercisable prior to such time as the Requesting Holders can first exercise their rights under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992"/>
        <w:spacing w:after="0" w:line="251"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shall be paid by the Company (including, for the avoidance of doubt, in connection with any Demand Registration, Shelf Registration or any Shelf Take-Down, including (i) all registration and filing fees, and any other fees and expenses associated with filings required to be made with the Commission or FINRA, including, if applicable, the reasonable and documented fees and expenses of any “qualified independent underwriter,” as such term is defined in FINRA Rule 5121 (or any successor provision) and the reasonable and documented fees and expenses of its counsel, (ii) all fees and expenses in connection with compliance with any securities or “Blue Sky” laws (including fees and disbursements of one firm of counsel for the underwriters in connection with “Blue Sky” qualifications of the Registrable Securities together with any fees and disbursements of such counsel in connection with filings with FINRA pursuant to clause (i), up to an aggregate maximum of $5,000), (iii) all printing, duplicating, word processing, messenger, telephone, facsimile and delivery expenses (including expenses of printing certificates for the Registrable Securities in a form eligible for deposit with The Depository Trust Company and of printing Prospectuses and Issuer Free Writing Prospectuses), (iv) all fees and disbursements of counsel for the Company and of all independent certified public accountants of the Company (including the expenses of any special audits incidental to or required by any Registration or qualification and cold comfort letters required by or incident to such performance), (v) Securities Act liability insurance or similar insurance if the Company so desires, (vi) all fees and expenses incurred in connection with the listing of Registrable Securities on any securities exchange or quotation of the Registrable Securities on any inter-dealer quotation system, (vii) all of the Company’s internal expenses (including all salaries and expenses of its officers and employees performing legal or accounting duties), (viii) all expenses incurred by the Company and its directors and officers related to any preparation of any analyst or investor presentations, (ix) reasonable and documented fees, out-of-pocket costs and expenses of one firm of counsel selected by the Holder(s) of a majority of the Registrable Securities covered by each Registration Statement in an aggregate amount not to exceed $50,000, (x) fees and disbursements of underwriters customarily paid by issuers as may be agreed to by the Company in connection with a particular Underwritten Offering, but excluding any underwriting fees, discounts and commissions attributable to the sale of Registrable Securities,</w:t>
      </w:r>
    </w:p>
    <w:p>
      <w:pPr>
        <w:spacing w:after="0" w:line="11" w:lineRule="exact"/>
        <w:rPr>
          <w:sz w:val="20"/>
          <w:szCs w:val="20"/>
          <w:color w:val="auto"/>
        </w:rPr>
      </w:pPr>
    </w:p>
    <w:p>
      <w:pPr>
        <w:ind w:left="5420" w:right="1060" w:hanging="5416"/>
        <w:spacing w:after="0" w:line="433" w:lineRule="auto"/>
        <w:tabs>
          <w:tab w:leader="none" w:pos="3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agents’ and registrars’ fees and expenses and the fees and expenses of any other agent or trustee appointed in connection with 26</w:t>
      </w:r>
    </w:p>
    <w:p>
      <w:pPr>
        <w:sectPr>
          <w:pgSz w:w="11900" w:h="16838" w:orient="portrait"/>
          <w:cols w:equalWidth="0" w:num="1">
            <w:col w:w="11020"/>
          </w:cols>
          <w:pgMar w:left="440" w:top="270" w:right="439" w:bottom="1440" w:gutter="0" w:footer="0" w:header="0"/>
        </w:sectPr>
      </w:pPr>
    </w:p>
    <w:bookmarkStart w:id="128" w:name="page129"/>
    <w:bookmarkEnd w:id="128"/>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offering and (xii) any other fees and disbursements customarily paid by the issuers of securities. All such fees and expenses are referred to herein as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not be required to pay any underwriting fees, discounts and commissions, or any transfer taxes or similar taxes or charges, if any, attributable to the sale of Registrable Securities, and all such fees, discounts, commissions, taxes and charges related to any Registrable Securities shall be the sole responsibility of the Holder of such Registrable Securities.</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6"/>
        <w:spacing w:after="0" w:line="268" w:lineRule="auto"/>
        <w:tabs>
          <w:tab w:leader="none" w:pos="1236"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Company</w:t>
      </w:r>
      <w:r>
        <w:rPr>
          <w:rFonts w:ascii="Times New Roman" w:cs="Times New Roman" w:eastAsia="Times New Roman" w:hAnsi="Times New Roman"/>
          <w:sz w:val="17"/>
          <w:szCs w:val="17"/>
          <w:color w:val="auto"/>
        </w:rPr>
        <w:t>. The Company agrees to indemnify and hold harmless, to the fullest extent permitted by law, each of the Holders, each of their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(collectively, the “</w:t>
      </w:r>
      <w:r>
        <w:rPr>
          <w:rFonts w:ascii="Times New Roman" w:cs="Times New Roman" w:eastAsia="Times New Roman" w:hAnsi="Times New Roman"/>
          <w:sz w:val="17"/>
          <w:szCs w:val="17"/>
          <w:u w:val="single" w:color="auto"/>
          <w:color w:val="auto"/>
        </w:rPr>
        <w:t>Stockholder Parties</w:t>
      </w:r>
      <w:r>
        <w:rPr>
          <w:rFonts w:ascii="Times New Roman" w:cs="Times New Roman" w:eastAsia="Times New Roman" w:hAnsi="Times New Roman"/>
          <w:sz w:val="17"/>
          <w:szCs w:val="17"/>
          <w:color w:val="auto"/>
        </w:rPr>
        <w:t>”) from and against any and all losses, penalties, judgments, suits, costs, claims, damages, liabilities and expenses, joint or several (including reasonable and documented attorneys’, accountants’ and experts fees and expenses and costs and expenses of investigation actually incurred) (each, a “</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insofar as such Losses arise out of or are relating to (i) any untrue or alleged untrue statement of a material fact contained in any Registration Statement under which such Registrable Securities were registered under the Securities Act (including any final, preliminary or summary Prospectus contained therein or any amendment or supplement thereto or any documents incorporated by reference therein, which shall include any information that has been deemed to be a part of any Prospectus under Rule 159 under the Securities Act), any Issuer Free Writing Prospectus or amendment or supplement thereto and (ii)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and the Company will reimburse, as incurred, each such Stockholder Party for any out-of-pocket, documented legal and any other expenses reasonably incurred in connection with investigating or defending any such Loss;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liable to any Stockholder Party to the extent that any such Loss arises out of or is relating to an untrue statement or alleged untrue statement or omission or alleged omission made in any such Registration Statement or other document in reliance upon and in conformity with written information furnished to the Company by such indemnified party expressly for use in the preparation thereof (including without limitation any written information provided for inclusion in the Registration Statement pursuant to </w:t>
      </w:r>
      <w:r>
        <w:rPr>
          <w:rFonts w:ascii="Times New Roman" w:cs="Times New Roman" w:eastAsia="Times New Roman" w:hAnsi="Times New Roman"/>
          <w:sz w:val="17"/>
          <w:szCs w:val="17"/>
          <w:u w:val="single" w:color="auto"/>
          <w:color w:val="auto"/>
        </w:rPr>
        <w:t>Section 2.05(a)(i)</w:t>
      </w:r>
      <w:r>
        <w:rPr>
          <w:rFonts w:ascii="Times New Roman" w:cs="Times New Roman" w:eastAsia="Times New Roman" w:hAnsi="Times New Roman"/>
          <w:sz w:val="17"/>
          <w:szCs w:val="17"/>
          <w:color w:val="auto"/>
        </w:rPr>
        <w:t xml:space="preserve"> or</w:t>
      </w:r>
    </w:p>
    <w:p>
      <w:pPr>
        <w:spacing w:after="0" w:line="196" w:lineRule="exact"/>
        <w:rPr>
          <w:rFonts w:ascii="Times New Roman" w:cs="Times New Roman" w:eastAsia="Times New Roman" w:hAnsi="Times New Roman"/>
          <w:sz w:val="17"/>
          <w:szCs w:val="17"/>
          <w:color w:val="auto"/>
        </w:rPr>
      </w:pPr>
    </w:p>
    <w:p>
      <w:pPr>
        <w:ind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This indemnity shall be in addition to any liability the Company may otherwise have. Such indemnity shall remain in full force and effect regardless of any investigation made by or on behalf of such Holder or any Stockholder Party and shall survive the transfer of such securities by such Holder. The Company shall also indemnify the underwriters, selling brokers, dealer managers and similar securities industry professionals participating in the distribution, their officers and directors and each Person who controls such Persons (within the meaning of the Securities Act and the Exchange Act) as may be reasonably requested by any such parties and on customary terms.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29" w:name="page130"/>
    <w:bookmarkEnd w:id="129"/>
    <w:p>
      <w:pPr>
        <w:ind w:firstLine="996"/>
        <w:spacing w:after="0" w:line="266" w:lineRule="auto"/>
        <w:tabs>
          <w:tab w:leader="none" w:pos="1247"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Participating Holders</w:t>
      </w:r>
      <w:r>
        <w:rPr>
          <w:rFonts w:ascii="Times New Roman" w:cs="Times New Roman" w:eastAsia="Times New Roman" w:hAnsi="Times New Roman"/>
          <w:sz w:val="17"/>
          <w:szCs w:val="17"/>
          <w:color w:val="auto"/>
        </w:rPr>
        <w:t xml:space="preserve">. Each Participating Holder agrees (severally and not jointly) to indemnify and hold harmless, to the fullest extent permitted by law, the Company, its directors and officers and each Person who controls the Company (within the meaning of the Securities Act or the Exchange Act), and each other Holder, each of such other Holder’s respective direct or indirect partners, members or shareholders and each of such partner’s, member’s or shareholder’s partners members or shareholders and, with respect to all of the foregoing Persons, each of their respective Affiliates, employees, directors, officers, trustees or agents and each Person who controls (within the meaning of the Securities Act or the Exchange Act) such Persons and each of their respective Representatives from and against (i) any Losses resulting from any untrue statement or alleged untrue statement of a material fact contained in any Registration Statement under which such Participating Holder’s Registrable Securities were registered under the Securities Act (including any final, preliminary or summary Prospectus contained therein or any amendment or supplement thereto or any documents incorporated by reference therein, which shall include any information that has been deemed to be a part of any Prospectus under Rule 159 under the Securities Act) or any Issuer Free Writing Prospectus or amendment or supplement thereto, or (ii) any Losses resulting from any omission or alleged omission to state therein a material fact required to be stated therein or necessary to make the statements therein (in the case of a Prospectus, preliminary Prospectus or Issuer Free Writing Prospectus, in light of the circumstances under which they were made) not misleading, in each case with respect to clauses (i) and (ii) to the extent, but only to the extent, that such untrue statement or omission is contained in information furnished in writing by such Participating Holder or Stockholder Party to the Company specifically for inclusion in such Registration Statement (including, without limitation, any written information provided for inclusion in the Registration Statement pursuant to </w:t>
      </w:r>
      <w:r>
        <w:rPr>
          <w:rFonts w:ascii="Times New Roman" w:cs="Times New Roman" w:eastAsia="Times New Roman" w:hAnsi="Times New Roman"/>
          <w:sz w:val="17"/>
          <w:szCs w:val="17"/>
          <w:u w:val="single" w:color="auto"/>
          <w:color w:val="auto"/>
        </w:rPr>
        <w:t>Section 2.05(a)(i)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2.05(b)</w:t>
      </w:r>
      <w:r>
        <w:rPr>
          <w:rFonts w:ascii="Times New Roman" w:cs="Times New Roman" w:eastAsia="Times New Roman" w:hAnsi="Times New Roman"/>
          <w:sz w:val="17"/>
          <w:szCs w:val="17"/>
          <w:color w:val="auto"/>
        </w:rPr>
        <w:t>) and has not been corrected in a subsequent writing prior to or concurrently with the sale of the Registrable Securities to the Person asserting the claim,</w:t>
      </w:r>
    </w:p>
    <w:p>
      <w:pPr>
        <w:spacing w:after="0" w:line="9" w:lineRule="exact"/>
        <w:rPr>
          <w:rFonts w:ascii="Times New Roman" w:cs="Times New Roman" w:eastAsia="Times New Roman" w:hAnsi="Times New Roman"/>
          <w:sz w:val="17"/>
          <w:szCs w:val="17"/>
          <w:color w:val="auto"/>
        </w:rPr>
      </w:pPr>
    </w:p>
    <w:p>
      <w:pPr>
        <w:ind w:right="20" w:firstLine="4"/>
        <w:spacing w:after="0" w:line="251" w:lineRule="auto"/>
        <w:tabs>
          <w:tab w:leader="none" w:pos="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Company notifies such Participating Holder in writing of the occurrence of an event of the type specified in </w:t>
      </w:r>
      <w:r>
        <w:rPr>
          <w:rFonts w:ascii="Times New Roman" w:cs="Times New Roman" w:eastAsia="Times New Roman" w:hAnsi="Times New Roman"/>
          <w:sz w:val="18"/>
          <w:szCs w:val="18"/>
          <w:u w:val="single" w:color="auto"/>
          <w:color w:val="auto"/>
        </w:rPr>
        <w:t>Section 2.05(a)(iv)</w:t>
      </w:r>
      <w:r>
        <w:rPr>
          <w:rFonts w:ascii="Times New Roman" w:cs="Times New Roman" w:eastAsia="Times New Roman" w:hAnsi="Times New Roman"/>
          <w:sz w:val="18"/>
          <w:szCs w:val="18"/>
          <w:color w:val="auto"/>
        </w:rPr>
        <w:t xml:space="preserve">, to the extent, and only to the extent, of any Losses resulting from such Participating Holder’s use of an outdated or defective Prospectus or Issuer Free Writing Prospectus after the date of such notice and prior to the date that its disposition of Registrable Securities pursuant to such Registration Statement may be resumed pursuant to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or, if applicable, such Participating Holder’s failure to use the supplemented or amended Prospectus or Issuer Free Writing Prospectus delivered to it pursuant to </w:t>
      </w:r>
      <w:r>
        <w:rPr>
          <w:rFonts w:ascii="Times New Roman" w:cs="Times New Roman" w:eastAsia="Times New Roman" w:hAnsi="Times New Roman"/>
          <w:sz w:val="18"/>
          <w:szCs w:val="18"/>
          <w:u w:val="single" w:color="auto"/>
          <w:color w:val="auto"/>
        </w:rPr>
        <w:t>Section 2.05(a)(iv)</w:t>
      </w:r>
      <w:r>
        <w:rPr>
          <w:rFonts w:ascii="Times New Roman" w:cs="Times New Roman" w:eastAsia="Times New Roman" w:hAnsi="Times New Roman"/>
          <w:sz w:val="18"/>
          <w:szCs w:val="18"/>
          <w:color w:val="auto"/>
        </w:rPr>
        <w:t xml:space="preserve">, but only to the extent that the use of such supplemented or amended Prospectus or Issuer Free Writing Prospectus would have corrected the misstatement or omission giving rise to such Loss, and (iv) in the event that the Company delivers to such Participating Holder a Postponing Officer’s Certificate or a Suspending Officer’s Certificate, to the extent, and only to the extent, of any Losses resulting from such Participating Holder’s disposition of Registrable Securities pursuant to such Registration Statement after the date of such certificate in contravention of the applicable restrictions under </w:t>
      </w:r>
      <w:r>
        <w:rPr>
          <w:rFonts w:ascii="Times New Roman" w:cs="Times New Roman" w:eastAsia="Times New Roman" w:hAnsi="Times New Roman"/>
          <w:sz w:val="18"/>
          <w:szCs w:val="18"/>
          <w:u w:val="single" w:color="auto"/>
          <w:color w:val="auto"/>
        </w:rPr>
        <w:t>Sections 2.01(b)</w:t>
      </w:r>
      <w:r>
        <w:rPr>
          <w:rFonts w:ascii="Times New Roman" w:cs="Times New Roman" w:eastAsia="Times New Roman" w:hAnsi="Times New Roman"/>
          <w:sz w:val="18"/>
          <w:szCs w:val="18"/>
          <w:color w:val="auto"/>
        </w:rPr>
        <w:t xml:space="preserve"> or 2.02(e). In no event shall the liability of such Participating Holder hereunder be greater in amount than the dollar amount of the net proceeds after underwriting commissions and discounts (but before any taxes and expenses which may be payable by such Participating Holder) received by such Participating Holder under the sale of Registrable Securities giving rise to such indemnification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-439420</wp:posOffset>
            </wp:positionV>
            <wp:extent cx="3556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130" w:name="page131"/>
    <w:bookmarkEnd w:id="130"/>
    <w:p>
      <w:pPr>
        <w:ind w:left="-4" w:firstLine="996"/>
        <w:spacing w:after="0" w:line="253" w:lineRule="auto"/>
        <w:tabs>
          <w:tab w:leader="none" w:pos="123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Conduct of Indemnification Proceedings</w:t>
      </w:r>
      <w:r>
        <w:rPr>
          <w:rFonts w:ascii="Times New Roman" w:cs="Times New Roman" w:eastAsia="Times New Roman" w:hAnsi="Times New Roman"/>
          <w:sz w:val="18"/>
          <w:szCs w:val="18"/>
          <w:color w:val="auto"/>
        </w:rPr>
        <w:t xml:space="preserve">. Any Person entitled to indemnification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so notify the indemnifying party shall relieve the indemnifying party of its obligations hereunder only to the extent, if at all, that it is actually and materially prejudiced by reason of such failure) and (ii)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Person entitled to indemnification hereunder shall have the right to select and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within a reasonable time after delivery of notice of such claim from the Person entitled to indemnification hereunder and employ counsel reasonably satisfactory to such Person,</w:t>
      </w:r>
    </w:p>
    <w:p>
      <w:pPr>
        <w:spacing w:after="0" w:line="1" w:lineRule="exact"/>
        <w:rPr>
          <w:rFonts w:ascii="Times New Roman" w:cs="Times New Roman" w:eastAsia="Times New Roman" w:hAnsi="Times New Roman"/>
          <w:sz w:val="18"/>
          <w:szCs w:val="18"/>
          <w:color w:val="auto"/>
        </w:rPr>
      </w:pPr>
    </w:p>
    <w:p>
      <w:pPr>
        <w:ind w:left="-4" w:right="100" w:firstLine="4"/>
        <w:spacing w:after="0" w:line="251" w:lineRule="auto"/>
        <w:tabs>
          <w:tab w:leader="none" w:pos="28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indemnified party has reasonably concluded (based upon advice of independent outside counsel) that there may be legal defenses available to it that are different from or in addition to those available to the indemnifying party, or (D) in the reasonable judgment of any such indemnified party (based upon advice of independent outside counsel), an actual or potential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consent to entry of any judgment or enter into any settlement, in each case without the prior written consent (not to be unreasonably withheld) of the indemnified party, unless the entry of such judgment or settlement (i) includes as an unconditional term thereof the giving by the claimant or plaintiff to such indemnified party of an unconditional release from all liability in respect to such claim or litigation and (ii) does not include a statement as to or an admission of fault, culpability or a failure to act by or on behalf of such indemnified party, and provided that any sums payable in connection with such settlement are paid in full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in connection with any proceeding or related proceedings in the same jurisdiction, be liable for the reasonable fees, disbursements or other charges of more than one separate firm for all indemnified parties admitted to practice in such jurisdiction at any one time unless the employment of more than one counsel has been authorized in writing by the indemnifying party or parties.</w:t>
      </w:r>
    </w:p>
    <w:p>
      <w:pPr>
        <w:spacing w:after="0" w:line="83" w:lineRule="exact"/>
        <w:rPr>
          <w:rFonts w:ascii="Times New Roman" w:cs="Times New Roman" w:eastAsia="Times New Roman" w:hAnsi="Times New Roman"/>
          <w:sz w:val="18"/>
          <w:szCs w:val="18"/>
          <w:color w:val="auto"/>
        </w:rPr>
      </w:pPr>
    </w:p>
    <w:p>
      <w:pPr>
        <w:ind w:left="-4" w:right="40" w:firstLine="996"/>
        <w:spacing w:after="0" w:line="255" w:lineRule="auto"/>
        <w:tabs>
          <w:tab w:leader="none" w:pos="1243"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for any reason the indemnification provided for in paragraphs (a) and (b)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is unavailable to an indemnified party or insufficient in respect of any Losses referred to therein,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Commission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w:t>
      </w:r>
    </w:p>
    <w:p>
      <w:pPr>
        <w:spacing w:after="0" w:line="12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16"/>
          </w:cols>
          <w:pgMar w:left="444" w:top="270" w:right="439" w:bottom="1440" w:gutter="0" w:footer="0" w:header="0"/>
        </w:sectPr>
      </w:pPr>
    </w:p>
    <w:bookmarkStart w:id="131" w:name="page132"/>
    <w:bookmarkEnd w:id="13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or by any other method of allocation that does not take account of the equitable considerations referred to in this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w:t>
      </w:r>
      <w:r>
        <w:rPr>
          <w:rFonts w:ascii="Times New Roman" w:cs="Times New Roman" w:eastAsia="Times New Roman" w:hAnsi="Times New Roman"/>
          <w:sz w:val="18"/>
          <w:szCs w:val="18"/>
          <w:u w:val="single" w:color="auto"/>
          <w:color w:val="auto"/>
        </w:rPr>
        <w:t>Sections 2.09(a)</w:t>
      </w:r>
      <w:r>
        <w:rPr>
          <w:rFonts w:ascii="Times New Roman" w:cs="Times New Roman" w:eastAsia="Times New Roman" w:hAnsi="Times New Roman"/>
          <w:sz w:val="18"/>
          <w:szCs w:val="18"/>
          <w:color w:val="auto"/>
        </w:rPr>
        <w:t xml:space="preserve"> and 2.09(b)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 xml:space="preserve">, in connection with any Registration Statement filed by the Company, a Participating Holder shall not be required to contribute any amount in excess of the dollar amount of the net proceeds after underwriting commissions and discounts (but before any taxes and expenses which may be payable by such Participating Holder) received by such Participating Holder under the sale of Registrable Securities giving rise to such contribution obligation less any amount paid by such Participating Holders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Each Participating Holder’s obligation to contribute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is several in the proportion that the proceeds of the offering received by such Participating Holder bears to the total proceeds of the offering received by all such Participating Holders and not joint. If indemnification is available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Sections 2.09(a)</w:t>
      </w:r>
      <w:r>
        <w:rPr>
          <w:rFonts w:ascii="Times New Roman" w:cs="Times New Roman" w:eastAsia="Times New Roman" w:hAnsi="Times New Roman"/>
          <w:sz w:val="18"/>
          <w:szCs w:val="18"/>
          <w:color w:val="auto"/>
        </w:rPr>
        <w:t xml:space="preserve"> and 2.09(b) hereof without regard to the provisions of this </w:t>
      </w:r>
      <w:r>
        <w:rPr>
          <w:rFonts w:ascii="Times New Roman" w:cs="Times New Roman" w:eastAsia="Times New Roman" w:hAnsi="Times New Roman"/>
          <w:sz w:val="18"/>
          <w:szCs w:val="18"/>
          <w:u w:val="single" w:color="auto"/>
          <w:color w:val="auto"/>
        </w:rPr>
        <w:t>Section 2.09(d)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-1260475</wp:posOffset>
            </wp:positionV>
            <wp:extent cx="3619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1950" cy="8890"/>
                    </a:xfrm>
                    <a:prstGeom prst="rect">
                      <a:avLst/>
                    </a:prstGeom>
                    <a:noFill/>
                  </pic:spPr>
                </pic:pic>
              </a:graphicData>
            </a:graphic>
          </wp:anchor>
        </w:drawing>
        <w:drawing>
          <wp:anchor simplePos="0" relativeHeight="251657728" behindDoc="1" locked="0" layoutInCell="0" allowOverlap="1">
            <wp:simplePos x="0" y="0"/>
            <wp:positionH relativeFrom="column">
              <wp:posOffset>6353810</wp:posOffset>
            </wp:positionH>
            <wp:positionV relativeFrom="paragraph">
              <wp:posOffset>-162560</wp:posOffset>
            </wp:positionV>
            <wp:extent cx="3619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1950" cy="8890"/>
                    </a:xfrm>
                    <a:prstGeom prst="rect">
                      <a:avLst/>
                    </a:prstGeom>
                    <a:noFill/>
                  </pic:spPr>
                </pic:pic>
              </a:graphicData>
            </a:graphic>
          </wp:anchor>
        </w:drawing>
      </w:r>
    </w:p>
    <w:p>
      <w:pPr>
        <w:spacing w:after="0" w:line="69" w:lineRule="exact"/>
        <w:rPr>
          <w:sz w:val="20"/>
          <w:szCs w:val="20"/>
          <w:color w:val="auto"/>
        </w:rPr>
      </w:pPr>
    </w:p>
    <w:p>
      <w:pPr>
        <w:ind w:right="140" w:firstLine="996"/>
        <w:spacing w:after="0" w:line="282"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Exclusivity</w:t>
      </w:r>
      <w:r>
        <w:rPr>
          <w:rFonts w:ascii="Times New Roman" w:cs="Times New Roman" w:eastAsia="Times New Roman" w:hAnsi="Times New Roman"/>
          <w:sz w:val="18"/>
          <w:szCs w:val="18"/>
          <w:color w:val="auto"/>
        </w:rPr>
        <w:t xml:space="preserve">. The remedies provided for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are not exclusive and shall not limit any rights or remedies which may be available to any indemnified party at law or in equity or pursuant to any other agreement.</w:t>
      </w:r>
    </w:p>
    <w:p>
      <w:pPr>
        <w:spacing w:after="0" w:line="53" w:lineRule="exact"/>
        <w:rPr>
          <w:rFonts w:ascii="Times New Roman" w:cs="Times New Roman" w:eastAsia="Times New Roman" w:hAnsi="Times New Roman"/>
          <w:sz w:val="18"/>
          <w:szCs w:val="18"/>
          <w:color w:val="auto"/>
        </w:rPr>
      </w:pPr>
    </w:p>
    <w:p>
      <w:pPr>
        <w:ind w:left="1220" w:hanging="224"/>
        <w:spacing w:after="0"/>
        <w:tabs>
          <w:tab w:leader="none" w:pos="12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indemnities provided in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survive the transfer of any Registrable Securities by such Holder.</w:t>
      </w:r>
    </w:p>
    <w:p>
      <w:pPr>
        <w:spacing w:after="0" w:line="117" w:lineRule="exact"/>
        <w:rPr>
          <w:rFonts w:ascii="Times New Roman" w:cs="Times New Roman" w:eastAsia="Times New Roman" w:hAnsi="Times New Roman"/>
          <w:sz w:val="18"/>
          <w:szCs w:val="18"/>
          <w:color w:val="auto"/>
        </w:rPr>
      </w:pPr>
    </w:p>
    <w:p>
      <w:pPr>
        <w:ind w:firstLine="996"/>
        <w:spacing w:after="0" w:line="266" w:lineRule="auto"/>
        <w:tabs>
          <w:tab w:leader="none" w:pos="124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Indemnification similar to that specified herein (with appropriate modifications) shall be given by the Company and each Participating Holder with respect to any required registration or other qualification of securities under any law other than the Securities Act or the Exchange Act.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Registration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any of the following events shall occur (each, a “</w:t>
      </w:r>
      <w:r>
        <w:rPr>
          <w:rFonts w:ascii="Times New Roman" w:cs="Times New Roman" w:eastAsia="Times New Roman" w:hAnsi="Times New Roman"/>
          <w:sz w:val="17"/>
          <w:szCs w:val="17"/>
          <w:u w:val="single" w:color="auto"/>
          <w:color w:val="auto"/>
        </w:rPr>
        <w:t>Registration Default</w:t>
      </w:r>
      <w:r>
        <w:rPr>
          <w:rFonts w:ascii="Times New Roman" w:cs="Times New Roman" w:eastAsia="Times New Roman" w:hAnsi="Times New Roman"/>
          <w:sz w:val="17"/>
          <w:szCs w:val="17"/>
          <w:color w:val="auto"/>
        </w:rPr>
        <w:t>”), then the Company shall pay Liquidated Damages to the Holders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9" w:lineRule="exact"/>
        <w:rPr>
          <w:sz w:val="20"/>
          <w:szCs w:val="20"/>
          <w:color w:val="auto"/>
        </w:rPr>
      </w:pPr>
    </w:p>
    <w:p>
      <w:pPr>
        <w:ind w:left="1240" w:hanging="244"/>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Registration Statement is not filed with the Commission on or prior to the Required Filing Date;</w:t>
      </w:r>
    </w:p>
    <w:p>
      <w:pPr>
        <w:spacing w:after="0" w:line="117" w:lineRule="exact"/>
        <w:rPr>
          <w:rFonts w:ascii="Times New Roman" w:cs="Times New Roman" w:eastAsia="Times New Roman" w:hAnsi="Times New Roman"/>
          <w:sz w:val="18"/>
          <w:szCs w:val="18"/>
          <w:color w:val="auto"/>
        </w:rPr>
      </w:pPr>
    </w:p>
    <w:p>
      <w:pPr>
        <w:ind w:right="280" w:firstLine="996"/>
        <w:spacing w:after="0" w:line="266" w:lineRule="auto"/>
        <w:tabs>
          <w:tab w:leader="none" w:pos="12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Registration Statement is filed but not declared effective by the Commission (or has not become effective in the case of an Automatic Shelf Registration Statement) on or prior to the 90th day after the date of initial filing of the Registration Statement (or the 30th day if the Commission does not review the Registration Statement);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32" w:name="page133"/>
    <w:bookmarkEnd w:id="132"/>
    <w:p>
      <w:pPr>
        <w:jc w:val="both"/>
        <w:ind w:right="500" w:firstLine="996"/>
        <w:spacing w:after="0" w:line="257" w:lineRule="auto"/>
        <w:tabs>
          <w:tab w:leader="none" w:pos="123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Registration Statement has been declared or become effective but ceases to be effective or usable for the offer and sale of the Registrable Securities (without being succeeded immediately by an effective replacement registration statement), or the Registration Statement or Prospectus contained therein ceases to be usable in connection with the resales of Registrable Securities for a period of time which exceeds ninety</w:t>
      </w:r>
    </w:p>
    <w:p>
      <w:pPr>
        <w:spacing w:after="0" w:line="1" w:lineRule="exact"/>
        <w:rPr>
          <w:rFonts w:ascii="Times New Roman" w:cs="Times New Roman" w:eastAsia="Times New Roman" w:hAnsi="Times New Roman"/>
          <w:sz w:val="18"/>
          <w:szCs w:val="18"/>
          <w:color w:val="auto"/>
        </w:rPr>
      </w:pPr>
    </w:p>
    <w:p>
      <w:pPr>
        <w:ind w:firstLine="4"/>
        <w:spacing w:after="0" w:line="252" w:lineRule="auto"/>
        <w:tabs>
          <w:tab w:leader="none" w:pos="3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in the aggregate in any consecutive 12-month period because of either a Shelf Suspension or a Demand Suspension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Liquidated Damages shall accrue under this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if the Registration Statement ceases to be effective or usable for the offer, sale and resale of Registrable Securities solely as a result of requirement to file a post-effective amendment or supplement to the Prospectus to make changes to the information regarding selling securityholders or the plan of distribution provided for therein or as a result of the inability of the Participating Holders to sell the Registrable Securities covered thereby due to market conditions;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upon the filing of the Registration Statement (in the case of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(ii) upon the effectiveness of the Registration Statement (in the case of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or (iii) upon such time as the Shelf Registration Statement which had ceased to remain effective or usable for resales again becomes effective and usable for resales (in the case of this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the Liquidated Damages shall cease to accrue.</w:t>
      </w:r>
    </w:p>
    <w:p>
      <w:pPr>
        <w:spacing w:after="0" w:line="188"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Commencing on the date any such Registration Default occurs, only if at such time a Holder is a Participating Holder with respect to the applicable Registration Statement, on the first day of the occurrence of the Registration Default, and on each monthly anniversary of each such date (if the applicable Registration Default shall not have been cured by such date) until the applicable Registration Default is cured or a particular Purchaser no longer holds any Registrable Securities, the Company shall pay to each Participating Holder Liquidated Damages, equal to one half of one percent</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(0.50%) of the Allocated Purchase Price (as defined in the Securities Purchase Agreement) paid by such Holder pursuant to the Securities Purchase Agreement for any Registrable Securities held by such Holder on the date of the Registration Default and each such monthly anniversary thereof. Such payments shall constitute the Holders’ exclusive monetary remedy for such events, but shall not affect the right of the Holders to seek injunctive relief. The parties agree that notwithstanding anything to the contrary herein, no Liquidated Damages shall be payable with respect to any period after the date the Company is no longer required to maintain the effectiveness of the applicable Registration Statement as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in no event shall (1) the aggregate amount of Liquidated Damages payable exceed, in the aggregate, 5.0% of the Allocated Purchase Price paid by such Holder (or if the Holder is a successor to the purchaser of such securities, paid by such person) pursuant to the Securities Purchase Agreement nor</w:t>
      </w:r>
    </w:p>
    <w:p>
      <w:pPr>
        <w:spacing w:after="0" w:line="3" w:lineRule="exact"/>
        <w:rPr>
          <w:sz w:val="20"/>
          <w:szCs w:val="20"/>
          <w:color w:val="auto"/>
        </w:rPr>
      </w:pPr>
    </w:p>
    <w:p>
      <w:pPr>
        <w:ind w:right="40" w:firstLine="4"/>
        <w:spacing w:after="0" w:line="252" w:lineRule="auto"/>
        <w:tabs>
          <w:tab w:leader="none" w:pos="2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the Company be liable in any calendar month for Liquidated Damages under this Agreement in excess of one half of one percent (0.50%) of Total Purchase Price (as defined in the Securities Purchase Agreement) paid by all purchasers pursuant to the Securities Purchase Agreement, regardless of whether more than one Registration Default has occurred and is continuing. If the Company fails to pay any Liquidated Damages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 full within five (5) Business Days after the date payable, the Company will pay interest thereon at a rate of 1.0% per month (or such lesser maximum amount that is permitted to be paid by applicable law) to the Holder, accruing daily from the date such Liquidated Damages are due until such amounts, plus all such interest thereon, are paid in full. The Liquidated Damages pursuant to the terms hereof shall apply on a daily pro-rata basis for any portion of a month prior to the cure of a Registration Default, except in the case of the first occurrence of the Registration Default.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133" w:name="page134"/>
    <w:bookmarkEnd w:id="133"/>
    <w:p>
      <w:pPr>
        <w:ind w:right="20" w:firstLine="99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will file the reports required to be filed by it under the Securities Act and the Exchange Act and the rules and regulations adopted by the Commission thereunder (or, if the Company is not required to file such reports, it will, upon the reasonable request of any Holder, make publicly available such necessary information for so long as necessary to permit sales pursuant to Rule 144), all to the extent required from time to time to enable the Holders to sell Registrable Securities without Registration under the Securities Act within the limitation of the exemptions provided by (i) Rule 144, as such rule may be amended from time to time, or (ii) any similar rule or regulation hereafter adopted by the Commission. Upon the reasonable request of a Holder, the Company will deliver to such Holder a written statement as to whether it has complied with such requirements and, if not, the specifics thereof.</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Limitation on Registrations and Underwritten Offerings</w:t>
      </w:r>
      <w:r>
        <w:rPr>
          <w:rFonts w:ascii="Times New Roman" w:cs="Times New Roman" w:eastAsia="Times New Roman" w:hAnsi="Times New Roman"/>
          <w:sz w:val="18"/>
          <w:szCs w:val="18"/>
          <w:color w:val="auto"/>
        </w:rPr>
        <w:t>. Notwithstanding the rights and obligations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in no event shall the Company be obligated to take any action to effect a Demand Registration or an Underwritten Shelf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Take-Down within one hundred twenty (120) days after the consummation of a previous Demand Registration or Underwritten Shelf Take-Down,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16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This Agreement shall terminate with respect to any Holder when it first ceases to hold any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shall survive termination of this Agreement.</w:t>
      </w:r>
    </w:p>
    <w:p>
      <w:pPr>
        <w:spacing w:after="0" w:line="162" w:lineRule="exact"/>
        <w:rPr>
          <w:sz w:val="20"/>
          <w:szCs w:val="20"/>
          <w:color w:val="auto"/>
        </w:rPr>
      </w:pPr>
    </w:p>
    <w:p>
      <w:pPr>
        <w:ind w:firstLine="992"/>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It is hereby agreed and acknowledged that it will be impossible to measure in money the 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 enforce such obligations, and if any action should be brought in equity to enforce any of the provisions of this Agreement, none of the parties hereto shall raise the defense that there is an adequate remedy at law.</w:t>
      </w:r>
    </w:p>
    <w:p>
      <w:pPr>
        <w:spacing w:after="0" w:line="188" w:lineRule="exact"/>
        <w:rPr>
          <w:sz w:val="20"/>
          <w:szCs w:val="20"/>
          <w:color w:val="auto"/>
        </w:rPr>
      </w:pPr>
    </w:p>
    <w:p>
      <w:pPr>
        <w:ind w:right="140" w:firstLine="992"/>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demands provided for hereunder shall be in writing and shall be given by registered or certified mail, return receipt requested, telecopy, electronic mail, air courier guaranteeing overnight delivery or personal delivery to the address set out below or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(or such other address as such Holder may specify by notice to the Company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and the Company at the following addresses: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34" w:name="page135"/>
    <w:bookmarkEnd w:id="134"/>
    <w:p>
      <w:pPr>
        <w:ind w:left="18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Company:</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Matthew S. Heiter</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NN, Inc.</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matt.heiter@nninc.com</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Eric M. Swedenburg</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425 Lexington Avenue</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Email: eswedenburg@stblaw.com</w:t>
      </w:r>
    </w:p>
    <w:p>
      <w:pPr>
        <w:spacing w:after="0" w:line="9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Daniel N. Webb</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2475 Hanover Street</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dwebb@stblaw.com</w:t>
      </w:r>
    </w:p>
    <w:p>
      <w:pPr>
        <w:spacing w:after="0" w:line="20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or to such other address as the Company or the Holders may designate in writing. All notices and communications shall be deemed to have been duly given: at the time delivered by hand, if personally delivered; upon actual receipt if sent by certified or registered mail, return receipt requested, or regular mail, if mailed; upon actual receipt of the facsimile, if sent via facsimile; when sent, if sent by electronic mail prior to 5:00 pm New York time on a Business Day, or on the next succeeding Business Day, if not; and upon actual receipt when delivered to an air courier guaranteeing overnight delivery.</w:t>
      </w:r>
    </w:p>
    <w:p>
      <w:pPr>
        <w:spacing w:after="0" w:line="165" w:lineRule="exact"/>
        <w:rPr>
          <w:sz w:val="20"/>
          <w:szCs w:val="20"/>
          <w:color w:val="auto"/>
        </w:rPr>
      </w:pPr>
    </w:p>
    <w:p>
      <w:pPr>
        <w:ind w:firstLine="992"/>
        <w:spacing w:after="0" w:line="255"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The provisions of this Agreement shall apply to the full extent set forth herein with respect to any and all equity securities (if any) of the Company or any successor or assign of the Company (whether by merger, consolidation, sale of assets or otherwise) which, in each case, may be issued in respect of, in conversion of, in exchange for or in substitution of, the Registrable Securities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shall be appropriately adjusted for any stock dividends, splits, reverse splits, combinations, recapitalizations and the like occurring after the date hereof. In the event of a Share Transaction, the Company shall cause any successor or assign (whether by merger, consolidation, sale of assets or otherwise) to assume this Agreement or enter into a new registration rights agreement with the Holders on terms substantially the same as this Agreement as a condition of any such transaction.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135" w:name="page136"/>
    <w:bookmarkEnd w:id="135"/>
    <w:p>
      <w:pPr>
        <w:ind w:right="180" w:firstLine="99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The terms and provisions of this Agreement may only be amended, modified or waived at any time and from time to time by a writing executed by the Company and the Holders of a majority of the Registrable Securities then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such amendment, modification or waiver shall adversely affect the rights of any Holder, the consent of all such affected Holders shall be required.</w:t>
      </w:r>
    </w:p>
    <w:p>
      <w:pPr>
        <w:spacing w:after="0" w:line="176" w:lineRule="exact"/>
        <w:rPr>
          <w:sz w:val="20"/>
          <w:szCs w:val="20"/>
          <w:color w:val="auto"/>
        </w:rPr>
      </w:pPr>
    </w:p>
    <w:p>
      <w:pPr>
        <w:ind w:firstLine="992"/>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Successors, Assigns and Transferees</w:t>
      </w:r>
      <w:r>
        <w:rPr>
          <w:rFonts w:ascii="Times New Roman" w:cs="Times New Roman" w:eastAsia="Times New Roman" w:hAnsi="Times New Roman"/>
          <w:sz w:val="18"/>
          <w:szCs w:val="18"/>
          <w:color w:val="auto"/>
        </w:rPr>
        <w:t xml:space="preserve">. The rights and obligations of each party hereto may not be assigned, in whole or in part, without the written consent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rights and obligations set forth herein may be assigned, in whole or in part, by any Holder (i) to any of its Affiliates or (ii) to any Person that is not an Affiliate in connection with the sale to such Person of Registrable Securities with a liquidation preference or market value in excess of $15 million, and any such transferee shall, with the consent of the transferring Holder, be treated as a “Holder”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transferee shall only be admitted as a party hereunder upon its, his or her execution and delivery of a joinder agreement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agreeing to be bound by the terms and conditions of this Agreement as if such Person were a party hereto (together with any other documents the Holders determine are necessary to make such Person a party hereto), whereupon such Person will be treated as a Holder for all purposes of this Agreement, with the same rights, benefits and obligations hereunder as the transferring Holder with respect to the transferred Registrable Securities (except that if the transferee was a Holder prior to such transfer, such transferee shall have the same rights, benefits and obligations with respect to such transferred Registrable Securities as were applicable to Registrable Securities held by such transferee prior to such transfer).</w:t>
      </w:r>
    </w:p>
    <w:p>
      <w:pPr>
        <w:spacing w:after="0" w:line="193" w:lineRule="exact"/>
        <w:rPr>
          <w:sz w:val="20"/>
          <w:szCs w:val="20"/>
          <w:color w:val="auto"/>
        </w:rPr>
      </w:pPr>
    </w:p>
    <w:p>
      <w:pPr>
        <w:ind w:right="34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the Company, each of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76" w:lineRule="exact"/>
        <w:rPr>
          <w:sz w:val="20"/>
          <w:szCs w:val="20"/>
          <w:color w:val="auto"/>
        </w:rPr>
      </w:pPr>
    </w:p>
    <w:p>
      <w:pPr>
        <w:ind w:right="20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Nothing in this Agreement, express or implied, is intended or shall be construed to confer upon any Person not a party hereto (other than those Persons entitled to indemnity or contribution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each of whom shall be a third party beneficiary thereof) any right, remedy or claim under or by virtue of this Agreement.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Governing Law; Submission to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2"/>
        <w:spacing w:after="0" w:line="255" w:lineRule="auto"/>
        <w:rPr>
          <w:sz w:val="20"/>
          <w:szCs w:val="20"/>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New York without regard to principles of conflicts of laws that would result in the application of the law of any other jurisdiction. Any action against any party relating to the foregoing shall be brought in any federal or state court of competent jurisdiction located within the State of New York, and the parties hereto hereby irrevocably submit to the non-exclusive jurisdiction of any federal or state court located within the State of New York over any such action. The parties hereby irrevocably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136" w:name="page137"/>
    <w:bookmarkEnd w:id="13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76" w:lineRule="exact"/>
        <w:rPr>
          <w:sz w:val="20"/>
          <w:szCs w:val="20"/>
          <w:color w:val="auto"/>
        </w:rPr>
      </w:pPr>
    </w:p>
    <w:p>
      <w:pPr>
        <w:ind w:right="100" w:firstLine="992"/>
        <w:spacing w:after="0" w:line="27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TO THIS AGREEMENT EACH HEREBY WAIVES, AND AGREES TO CAUSE ITS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74" w:lineRule="exact"/>
        <w:rPr>
          <w:sz w:val="20"/>
          <w:szCs w:val="20"/>
          <w:color w:val="auto"/>
        </w:rPr>
      </w:pPr>
    </w:p>
    <w:p>
      <w:pPr>
        <w:ind w:right="20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Immunity Waiver</w:t>
      </w:r>
      <w:r>
        <w:rPr>
          <w:rFonts w:ascii="Times New Roman" w:cs="Times New Roman" w:eastAsia="Times New Roman" w:hAnsi="Times New Roman"/>
          <w:sz w:val="18"/>
          <w:szCs w:val="18"/>
          <w:color w:val="auto"/>
        </w:rPr>
        <w:t>. The Company hereby irrevocably waives, to the fullest extent permitted by law, any immunity to jurisdiction to which it may otherwise be entitled (including, without limitation, immunity to pre-judgment attachment, post-judgment attachment and execution) in any legal suit, action or proceeding against it arising out of or based on this Agreement.</w:t>
      </w:r>
    </w:p>
    <w:p>
      <w:pPr>
        <w:spacing w:after="0" w:line="176" w:lineRule="exact"/>
        <w:rPr>
          <w:sz w:val="20"/>
          <w:szCs w:val="20"/>
          <w:color w:val="auto"/>
        </w:rPr>
      </w:pPr>
    </w:p>
    <w:p>
      <w:pPr>
        <w:ind w:firstLine="992"/>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understanding of the parties hereto in respect of the subject matter herein. There are no restrictions, promises, warranties or undertakings, other than those set forth in this Agreement, with respect to the rights granted by the Company or any of its Affiliates or the Holders or any of their respective Affiliates. This Agreement and the other agreements and documents referred to herein supersede all prior agreements and understandings among the parties with respect to such subject matter.</w:t>
      </w:r>
    </w:p>
    <w:p>
      <w:pPr>
        <w:spacing w:after="0" w:line="184" w:lineRule="exact"/>
        <w:rPr>
          <w:sz w:val="20"/>
          <w:szCs w:val="20"/>
          <w:color w:val="auto"/>
        </w:rPr>
      </w:pPr>
    </w:p>
    <w:p>
      <w:pPr>
        <w:ind w:right="120" w:firstLine="992"/>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held to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120" w:firstLine="992"/>
        <w:spacing w:after="0" w:line="26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37" w:name="page138"/>
    <w:bookmarkEnd w:id="137"/>
    <w:p>
      <w:pPr>
        <w:ind w:firstLine="99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 references herein and in the table of contents hereto are for convenience purposes only, do not constitute a part of this Agreement and shall not be deemed to limit or affect any of the provisions hereof.</w:t>
      </w:r>
    </w:p>
    <w:p>
      <w:pPr>
        <w:spacing w:after="0" w:line="1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680"/>
          </w:cols>
          <w:pgMar w:left="440" w:top="270" w:right="7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day and year first above written.</w:t>
      </w: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General Counsel and Secretary</w:t>
      </w:r>
    </w:p>
    <w:p>
      <w:pPr>
        <w:spacing w:after="0" w:line="38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139" w:name="page140"/>
    <w:bookmarkEnd w:id="1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CORRE OPPORTUNITIES QUALIFIED MASTER</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 LP</w:t>
      </w:r>
    </w:p>
    <w:p>
      <w:pPr>
        <w:spacing w:after="0" w:line="207"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17145</wp:posOffset>
            </wp:positionV>
            <wp:extent cx="24872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 OPPORTUNITIES II MASTER FUND, LP</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17145</wp:posOffset>
            </wp:positionV>
            <wp:extent cx="24872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 HORIZON FUND, LP</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17145</wp:posOffset>
            </wp:positionV>
            <wp:extent cx="24872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680"/>
          </w:cols>
          <w:pgMar w:left="1440" w:top="266" w:right="779" w:bottom="1440" w:gutter="0" w:footer="0" w:header="0"/>
        </w:sectPr>
      </w:pPr>
    </w:p>
    <w:bookmarkStart w:id="140" w:name="page141"/>
    <w:bookmarkEnd w:id="14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LEGION PARTNERS, L.P. I</w:t>
      </w:r>
    </w:p>
    <w:p>
      <w:pPr>
        <w:spacing w:after="0" w:line="229"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By: Legion Partners Asset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Investment Advisor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S. Kiper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LEGION PARTNERS, L.P. II</w:t>
      </w:r>
    </w:p>
    <w:p>
      <w:pPr>
        <w:spacing w:after="0" w:line="229"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By: Legion Partners Asset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Investment Advisor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17145</wp:posOffset>
            </wp:positionV>
            <wp:extent cx="25641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S. Kiper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52" w:lineRule="exact"/>
        <w:rPr>
          <w:sz w:val="20"/>
          <w:szCs w:val="20"/>
          <w:color w:val="auto"/>
        </w:rPr>
      </w:pPr>
    </w:p>
    <w:p>
      <w:pPr>
        <w:ind w:left="440" w:hanging="436"/>
        <w:spacing w:after="0"/>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Corre Partners Management, L.L.C.</w:t>
      </w:r>
    </w:p>
    <w:p>
      <w:pPr>
        <w:spacing w:after="0" w:line="134"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 Opportunities Qualified Master Fund, LP</w:t>
      </w:r>
    </w:p>
    <w:p>
      <w:pPr>
        <w:spacing w:after="0" w:line="130"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 Opportunities II Master Fund, LP</w:t>
      </w:r>
    </w:p>
    <w:p>
      <w:pPr>
        <w:spacing w:after="0" w:line="130"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 Horizon Fund, LP</w:t>
      </w:r>
    </w:p>
    <w:p>
      <w:pPr>
        <w:spacing w:after="0" w:line="248"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Legion Partners Asset Management, LLC</w:t>
      </w:r>
    </w:p>
    <w:p>
      <w:pPr>
        <w:spacing w:after="0" w:line="134"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L.P. I</w:t>
      </w:r>
    </w:p>
    <w:p>
      <w:pPr>
        <w:spacing w:after="0" w:line="130" w:lineRule="exact"/>
        <w:rPr>
          <w:rFonts w:ascii="Times New Roman" w:cs="Times New Roman" w:eastAsia="Times New Roman" w:hAnsi="Times New Roman"/>
          <w:sz w:val="18"/>
          <w:szCs w:val="18"/>
          <w:color w:val="auto"/>
        </w:rPr>
      </w:pPr>
    </w:p>
    <w:p>
      <w:pPr>
        <w:ind w:left="980" w:hanging="544"/>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L.P. II</w:t>
      </w:r>
    </w:p>
    <w:p>
      <w:pPr>
        <w:sectPr>
          <w:pgSz w:w="11900" w:h="16838" w:orient="portrait"/>
          <w:cols w:equalWidth="0" w:num="1">
            <w:col w:w="11020"/>
          </w:cols>
          <w:pgMar w:left="440" w:top="266"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JOINDER</w:t>
      </w:r>
    </w:p>
    <w:p>
      <w:pPr>
        <w:spacing w:after="0" w:line="225" w:lineRule="exact"/>
        <w:rPr>
          <w:sz w:val="20"/>
          <w:szCs w:val="20"/>
          <w:color w:val="auto"/>
        </w:rPr>
      </w:pPr>
    </w:p>
    <w:p>
      <w:pPr>
        <w:ind w:right="40" w:firstLine="992"/>
        <w:spacing w:after="0" w:line="261" w:lineRule="auto"/>
        <w:rPr>
          <w:sz w:val="20"/>
          <w:szCs w:val="20"/>
          <w:color w:val="auto"/>
        </w:rPr>
      </w:pPr>
      <w:r>
        <w:rPr>
          <w:rFonts w:ascii="Times New Roman" w:cs="Times New Roman" w:eastAsia="Times New Roman" w:hAnsi="Times New Roman"/>
          <w:sz w:val="18"/>
          <w:szCs w:val="18"/>
          <w:color w:val="auto"/>
        </w:rPr>
        <w:t>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Registration Rights Agreement dated as of December 11, 2019, by and among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Persons set forth on Schedule I thereto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is made and entered into</w:t>
      </w: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 ], by and between the Company and [ ] (the “</w:t>
      </w:r>
      <w:r>
        <w:rPr>
          <w:rFonts w:ascii="Times New Roman" w:cs="Times New Roman" w:eastAsia="Times New Roman" w:hAnsi="Times New Roman"/>
          <w:sz w:val="18"/>
          <w:szCs w:val="18"/>
          <w:u w:val="single" w:color="auto"/>
          <w:color w:val="auto"/>
        </w:rPr>
        <w:t>Assuming Holder</w:t>
      </w:r>
      <w:r>
        <w:rPr>
          <w:rFonts w:ascii="Times New Roman" w:cs="Times New Roman" w:eastAsia="Times New Roman" w:hAnsi="Times New Roman"/>
          <w:sz w:val="18"/>
          <w:szCs w:val="18"/>
          <w:color w:val="auto"/>
        </w:rPr>
        <w:t>”). Capitalized terms used herein but not otherwise defined shall have the meanings set forth in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-173990</wp:posOffset>
            </wp:positionV>
            <wp:extent cx="4572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2459355</wp:posOffset>
            </wp:positionH>
            <wp:positionV relativeFrom="paragraph">
              <wp:posOffset>-173990</wp:posOffset>
            </wp:positionV>
            <wp:extent cx="571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0" w:lineRule="exact"/>
        <w:rPr>
          <w:sz w:val="20"/>
          <w:szCs w:val="20"/>
          <w:color w:val="auto"/>
        </w:rPr>
      </w:pPr>
    </w:p>
    <w:p>
      <w:pPr>
        <w:ind w:left="1000"/>
        <w:spacing w:after="0"/>
        <w:tabs>
          <w:tab w:leader="none" w:pos="7620" w:val="left"/>
        </w:tabs>
        <w:rPr>
          <w:sz w:val="20"/>
          <w:szCs w:val="20"/>
          <w:color w:val="auto"/>
        </w:rPr>
      </w:pPr>
      <w:r>
        <w:rPr>
          <w:rFonts w:ascii="Times New Roman" w:cs="Times New Roman" w:eastAsia="Times New Roman" w:hAnsi="Times New Roman"/>
          <w:sz w:val="18"/>
          <w:szCs w:val="18"/>
          <w:color w:val="auto"/>
        </w:rPr>
        <w:t>WHEREAS, the Assuming Holder has acquired certain Registrable Securities from [</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-7620</wp:posOffset>
            </wp:positionV>
            <wp:extent cx="3429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the parties to this Joinder hereby agree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207" w:lineRule="exact"/>
        <w:rPr>
          <w:sz w:val="20"/>
          <w:szCs w:val="20"/>
          <w:color w:val="auto"/>
        </w:rPr>
      </w:pPr>
    </w:p>
    <w:p>
      <w:pPr>
        <w:ind w:right="700" w:firstLine="992"/>
        <w:spacing w:after="0" w:line="266" w:lineRule="auto"/>
        <w:rPr>
          <w:sz w:val="20"/>
          <w:szCs w:val="20"/>
          <w:color w:val="auto"/>
        </w:rPr>
      </w:pPr>
      <w:r>
        <w:rPr>
          <w:rFonts w:ascii="Times New Roman" w:cs="Times New Roman" w:eastAsia="Times New Roman" w:hAnsi="Times New Roman"/>
          <w:sz w:val="18"/>
          <w:szCs w:val="18"/>
          <w:u w:val="single" w:color="auto"/>
          <w:color w:val="auto"/>
        </w:rPr>
        <w:t>Agreement to be Bound</w:t>
      </w:r>
      <w:r>
        <w:rPr>
          <w:rFonts w:ascii="Times New Roman" w:cs="Times New Roman" w:eastAsia="Times New Roman" w:hAnsi="Times New Roman"/>
          <w:sz w:val="18"/>
          <w:szCs w:val="18"/>
          <w:color w:val="auto"/>
        </w:rPr>
        <w:t>. The Assuming Holder hereby agrees that upon execution of this Joinder, it shall become a party to the Registration Rights Agreement and shall be fully bound by, and subject to, all of the covenants, terms and conditions of the Registration Rights Agreement as though an original party thereto and shall be deemed a Holder for all purposes thereof.</w:t>
      </w:r>
    </w:p>
    <w:p>
      <w:pPr>
        <w:spacing w:after="0" w:line="176" w:lineRule="exact"/>
        <w:rPr>
          <w:sz w:val="20"/>
          <w:szCs w:val="20"/>
          <w:color w:val="auto"/>
        </w:rPr>
      </w:pPr>
    </w:p>
    <w:p>
      <w:pPr>
        <w:ind w:right="120" w:firstLine="992"/>
        <w:spacing w:after="0" w:line="282" w:lineRule="auto"/>
        <w:rPr>
          <w:sz w:val="20"/>
          <w:szCs w:val="20"/>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this Joinder shall bind and inure to the benefit of and be enforceable by the Company and its successors, heirs and assigns and the Assigning Holder and its successors, heirs and assigns.</w:t>
      </w:r>
    </w:p>
    <w:p>
      <w:pPr>
        <w:spacing w:after="0" w:line="160" w:lineRule="exact"/>
        <w:rPr>
          <w:sz w:val="20"/>
          <w:szCs w:val="20"/>
          <w:color w:val="auto"/>
        </w:rPr>
      </w:pPr>
    </w:p>
    <w:p>
      <w:pPr>
        <w:ind w:right="140" w:firstLine="992"/>
        <w:spacing w:after="0" w:line="284"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of the Registration Rights Agreement, all notices, requests and demands to the Assigning Holder shall be directed to:</w:t>
      </w:r>
    </w:p>
    <w:p>
      <w:pPr>
        <w:spacing w:after="0" w:line="1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right="80" w:firstLine="992"/>
        <w:spacing w:after="0" w:line="266" w:lineRule="auto"/>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(Governing Law; Submission to Jurisdiction),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(Counterparts) of the Registration Rights Agreement are incorporated herein by reference as if set forth in full herein and shall apply to the terms and provisions of this Joinder and the parties hereto mutatis mutandis.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u w:val="single" w:color="auto"/>
          <w:color w:val="auto"/>
        </w:rPr>
        <w:t>Descriptive Headings</w:t>
      </w:r>
      <w:r>
        <w:rPr>
          <w:rFonts w:ascii="Times New Roman" w:cs="Times New Roman" w:eastAsia="Times New Roman" w:hAnsi="Times New Roman"/>
          <w:sz w:val="18"/>
          <w:szCs w:val="18"/>
          <w:color w:val="auto"/>
        </w:rPr>
        <w:t>. The descriptive headings of this Joinder are inserted for convenience only and do not constitute a part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ectPr>
          <w:pgSz w:w="11900" w:h="16838" w:orient="portrait"/>
          <w:cols w:equalWidth="0" w:num="1">
            <w:col w:w="11020"/>
          </w:cols>
          <w:pgMar w:left="440" w:top="266" w:right="439" w:bottom="1440" w:gutter="0" w:footer="0" w:header="0"/>
        </w:sectPr>
      </w:pPr>
    </w:p>
    <w:bookmarkStart w:id="143" w:name="page144"/>
    <w:bookmarkEnd w:id="143"/>
    <w:p>
      <w:pPr>
        <w:ind w:lef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Joinder to the Registration Rights Agreement as of the date first written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34" w:lineRule="exact"/>
        <w:rPr>
          <w:sz w:val="20"/>
          <w:szCs w:val="20"/>
          <w:color w:val="auto"/>
        </w:rPr>
      </w:pPr>
    </w:p>
    <w:tbl>
      <w:tblPr>
        <w:tblLayout w:type="fixed"/>
        <w:tblInd w:w="6620" w:type="dxa"/>
        <w:tblCellMar>
          <w:top w:w="0" w:type="dxa"/>
          <w:left w:w="0" w:type="dxa"/>
          <w:bottom w:w="0" w:type="dxa"/>
          <w:right w:w="0" w:type="dxa"/>
        </w:tblCellMar>
      </w:tblPr>
      <w:tr>
        <w:trPr>
          <w:trHeight w:val="194"/>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spacing w:after="0"/>
              <w:rPr>
                <w:sz w:val="16"/>
                <w:szCs w:val="16"/>
                <w:color w:val="auto"/>
              </w:rPr>
            </w:pPr>
          </w:p>
        </w:tc>
        <w:tc>
          <w:tcPr>
            <w:tcW w:w="2160" w:type="dxa"/>
            <w:vAlign w:val="bottom"/>
          </w:tcPr>
          <w:p>
            <w:pPr>
              <w:jc w:val="right"/>
              <w:ind w:right="2020"/>
              <w:spacing w:after="0"/>
              <w:rPr>
                <w:sz w:val="20"/>
                <w:szCs w:val="20"/>
                <w:color w:val="auto"/>
              </w:rPr>
            </w:pPr>
            <w:r>
              <w:rPr>
                <w:rFonts w:ascii="Times New Roman" w:cs="Times New Roman" w:eastAsia="Times New Roman" w:hAnsi="Times New Roman"/>
                <w:sz w:val="16"/>
                <w:szCs w:val="16"/>
                <w:color w:val="auto"/>
                <w:w w:val="74"/>
              </w:rPr>
              <w:t>]</w:t>
            </w: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r>
        <w:trPr>
          <w:trHeight w:val="205"/>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1040"/>
      </w:cols>
      <w:pgMar w:left="440" w:top="2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lowerRoman"/>
      <w:start w:val="1"/>
    </w:lvl>
  </w:abstractNum>
  <w:abstractNum w:abstractNumId="2">
    <w:nsid w:val="5DB70AE5"/>
    <w:multiLevelType w:val="hybridMultilevel"/>
    <w:lvl w:ilvl="0">
      <w:lvlJc w:val="left"/>
      <w:lvlText w:val="%1"/>
      <w:numFmt w:val="lowerLetter"/>
      <w:start w:val="1"/>
    </w:lvl>
    <w:lvl w:ilvl="1">
      <w:lvlJc w:val="left"/>
      <w:lvlText w:val="(%2)"/>
      <w:numFmt w:val="lowerLetter"/>
      <w:start w:val="9"/>
    </w:lvl>
  </w:abstractNum>
  <w:abstractNum w:abstractNumId="3">
    <w:nsid w:val="100F8FCA"/>
    <w:multiLevelType w:val="hybridMultilevel"/>
    <w:lvl w:ilvl="0">
      <w:lvlJc w:val="left"/>
      <w:lvlText w:val="(%1)"/>
      <w:numFmt w:val="lowerLetter"/>
      <w:start w:val="1"/>
    </w:lvl>
    <w:lvl w:ilvl="1">
      <w:lvlJc w:val="left"/>
      <w:lvlText w:val="%2"/>
      <w:numFmt w:val="lowerLetter"/>
      <w:start w:val="1"/>
    </w:lvl>
  </w:abstractNum>
  <w:abstractNum w:abstractNumId="4">
    <w:nsid w:val="6590700B"/>
    <w:multiLevelType w:val="hybridMultilevel"/>
    <w:lvl w:ilvl="0">
      <w:lvlJc w:val="left"/>
      <w:lvlText w:val="(%1)"/>
      <w:numFmt w:val="lowerLetter"/>
      <w:start w:val="2"/>
    </w:lvl>
    <w:lvl w:ilvl="1">
      <w:lvlJc w:val="left"/>
      <w:lvlText w:val="(%2)"/>
      <w:numFmt w:val="lowerLetter"/>
      <w:start w:val="35"/>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1"/>
      <w:numFmt w:val="lowerLetter"/>
      <w:start w:val="1"/>
    </w:lvl>
    <w:lvl w:ilvl="1">
      <w:lvlJc w:val="left"/>
      <w:lvlText w:val="(%2)"/>
      <w:numFmt w:val="lowerLetter"/>
      <w:start w:val="9"/>
    </w:lvl>
  </w:abstractNum>
  <w:abstractNum w:abstractNumId="7">
    <w:nsid w:val="98A3148"/>
    <w:multiLevelType w:val="hybridMultilevel"/>
    <w:lvl w:ilvl="0">
      <w:lvlJc w:val="left"/>
      <w:lvlText w:val="(%1)"/>
      <w:numFmt w:val="lowerLetter"/>
      <w:start w:val="25"/>
    </w:lvl>
    <w:lvl w:ilvl="1">
      <w:lvlJc w:val="left"/>
      <w:lvlText w:val="%2"/>
      <w:numFmt w:val="lowerLetter"/>
      <w:start w:val="1"/>
    </w:lvl>
  </w:abstractNum>
  <w:abstractNum w:abstractNumId="8">
    <w:nsid w:val="799D0247"/>
    <w:multiLevelType w:val="hybridMultilevel"/>
    <w:lvl w:ilvl="0">
      <w:lvlJc w:val="left"/>
      <w:lvlText w:val="(%1)"/>
      <w:numFmt w:val="decimal"/>
      <w:start w:val="30"/>
    </w:lvl>
  </w:abstractNum>
  <w:abstractNum w:abstractNumId="9">
    <w:nsid w:val="6B94764"/>
    <w:multiLevelType w:val="hybridMultilevel"/>
    <w:lvl w:ilvl="0">
      <w:lvlJc w:val="left"/>
      <w:lvlText w:val="(%1)"/>
      <w:numFmt w:val="lowerRoman"/>
      <w:start w:val="1"/>
    </w:lvl>
  </w:abstractNum>
  <w:abstractNum w:abstractNumId="10">
    <w:nsid w:val="42C296BD"/>
    <w:multiLevelType w:val="hybridMultilevel"/>
    <w:lvl w:ilvl="0">
      <w:lvlJc w:val="left"/>
      <w:lvlText w:val="(%1)"/>
      <w:numFmt w:val="lowerRoman"/>
      <w:start w:val="2"/>
    </w:lvl>
  </w:abstractNum>
  <w:abstractNum w:abstractNumId="11">
    <w:nsid w:val="168E121F"/>
    <w:multiLevelType w:val="hybridMultilevel"/>
    <w:lvl w:ilvl="0">
      <w:lvlJc w:val="left"/>
      <w:lvlText w:val="(%1)"/>
      <w:numFmt w:val="lowerRoman"/>
      <w:start w:val="3"/>
    </w:lvl>
  </w:abstractNum>
  <w:abstractNum w:abstractNumId="12">
    <w:nsid w:val="1EBA5D23"/>
    <w:multiLevelType w:val="hybridMultilevel"/>
    <w:lvl w:ilvl="0">
      <w:lvlJc w:val="left"/>
      <w:lvlText w:val="(%1)"/>
      <w:numFmt w:val="lowerLetter"/>
      <w:start w:val="1"/>
    </w:lvl>
  </w:abstractNum>
  <w:abstractNum w:abstractNumId="13">
    <w:nsid w:val="661E3F1E"/>
    <w:multiLevelType w:val="hybridMultilevel"/>
    <w:lvl w:ilvl="0">
      <w:lvlJc w:val="left"/>
      <w:lvlText w:val="(%1)"/>
      <w:numFmt w:val="lowerLetter"/>
      <w:start w:val="1"/>
    </w:lvl>
  </w:abstractNum>
  <w:abstractNum w:abstractNumId="14">
    <w:nsid w:val="5DC79EA8"/>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5">
    <w:nsid w:val="540A471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6">
    <w:nsid w:val="7BD3EE7B"/>
    <w:multiLevelType w:val="hybridMultilevel"/>
    <w:lvl w:ilvl="0">
      <w:lvlJc w:val="left"/>
      <w:lvlText w:val="%1"/>
      <w:numFmt w:val="lowerLetter"/>
      <w:start w:val="1"/>
    </w:lvl>
    <w:lvl w:ilvl="1">
      <w:lvlJc w:val="left"/>
      <w:lvlText w:val="(%2)"/>
      <w:numFmt w:val="lowerRoman"/>
      <w:start w:val="3"/>
    </w:lvl>
  </w:abstractNum>
  <w:abstractNum w:abstractNumId="17">
    <w:nsid w:val="51D9C564"/>
    <w:multiLevelType w:val="hybridMultilevel"/>
    <w:lvl w:ilvl="0">
      <w:lvlJc w:val="left"/>
      <w:lvlText w:val="(%1)"/>
      <w:numFmt w:val="lowerLetter"/>
      <w:start w:val="4"/>
    </w:lvl>
    <w:lvl w:ilvl="1">
      <w:lvlJc w:val="left"/>
      <w:lvlText w:val="(%2)"/>
      <w:numFmt w:val="lowerRoman"/>
      <w:start w:val="1"/>
    </w:lvl>
  </w:abstractNum>
  <w:abstractNum w:abstractNumId="18">
    <w:nsid w:val="613EFDC5"/>
    <w:multiLevelType w:val="hybridMultilevel"/>
    <w:lvl w:ilvl="0">
      <w:lvlJc w:val="left"/>
      <w:lvlText w:val="(%1)"/>
      <w:numFmt w:val="lowerLetter"/>
      <w:start w:val="1"/>
    </w:lvl>
    <w:lvl w:ilvl="1">
      <w:lvlJc w:val="left"/>
      <w:lvlText w:val="(%2)"/>
      <w:numFmt w:val="lowerLetter"/>
      <w:start w:val="35"/>
    </w:lvl>
  </w:abstractNum>
  <w:abstractNum w:abstractNumId="19">
    <w:nsid w:val="BF72B14"/>
    <w:multiLevelType w:val="hybridMultilevel"/>
    <w:lvl w:ilvl="0">
      <w:lvlJc w:val="left"/>
      <w:lvlText w:val="(%1)"/>
      <w:numFmt w:val="lowerRoman"/>
      <w:start w:val="3"/>
    </w:lvl>
  </w:abstractNum>
  <w:abstractNum w:abstractNumId="20">
    <w:nsid w:val="11447B73"/>
    <w:multiLevelType w:val="hybridMultilevel"/>
    <w:lvl w:ilvl="0">
      <w:lvlJc w:val="left"/>
      <w:lvlText w:val="(%1)"/>
      <w:numFmt w:val="lowerLetter"/>
      <w:start w:val="5"/>
    </w:lvl>
  </w:abstractNum>
  <w:abstractNum w:abstractNumId="21">
    <w:nsid w:val="42963E5A"/>
    <w:multiLevelType w:val="hybridMultilevel"/>
    <w:lvl w:ilvl="0">
      <w:lvlJc w:val="left"/>
      <w:lvlText w:val="(%1)"/>
      <w:numFmt w:val="lowerLetter"/>
      <w:start w:val="1"/>
    </w:lvl>
  </w:abstractNum>
  <w:abstractNum w:abstractNumId="22">
    <w:nsid w:val="A0382C5"/>
    <w:multiLevelType w:val="hybridMultilevel"/>
    <w:lvl w:ilvl="0">
      <w:lvlJc w:val="left"/>
      <w:lvlText w:val="(%1)"/>
      <w:numFmt w:val="lowerLetter"/>
      <w:start w:val="3"/>
    </w:lvl>
    <w:lvl w:ilvl="1">
      <w:lvlJc w:val="left"/>
      <w:lvlText w:val="(%2)"/>
      <w:numFmt w:val="lowerLetter"/>
      <w:start w:val="9"/>
    </w:lvl>
  </w:abstractNum>
  <w:abstractNum w:abstractNumId="23">
    <w:nsid w:val="8F2B15E"/>
    <w:multiLevelType w:val="hybridMultilevel"/>
    <w:lvl w:ilvl="0">
      <w:lvlJc w:val="left"/>
      <w:lvlText w:val="%1"/>
      <w:numFmt w:val="upperLetter"/>
      <w:start w:val="1"/>
    </w:lvl>
    <w:lvl w:ilvl="1">
      <w:lvlJc w:val="left"/>
      <w:lvlText w:val="(%2)"/>
      <w:numFmt w:val="lowerRoman"/>
      <w:start w:val="2"/>
    </w:lvl>
  </w:abstractNum>
  <w:abstractNum w:abstractNumId="24">
    <w:nsid w:val="1A32234B"/>
    <w:multiLevelType w:val="hybridMultilevel"/>
    <w:lvl w:ilvl="0">
      <w:lvlJc w:val="left"/>
      <w:lvlText w:val="(%1)"/>
      <w:numFmt w:val="upperLetter"/>
      <w:start w:val="1"/>
    </w:lvl>
    <w:lvl w:ilvl="1">
      <w:lvlJc w:val="left"/>
      <w:lvlText w:val="%2"/>
      <w:numFmt w:val="lowerRoman"/>
      <w:start w:val="1"/>
    </w:lvl>
  </w:abstractNum>
  <w:abstractNum w:abstractNumId="25">
    <w:nsid w:val="3B0FD379"/>
    <w:multiLevelType w:val="hybridMultilevel"/>
    <w:lvl w:ilvl="0">
      <w:lvlJc w:val="left"/>
      <w:lvlText w:val="%1"/>
      <w:numFmt w:val="lowerLetter"/>
      <w:start w:val="1"/>
    </w:lvl>
    <w:lvl w:ilvl="1">
      <w:lvlJc w:val="left"/>
      <w:lvlText w:val="(%2)"/>
      <w:numFmt w:val="lowerRoman"/>
      <w:start w:val="7"/>
    </w:lvl>
  </w:abstractNum>
  <w:abstractNum w:abstractNumId="26">
    <w:nsid w:val="68EB2F63"/>
    <w:multiLevelType w:val="hybridMultilevel"/>
    <w:lvl w:ilvl="0">
      <w:lvlJc w:val="left"/>
      <w:lvlText w:val="(%1)"/>
      <w:numFmt w:val="lowerLetter"/>
      <w:start w:val="4"/>
    </w:lvl>
    <w:lvl w:ilvl="1">
      <w:lvlJc w:val="left"/>
      <w:lvlText w:val="(%2)"/>
      <w:numFmt w:val="lowerRoman"/>
      <w:start w:val="1"/>
    </w:lvl>
  </w:abstractNum>
  <w:abstractNum w:abstractNumId="27">
    <w:nsid w:val="4962813B"/>
    <w:multiLevelType w:val="hybridMultilevel"/>
    <w:lvl w:ilvl="0">
      <w:lvlJc w:val="left"/>
      <w:lvlText w:val="%1"/>
      <w:numFmt w:val="lowerLetter"/>
      <w:start w:val="1"/>
    </w:lvl>
    <w:lvl w:ilvl="1">
      <w:lvlJc w:val="left"/>
      <w:lvlText w:val="(%2)"/>
      <w:numFmt w:val="lowerLetter"/>
      <w:start w:val="61"/>
    </w:lvl>
  </w:abstractNum>
  <w:abstractNum w:abstractNumId="28">
    <w:nsid w:val="60B6DF70"/>
    <w:multiLevelType w:val="hybridMultilevel"/>
    <w:lvl w:ilvl="0">
      <w:lvlJc w:val="left"/>
      <w:lvlText w:val="(%1)"/>
      <w:numFmt w:val="lowerLetter"/>
      <w:start w:val="5"/>
    </w:lvl>
    <w:lvl w:ilvl="1">
      <w:lvlJc w:val="left"/>
      <w:lvlText w:val="(%2)"/>
      <w:numFmt w:val="lowerLetter"/>
      <w:start w:val="9"/>
    </w:lvl>
  </w:abstractNum>
  <w:abstractNum w:abstractNumId="29">
    <w:nsid w:val="6A5EE64"/>
    <w:multiLevelType w:val="hybridMultilevel"/>
    <w:lvl w:ilvl="0">
      <w:lvlJc w:val="left"/>
      <w:lvlText w:val="(%1)"/>
      <w:numFmt w:val="lowerRoman"/>
      <w:start w:val="2"/>
    </w:lvl>
  </w:abstractNum>
  <w:abstractNum w:abstractNumId="30">
    <w:nsid w:val="14330624"/>
    <w:multiLevelType w:val="hybridMultilevel"/>
    <w:lvl w:ilvl="0">
      <w:lvlJc w:val="left"/>
      <w:lvlText w:val="(%1)"/>
      <w:numFmt w:val="lowerLetter"/>
      <w:start w:val="1"/>
    </w:lvl>
  </w:abstractNum>
  <w:abstractNum w:abstractNumId="31">
    <w:nsid w:val="7FFFCA11"/>
    <w:multiLevelType w:val="hybridMultilevel"/>
    <w:lvl w:ilvl="0">
      <w:lvlJc w:val="left"/>
      <w:lvlText w:val="(%1)"/>
      <w:numFmt w:val="lowerLetter"/>
      <w:start w:val="2"/>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1"/>
      <w:numFmt w:val="lowerLetter"/>
      <w:start w:val="1"/>
    </w:lvl>
    <w:lvl w:ilvl="1">
      <w:lvlJc w:val="left"/>
      <w:lvlText w:val="(%2)"/>
      <w:numFmt w:val="lowerLetter"/>
      <w:start w:val="5"/>
    </w:lvl>
  </w:abstractNum>
  <w:abstractNum w:abstractNumId="34">
    <w:nsid w:val="100F59DC"/>
    <w:multiLevelType w:val="hybridMultilevel"/>
    <w:lvl w:ilvl="0">
      <w:lvlJc w:val="left"/>
      <w:lvlText w:val="(%1)"/>
      <w:numFmt w:val="lowerLetter"/>
      <w:start w:val="61"/>
    </w:lvl>
    <w:lvl w:ilvl="1">
      <w:lvlJc w:val="left"/>
      <w:lvlText w:val="(%2)"/>
      <w:numFmt w:val="lowerLetter"/>
      <w:start w:val="9"/>
    </w:lvl>
  </w:abstractNum>
  <w:abstractNum w:abstractNumId="35">
    <w:nsid w:val="7FB7E0AA"/>
    <w:multiLevelType w:val="hybridMultilevel"/>
    <w:lvl w:ilvl="0">
      <w:lvlJc w:val="left"/>
      <w:lvlText w:val="(%1)"/>
      <w:numFmt w:val="lowerLetter"/>
      <w:start w:val="10"/>
    </w:lvl>
  </w:abstractNum>
  <w:abstractNum w:abstractNumId="36">
    <w:nsid w:val="6EB5BD4"/>
    <w:multiLevelType w:val="hybridMultilevel"/>
    <w:lvl w:ilvl="0">
      <w:lvlJc w:val="left"/>
      <w:lvlText w:val="☐"/>
      <w:numFmt w:val="bullet"/>
      <w:start w:val="1"/>
    </w:lvl>
    <w:lvl w:ilvl="1">
      <w:lvlJc w:val="left"/>
      <w:lvlText w:val="(%2)"/>
      <w:numFmt w:val="decimal"/>
      <w:start w:val="1"/>
    </w:lvl>
  </w:abstractNum>
  <w:abstractNum w:abstractNumId="37">
    <w:nsid w:val="6F6DD9AC"/>
    <w:multiLevelType w:val="hybridMultilevel"/>
    <w:lvl w:ilvl="0">
      <w:lvlJc w:val="left"/>
      <w:lvlText w:val="%1"/>
      <w:numFmt w:val="lowerLetter"/>
      <w:start w:val="1"/>
    </w:lvl>
    <w:lvl w:ilvl="1">
      <w:lvlJc w:val="left"/>
      <w:lvlText w:val="(%2)"/>
      <w:numFmt w:val="decimal"/>
      <w:start w:val="2"/>
    </w:lvl>
  </w:abstractNum>
  <w:abstractNum w:abstractNumId="38">
    <w:nsid w:val="94211F2"/>
    <w:multiLevelType w:val="hybridMultilevel"/>
    <w:lvl w:ilvl="0">
      <w:lvlJc w:val="left"/>
      <w:lvlText w:val="%1)"/>
      <w:numFmt w:val="lowerLetter"/>
      <w:start w:val="1"/>
    </w:lvl>
    <w:lvl w:ilvl="1">
      <w:lvlJc w:val="left"/>
      <w:lvlText w:val="%2"/>
      <w:numFmt w:val="decimal"/>
      <w:start w:val="1"/>
    </w:lvl>
  </w:abstractNum>
  <w:abstractNum w:abstractNumId="39">
    <w:nsid w:val="885E1B"/>
    <w:multiLevelType w:val="hybridMultilevel"/>
    <w:lvl w:ilvl="0">
      <w:lvlJc w:val="left"/>
      <w:lvlText w:val="%1)"/>
      <w:numFmt w:val="lowerLetter"/>
      <w:start w:val="4"/>
    </w:lvl>
  </w:abstractNum>
  <w:abstractNum w:abstractNumId="40">
    <w:nsid w:val="76272110"/>
    <w:multiLevelType w:val="hybridMultilevel"/>
    <w:lvl w:ilvl="0">
      <w:lvlJc w:val="left"/>
      <w:lvlText w:val="(%1)"/>
      <w:numFmt w:val="lowerLetter"/>
      <w:start w:val="1"/>
    </w:lvl>
  </w:abstractNum>
  <w:abstractNum w:abstractNumId="41">
    <w:nsid w:val="4C04A8AF"/>
    <w:multiLevelType w:val="hybridMultilevel"/>
    <w:lvl w:ilvl="0">
      <w:lvlJc w:val="left"/>
      <w:lvlText w:val="(%1)"/>
      <w:numFmt w:val="lowerLetter"/>
      <w:start w:val="2"/>
    </w:lvl>
  </w:abstractNum>
  <w:abstractNum w:abstractNumId="42">
    <w:nsid w:val="1716703B"/>
    <w:multiLevelType w:val="hybridMultilevel"/>
    <w:lvl w:ilvl="0">
      <w:lvlJc w:val="left"/>
      <w:lvlText w:val="(%1)"/>
      <w:numFmt w:val="decimal"/>
      <w:start w:val="2"/>
    </w:lvl>
  </w:abstractNum>
  <w:abstractNum w:abstractNumId="43">
    <w:nsid w:val="14E17E33"/>
    <w:multiLevelType w:val="hybridMultilevel"/>
    <w:lvl w:ilvl="0">
      <w:lvlJc w:val="left"/>
      <w:lvlText w:val="(%1)"/>
      <w:numFmt w:val="lowerLetter"/>
      <w:start w:val="26"/>
    </w:lvl>
  </w:abstractNum>
  <w:abstractNum w:abstractNumId="44">
    <w:nsid w:val="3222E7CD"/>
    <w:multiLevelType w:val="hybridMultilevel"/>
    <w:lvl w:ilvl="0">
      <w:lvlJc w:val="left"/>
      <w:lvlText w:val="(%1)"/>
      <w:numFmt w:val="lowerLetter"/>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1"/>
    </w:lvl>
  </w:abstractNum>
  <w:abstractNum w:abstractNumId="48">
    <w:nsid w:val="46B7D447"/>
    <w:multiLevelType w:val="hybridMultilevel"/>
    <w:lvl w:ilvl="0">
      <w:lvlJc w:val="left"/>
      <w:lvlText w:val="(%1)"/>
      <w:numFmt w:val="lowerLetter"/>
      <w:start w:val="2"/>
    </w:lvl>
  </w:abstractNum>
  <w:abstractNum w:abstractNumId="49">
    <w:nsid w:val="4A2AC3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0">
    <w:nsid w:val="39EE01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51">
    <w:nsid w:val="57FC4FBB"/>
    <w:multiLevelType w:val="hybridMultilevel"/>
    <w:lvl w:ilvl="0">
      <w:lvlJc w:val="left"/>
      <w:lvlText w:val="%1"/>
      <w:numFmt w:val="lowerLetter"/>
      <w:start w:val="1"/>
    </w:lvl>
    <w:lvl w:ilvl="1">
      <w:lvlJc w:val="left"/>
      <w:lvlText w:val="(%2)"/>
      <w:numFmt w:val="lowerRoman"/>
      <w:start w:val="8"/>
    </w:lvl>
  </w:abstractNum>
  <w:abstractNum w:abstractNumId="52">
    <w:nsid w:val="CC1016F"/>
    <w:multiLevelType w:val="hybridMultilevel"/>
    <w:lvl w:ilvl="0">
      <w:lvlJc w:val="left"/>
      <w:lvlText w:val="(%1)"/>
      <w:numFmt w:val="lowerLetter"/>
      <w:start w:val="2"/>
    </w:lvl>
    <w:lvl w:ilvl="1">
      <w:lvlJc w:val="left"/>
      <w:lvlText w:val="(%2)"/>
      <w:numFmt w:val="lowerRoman"/>
      <w:start w:val="1"/>
    </w:lvl>
  </w:abstractNum>
  <w:abstractNum w:abstractNumId="53">
    <w:nsid w:val="43F18422"/>
    <w:multiLevelType w:val="hybridMultilevel"/>
    <w:lvl w:ilvl="0">
      <w:lvlJc w:val="left"/>
      <w:lvlText w:val="(%1)"/>
      <w:numFmt w:val="decimal"/>
      <w:start w:val="2"/>
    </w:lvl>
  </w:abstractNum>
  <w:abstractNum w:abstractNumId="54">
    <w:nsid w:val="60EF0119"/>
    <w:multiLevelType w:val="hybridMultilevel"/>
    <w:lvl w:ilvl="0">
      <w:lvlJc w:val="left"/>
      <w:lvlText w:val="(%1)"/>
      <w:numFmt w:val="lowerLetter"/>
      <w:start w:val="1"/>
    </w:lvl>
  </w:abstractNum>
  <w:abstractNum w:abstractNumId="55">
    <w:nsid w:val="26F324BA"/>
    <w:multiLevelType w:val="hybridMultilevel"/>
    <w:lvl w:ilvl="0">
      <w:lvlJc w:val="left"/>
      <w:lvlText w:val="%1"/>
      <w:numFmt w:val="lowerLetter"/>
      <w:start w:val="1"/>
    </w:lvl>
    <w:lvl w:ilvl="1">
      <w:lvlJc w:val="left"/>
      <w:lvlText w:val="(%2)"/>
      <w:numFmt w:val="lowerLetter"/>
      <w:start w:val="2"/>
    </w:lvl>
  </w:abstractNum>
  <w:abstractNum w:abstractNumId="56">
    <w:nsid w:val="7F01579B"/>
    <w:multiLevelType w:val="hybridMultilevel"/>
    <w:lvl w:ilvl="0">
      <w:lvlJc w:val="left"/>
      <w:lvlText w:val="(%1)"/>
      <w:numFmt w:val="lowerLetter"/>
      <w:start w:val="9"/>
    </w:lvl>
    <w:lvl w:ilvl="1">
      <w:lvlJc w:val="left"/>
      <w:lvlText w:val="%2"/>
      <w:numFmt w:val="lowerLetter"/>
      <w:start w:val="1"/>
    </w:lvl>
  </w:abstractNum>
  <w:abstractNum w:abstractNumId="57">
    <w:nsid w:val="49DA307D"/>
    <w:multiLevelType w:val="hybridMultilevel"/>
    <w:lvl w:ilvl="0">
      <w:lvlJc w:val="left"/>
      <w:lvlText w:val="%1"/>
      <w:numFmt w:val="lowerLetter"/>
      <w:start w:val="1"/>
    </w:lvl>
    <w:lvl w:ilvl="1">
      <w:lvlJc w:val="left"/>
      <w:lvlText w:val="(%2)"/>
      <w:numFmt w:val="lowerLetter"/>
      <w:start w:val="1"/>
    </w:lvl>
  </w:abstractNum>
  <w:abstractNum w:abstractNumId="58">
    <w:nsid w:val="7055A5F5"/>
    <w:multiLevelType w:val="hybridMultilevel"/>
    <w:lvl w:ilvl="0">
      <w:lvlJc w:val="left"/>
      <w:lvlText w:val="(%1)"/>
      <w:numFmt w:val="lowerLetter"/>
      <w:start w:val="9"/>
    </w:lvl>
    <w:lvl w:ilvl="1">
      <w:lvlJc w:val="left"/>
      <w:lvlText w:val="(%2)"/>
      <w:numFmt w:val="lowerLetter"/>
      <w:start w:val="2"/>
    </w:lvl>
  </w:abstractNum>
  <w:abstractNum w:abstractNumId="59">
    <w:nsid w:val="5FB8370B"/>
    <w:multiLevelType w:val="hybridMultilevel"/>
    <w:lvl w:ilvl="0">
      <w:lvlJc w:val="left"/>
      <w:lvlText w:val="(%1)"/>
      <w:numFmt w:val="lowerLetter"/>
      <w:start w:val="1"/>
    </w:lvl>
  </w:abstractNum>
  <w:abstractNum w:abstractNumId="60">
    <w:nsid w:val="50801EE1"/>
    <w:multiLevelType w:val="hybridMultilevel"/>
    <w:lvl w:ilvl="0">
      <w:lvlJc w:val="left"/>
      <w:lvlText w:val="(%1)"/>
      <w:numFmt w:val="lowerLetter"/>
      <w:start w:val="1"/>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lowerLetter"/>
      <w:start w:val="5"/>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lowerLetter"/>
      <w:start w:val="2"/>
    </w:lvl>
  </w:abstractNum>
  <w:abstractNum w:abstractNumId="66">
    <w:nsid w:val="6A5F7029"/>
    <w:multiLevelType w:val="hybridMultilevel"/>
    <w:lvl w:ilvl="0">
      <w:lvlJc w:val="left"/>
      <w:lvlText w:val="(%1)"/>
      <w:numFmt w:val="lowerLetter"/>
      <w:start w:val="4"/>
    </w:lvl>
  </w:abstractNum>
  <w:abstractNum w:abstractNumId="67">
    <w:nsid w:val="7D5E18F8"/>
    <w:multiLevelType w:val="hybridMultilevel"/>
    <w:lvl w:ilvl="0">
      <w:lvlJc w:val="left"/>
      <w:lvlText w:val="(%1)"/>
      <w:numFmt w:val="lowerLetter"/>
      <w:start w:val="1"/>
    </w:lvl>
  </w:abstractNum>
  <w:abstractNum w:abstractNumId="68">
    <w:nsid w:val="5F3534A4"/>
    <w:multiLevelType w:val="hybridMultilevel"/>
    <w:lvl w:ilvl="0">
      <w:lvlJc w:val="left"/>
      <w:lvlText w:val="(%1)"/>
      <w:numFmt w:val="lowerLetter"/>
      <w:start w:val="2"/>
    </w:lvl>
  </w:abstractNum>
  <w:abstractNum w:abstractNumId="69">
    <w:nsid w:val="73A1821B"/>
    <w:multiLevelType w:val="hybridMultilevel"/>
    <w:lvl w:ilvl="0">
      <w:lvlJc w:val="left"/>
      <w:lvlText w:val="%1"/>
      <w:numFmt w:val="lowerLetter"/>
      <w:start w:val="1"/>
    </w:lvl>
    <w:lvl w:ilvl="1">
      <w:lvlJc w:val="left"/>
      <w:lvlText w:val="(%2)"/>
      <w:numFmt w:val="lowerLetter"/>
      <w:start w:val="1"/>
    </w:lvl>
  </w:abstractNum>
  <w:abstractNum w:abstractNumId="70">
    <w:nsid w:val="7DE67713"/>
    <w:multiLevelType w:val="hybridMultilevel"/>
    <w:lvl w:ilvl="0">
      <w:lvlJc w:val="left"/>
      <w:lvlText w:val="(%1)"/>
      <w:numFmt w:val="lowerLetter"/>
      <w:start w:val="9"/>
    </w:lvl>
    <w:lvl w:ilvl="1">
      <w:lvlJc w:val="left"/>
      <w:lvlText w:val="%2"/>
      <w:numFmt w:val="lowerLetter"/>
      <w:start w:val="1"/>
    </w:lvl>
  </w:abstractNum>
  <w:abstractNum w:abstractNumId="71">
    <w:nsid w:val="555C55B5"/>
    <w:multiLevelType w:val="hybridMultilevel"/>
    <w:lvl w:ilvl="0">
      <w:lvlJc w:val="left"/>
      <w:lvlText w:val="(%1)"/>
      <w:numFmt w:val="lowerLetter"/>
      <w:start w:val="2"/>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2"/>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Letter"/>
      <w:start w:val="1"/>
    </w:lvl>
  </w:abstractNum>
  <w:abstractNum w:abstractNumId="76">
    <w:nsid w:val="9DAF6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53299938"/>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1)"/>
      <w:numFmt w:val="lowerLetter"/>
      <w:start w:val="2"/>
    </w:lvl>
  </w:abstractNum>
  <w:abstractNum w:abstractNumId="80">
    <w:nsid w:val="1D545C4D"/>
    <w:multiLevelType w:val="hybridMultilevel"/>
    <w:lvl w:ilvl="0">
      <w:lvlJc w:val="left"/>
      <w:lvlText w:val="(%1)"/>
      <w:numFmt w:val="lowerLetter"/>
      <w:start w:val="1"/>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lowerLetter"/>
      <w:start w:val="1"/>
    </w:lvl>
    <w:lvl w:ilvl="1">
      <w:lvlJc w:val="left"/>
      <w:lvlText w:val="(%2)"/>
      <w:numFmt w:val="lowerLetter"/>
      <w:start w:val="1"/>
    </w:lvl>
  </w:abstractNum>
  <w:abstractNum w:abstractNumId="83">
    <w:nsid w:val="2A155DBC"/>
    <w:multiLevelType w:val="hybridMultilevel"/>
    <w:lvl w:ilvl="0">
      <w:lvlJc w:val="left"/>
      <w:lvlText w:val="(%1)"/>
      <w:numFmt w:val="lowerLetter"/>
      <w:start w:val="35"/>
    </w:lvl>
    <w:lvl w:ilvl="1">
      <w:lvlJc w:val="left"/>
      <w:lvlText w:val="%2"/>
      <w:numFmt w:val="lowerLetter"/>
      <w:start w:val="1"/>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lowerLetter"/>
      <w:start w:val="1"/>
    </w:lvl>
  </w:abstractNum>
  <w:abstractNum w:abstractNumId="87">
    <w:nsid w:val="1CA0C5FA"/>
    <w:multiLevelType w:val="hybridMultilevel"/>
    <w:lvl w:ilvl="0">
      <w:lvlJc w:val="left"/>
      <w:lvlText w:val="1"/>
      <w:numFmt w:val="bullet"/>
      <w:start w:val="1"/>
    </w:lvl>
  </w:abstractNum>
  <w:abstractNum w:abstractNumId="88">
    <w:nsid w:val="53584BCB"/>
    <w:multiLevelType w:val="hybridMultilevel"/>
    <w:lvl w:ilvl="0">
      <w:lvlJc w:val="left"/>
      <w:lvlText w:val="(%1)"/>
      <w:numFmt w:val="lowerRoman"/>
      <w:start w:val="1"/>
    </w:lvl>
  </w:abstractNum>
  <w:abstractNum w:abstractNumId="89">
    <w:nsid w:val="415E286C"/>
    <w:multiLevelType w:val="hybridMultilevel"/>
    <w:lvl w:ilvl="0">
      <w:lvlJc w:val="left"/>
      <w:lvlText w:val="%1"/>
      <w:numFmt w:val="lowerLetter"/>
      <w:start w:val="1"/>
    </w:lvl>
    <w:lvl w:ilvl="1">
      <w:lvlJc w:val="left"/>
      <w:lvlText w:val="(%2)"/>
      <w:numFmt w:val="lowerLetter"/>
      <w:start w:val="1"/>
    </w:lvl>
  </w:abstractNum>
  <w:abstractNum w:abstractNumId="90">
    <w:nsid w:val="7C58FD05"/>
    <w:multiLevelType w:val="hybridMultilevel"/>
    <w:lvl w:ilvl="0">
      <w:lvlJc w:val="left"/>
      <w:lvlText w:val="(%1)"/>
      <w:numFmt w:val="lowerLetter"/>
      <w:start w:val="35"/>
    </w:lvl>
    <w:lvl w:ilvl="1">
      <w:lvlJc w:val="left"/>
      <w:lvlText w:val="(%2)"/>
      <w:numFmt w:val="lowerLetter"/>
      <w:start w:val="2"/>
    </w:lvl>
  </w:abstractNum>
  <w:abstractNum w:abstractNumId="91">
    <w:nsid w:val="23D86AAC"/>
    <w:multiLevelType w:val="hybridMultilevel"/>
    <w:lvl w:ilvl="0">
      <w:lvlJc w:val="left"/>
      <w:lvlText w:val="(%1)"/>
      <w:numFmt w:val="lowerLetter"/>
      <w:start w:val="3"/>
    </w:lvl>
  </w:abstractNum>
  <w:abstractNum w:abstractNumId="92">
    <w:nsid w:val="45E6D486"/>
    <w:multiLevelType w:val="hybridMultilevel"/>
    <w:lvl w:ilvl="0">
      <w:lvlJc w:val="left"/>
      <w:lvlText w:val="(%1)"/>
      <w:numFmt w:val="lowerLetter"/>
      <w:start w:val="4"/>
    </w:lvl>
  </w:abstractNum>
  <w:abstractNum w:abstractNumId="93">
    <w:nsid w:val="5C10FE21"/>
    <w:multiLevelType w:val="hybridMultilevel"/>
    <w:lvl w:ilvl="0">
      <w:lvlJc w:val="left"/>
      <w:lvlText w:val="(%1)"/>
      <w:numFmt w:val="lowerLetter"/>
      <w:start w:val="7"/>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2"/>
    </w:lvl>
  </w:abstractNum>
  <w:abstractNum w:abstractNumId="96">
    <w:nsid w:val="4BD8591A"/>
    <w:multiLevelType w:val="hybridMultilevel"/>
    <w:lvl w:ilvl="0">
      <w:lvlJc w:val="left"/>
      <w:lvlText w:val="%1"/>
      <w:numFmt w:val="decimal"/>
      <w:start w:val="1"/>
    </w:lvl>
    <w:lvl w:ilvl="1">
      <w:lvlJc w:val="left"/>
      <w:lvlText w:val="(%2)"/>
      <w:numFmt w:val="lowerLetter"/>
      <w:start w:val="5"/>
    </w:lvl>
  </w:abstractNum>
  <w:abstractNum w:abstractNumId="97">
    <w:nsid w:val="78DF6A55"/>
    <w:multiLevelType w:val="hybridMultilevel"/>
    <w:lvl w:ilvl="0">
      <w:lvlJc w:val="left"/>
      <w:lvlText w:val="(%1)"/>
      <w:numFmt w:val="decimal"/>
      <w:start w:val="90"/>
    </w:lvl>
    <w:lvl w:ilvl="1">
      <w:lvlJc w:val="left"/>
      <w:lvlText w:val="%2"/>
      <w:numFmt w:val="lowerLetter"/>
      <w:start w:val="1"/>
    </w:lvl>
  </w:abstractNum>
  <w:abstractNum w:abstractNumId="98">
    <w:nsid w:val="39B7AAA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9">
    <w:nsid w:val="2B0D8DB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0">
    <w:nsid w:val="6C80EC70"/>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4"/>
    </w:lvl>
  </w:abstractNum>
  <w:abstractNum w:abstractNumId="101">
    <w:nsid w:val="379E21B5"/>
    <w:multiLevelType w:val="hybridMultilevel"/>
    <w:lvl w:ilvl="0">
      <w:lvlJc w:val="left"/>
      <w:lvlText w:val="(%1)"/>
      <w:numFmt w:val="upperLetter"/>
      <w:start w:val="2"/>
    </w:lvl>
  </w:abstractNum>
  <w:abstractNum w:abstractNumId="102">
    <w:nsid w:val="69E373"/>
    <w:multiLevelType w:val="hybridMultilevel"/>
    <w:lvl w:ilvl="0">
      <w:lvlJc w:val="left"/>
      <w:lvlText w:val="%1"/>
      <w:numFmt w:val="lowerLetter"/>
      <w:start w:val="1"/>
    </w:lvl>
    <w:lvl w:ilvl="1">
      <w:lvlJc w:val="left"/>
      <w:lvlText w:val="(%2)"/>
      <w:numFmt w:val="lowerLetter"/>
      <w:start w:val="1"/>
    </w:lvl>
  </w:abstractNum>
  <w:abstractNum w:abstractNumId="103">
    <w:nsid w:val="2C27173B"/>
    <w:multiLevelType w:val="hybridMultilevel"/>
    <w:lvl w:ilvl="0">
      <w:lvlJc w:val="left"/>
      <w:lvlText w:val="(%1)"/>
      <w:numFmt w:val="lowerLetter"/>
      <w:start w:val="9"/>
    </w:lvl>
    <w:lvl w:ilvl="1">
      <w:lvlJc w:val="left"/>
      <w:lvlText w:val="%2"/>
      <w:numFmt w:val="lowerLetter"/>
      <w:start w:val="1"/>
    </w:lvl>
  </w:abstractNum>
  <w:abstractNum w:abstractNumId="104">
    <w:nsid w:val="4C9B0904"/>
    <w:multiLevelType w:val="hybridMultilevel"/>
    <w:lvl w:ilvl="0">
      <w:lvlJc w:val="left"/>
      <w:lvlText w:val="(%1)"/>
      <w:numFmt w:val="lowerLetter"/>
      <w:start w:val="2"/>
    </w:lvl>
  </w:abstractNum>
  <w:abstractNum w:abstractNumId="105">
    <w:nsid w:val="6AA7B75C"/>
    <w:multiLevelType w:val="hybridMultilevel"/>
    <w:lvl w:ilvl="0">
      <w:lvlJc w:val="left"/>
      <w:lvlText w:val="(%1)"/>
      <w:numFmt w:val="lowerLetter"/>
      <w:start w:val="3"/>
    </w:lvl>
  </w:abstractNum>
  <w:abstractNum w:abstractNumId="106">
    <w:nsid w:val="1DF029D3"/>
    <w:multiLevelType w:val="hybridMultilevel"/>
    <w:lvl w:ilvl="0">
      <w:lvlJc w:val="left"/>
      <w:lvlText w:val="%1"/>
      <w:numFmt w:val="decimal"/>
      <w:start w:val="1"/>
    </w:lvl>
    <w:lvl w:ilvl="1">
      <w:lvlJc w:val="left"/>
      <w:lvlText w:val="(%2)"/>
      <w:numFmt w:val="lowerLetter"/>
      <w:start w:val="1"/>
    </w:lvl>
  </w:abstractNum>
  <w:abstractNum w:abstractNumId="107">
    <w:nsid w:val="5675FF36"/>
    <w:multiLevelType w:val="hybridMultilevel"/>
    <w:lvl w:ilvl="0">
      <w:lvlJc w:val="left"/>
      <w:lvlText w:val="(%1)"/>
      <w:numFmt w:val="decimal"/>
      <w:start w:val="1"/>
    </w:lvl>
    <w:lvl w:ilvl="1">
      <w:lvlJc w:val="left"/>
      <w:lvlText w:val="%2"/>
      <w:numFmt w:val="lowerLetter"/>
      <w:start w:val="1"/>
    </w:lvl>
  </w:abstractNum>
  <w:abstractNum w:abstractNumId="108">
    <w:nsid w:val="3DD15094"/>
    <w:multiLevelType w:val="hybridMultilevel"/>
    <w:lvl w:ilvl="0">
      <w:lvlJc w:val="left"/>
      <w:lvlText w:val="%1"/>
      <w:numFmt w:val="lowerLetter"/>
      <w:start w:val="1"/>
    </w:lvl>
    <w:lvl w:ilvl="1">
      <w:lvlJc w:val="left"/>
      <w:lvlText w:val="(%2)"/>
      <w:numFmt w:val="lowerLetter"/>
      <w:start w:val="2"/>
    </w:lvl>
  </w:abstractNum>
  <w:abstractNum w:abstractNumId="109">
    <w:nsid w:val="3DB012B3"/>
    <w:multiLevelType w:val="hybridMultilevel"/>
    <w:lvl w:ilvl="0">
      <w:lvlJc w:val="left"/>
      <w:lvlText w:val="(%1)"/>
      <w:numFmt w:val="lowerLetter"/>
      <w:start w:val="35"/>
    </w:lvl>
    <w:lvl w:ilvl="1">
      <w:lvlJc w:val="left"/>
      <w:lvlText w:val="%2"/>
      <w:numFmt w:val="lowerLetter"/>
      <w:start w:val="1"/>
    </w:lvl>
  </w:abstractNum>
  <w:abstractNum w:abstractNumId="110">
    <w:nsid w:val="2708C9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11">
    <w:nsid w:val="5B25ACE2"/>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35"/>
    </w:lvl>
  </w:abstractNum>
  <w:abstractNum w:abstractNumId="112">
    <w:nsid w:val="175DFCF0"/>
    <w:multiLevelType w:val="hybridMultilevel"/>
    <w:lvl w:ilvl="0">
      <w:lvlJc w:val="left"/>
      <w:lvlText w:val="%1"/>
      <w:numFmt w:val="upperLetter"/>
      <w:start w:val="1"/>
    </w:lvl>
    <w:lvl w:ilvl="1">
      <w:lvlJc w:val="left"/>
      <w:lvlText w:val="(%2)"/>
      <w:numFmt w:val="lowerRoman"/>
      <w:start w:val="3"/>
    </w:lvl>
  </w:abstractNum>
  <w:abstractNum w:abstractNumId="113">
    <w:nsid w:val="4F97E3E4"/>
    <w:multiLevelType w:val="hybridMultilevel"/>
    <w:lvl w:ilvl="0">
      <w:lvlJc w:val="left"/>
      <w:lvlText w:val="(%1)"/>
      <w:numFmt w:val="upperLetter"/>
      <w:start w:val="1"/>
    </w:lvl>
    <w:lvl w:ilvl="1">
      <w:lvlJc w:val="left"/>
      <w:lvlText w:val="(%2)"/>
      <w:numFmt w:val="lowerRoman"/>
      <w:start w:val="4"/>
    </w:lvl>
  </w:abstractNum>
  <w:abstractNum w:abstractNumId="114">
    <w:nsid w:val="53B0A9E"/>
    <w:multiLevelType w:val="hybridMultilevel"/>
    <w:lvl w:ilvl="0">
      <w:lvlJc w:val="left"/>
      <w:lvlText w:val="(%1)"/>
      <w:numFmt w:val="lowerRoman"/>
      <w:start w:val="7"/>
    </w:lvl>
  </w:abstractNum>
  <w:abstractNum w:abstractNumId="115">
    <w:nsid w:val="34FD6B4F"/>
    <w:multiLevelType w:val="hybridMultilevel"/>
    <w:lvl w:ilvl="0">
      <w:lvlJc w:val="left"/>
      <w:lvlText w:val="(%1)"/>
      <w:numFmt w:val="lowerRoman"/>
      <w:start w:val="12"/>
    </w:lvl>
  </w:abstractNum>
  <w:abstractNum w:abstractNumId="116">
    <w:nsid w:val="5915FF3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1"/>
    </w:lvl>
  </w:abstractNum>
  <w:abstractNum w:abstractNumId="117">
    <w:nsid w:val="56438D1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8">
    <w:nsid w:val="519E3149"/>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19">
    <w:nsid w:val="2C6E4AFD"/>
    <w:multiLevelType w:val="hybridMultilevel"/>
    <w:lvl w:ilvl="0">
      <w:lvlJc w:val="left"/>
      <w:lvlText w:val="(%1)"/>
      <w:numFmt w:val="lowerLetter"/>
      <w:start w:val="1"/>
    </w:lvl>
  </w:abstractNum>
  <w:abstractNum w:abstractNumId="120">
    <w:nsid w:val="17A1B582"/>
    <w:multiLevelType w:val="hybridMultilevel"/>
    <w:lvl w:ilvl="0">
      <w:lvlJc w:val="left"/>
      <w:lvlText w:val="(%1)"/>
      <w:numFmt w:val="lowerLetter"/>
      <w:start w:val="3"/>
    </w:lvl>
  </w:abstractNum>
  <w:abstractNum w:abstractNumId="121">
    <w:nsid w:val="4DF72E4E"/>
    <w:multiLevelType w:val="hybridMultilevel"/>
    <w:lvl w:ilvl="0">
      <w:lvlJc w:val="left"/>
      <w:lvlText w:val="(%1)"/>
      <w:numFmt w:val="lowerRoman"/>
      <w:start w:val="11"/>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1"/>
    </w:lvl>
    <w:lvl w:ilvl="1">
      <w:lvlJc w:val="left"/>
      <w:lvlText w:val="(%2)"/>
      <w:numFmt w:val="lowerLetter"/>
      <w:start w:val="2"/>
    </w:lvl>
  </w:abstractNum>
  <w:abstractNum w:abstractNumId="124">
    <w:nsid w:val="2A082C70"/>
    <w:multiLevelType w:val="hybridMultilevel"/>
    <w:lvl w:ilvl="0">
      <w:lvlJc w:val="left"/>
      <w:lvlText w:val="(%1)"/>
      <w:numFmt w:val="lowerLetter"/>
      <w:start w:val="61"/>
    </w:lvl>
    <w:lvl w:ilvl="1">
      <w:lvlJc w:val="left"/>
      <w:lvlText w:val="%2"/>
      <w:numFmt w:val="lowerLetter"/>
      <w:start w:val="1"/>
    </w:lvl>
  </w:abstractNum>
  <w:abstractNum w:abstractNumId="125">
    <w:nsid w:val="5EC6AFD4"/>
    <w:multiLevelType w:val="hybridMultilevel"/>
    <w:lvl w:ilvl="0">
      <w:lvlJc w:val="left"/>
      <w:lvlText w:val="%1"/>
      <w:numFmt w:val="upperLetter"/>
      <w:start w:val="1"/>
    </w:lvl>
    <w:lvl w:ilvl="1">
      <w:lvlJc w:val="left"/>
      <w:lvlText w:val="(%2)"/>
      <w:numFmt w:val="lowerLetter"/>
      <w:start w:val="3"/>
    </w:lvl>
  </w:abstractNum>
  <w:abstractNum w:abstractNumId="126">
    <w:nsid w:val="19E21BB2"/>
    <w:multiLevelType w:val="hybridMultilevel"/>
    <w:lvl w:ilvl="0">
      <w:lvlJc w:val="left"/>
      <w:lvlText w:val="(%1)"/>
      <w:numFmt w:val="upperLetter"/>
      <w:start w:val="3"/>
    </w:lvl>
    <w:lvl w:ilvl="1">
      <w:lvlJc w:val="left"/>
      <w:lvlText w:val="(%2)"/>
      <w:numFmt w:val="lowerLetter"/>
      <w:start w:val="4"/>
    </w:lvl>
  </w:abstractNum>
  <w:abstractNum w:abstractNumId="127">
    <w:nsid w:val="75E0858A"/>
    <w:multiLevelType w:val="hybridMultilevel"/>
    <w:lvl w:ilvl="0">
      <w:lvlJc w:val="left"/>
      <w:lvlText w:val="(%1)"/>
      <w:numFmt w:val="lowerLetter"/>
      <w:start w:val="5"/>
    </w:lvl>
  </w:abstractNum>
  <w:abstractNum w:abstractNumId="128">
    <w:nsid w:val="57A61A29"/>
    <w:multiLevelType w:val="hybridMultilevel"/>
    <w:lvl w:ilvl="0">
      <w:lvlJc w:val="left"/>
      <w:lvlText w:val="(%1)"/>
      <w:numFmt w:val="lowerLetter"/>
      <w:start w:val="1"/>
    </w:lvl>
  </w:abstractNum>
  <w:abstractNum w:abstractNumId="129">
    <w:nsid w:val="5399C654"/>
    <w:multiLevelType w:val="hybridMultilevel"/>
    <w:lvl w:ilvl="0">
      <w:lvlJc w:val="left"/>
      <w:lvlText w:val="%1"/>
      <w:numFmt w:val="decimal"/>
      <w:start w:val="1"/>
    </w:lvl>
    <w:lvl w:ilvl="1">
      <w:lvlJc w:val="left"/>
      <w:lvlText w:val="(%2)"/>
      <w:numFmt w:val="lowerLetter"/>
      <w:start w:val="3"/>
    </w:lvl>
  </w:abstractNum>
  <w:abstractNum w:abstractNumId="130">
    <w:nsid w:val="20EE1348"/>
    <w:multiLevelType w:val="hybridMultilevel"/>
    <w:lvl w:ilvl="0">
      <w:lvlJc w:val="left"/>
      <w:lvlText w:val="(%1)"/>
      <w:numFmt w:val="decimal"/>
      <w:start w:val="90"/>
    </w:lvl>
    <w:lvl w:ilvl="1">
      <w:lvlJc w:val="left"/>
      <w:lvlText w:val="%2"/>
      <w:numFmt w:val="lowerLetter"/>
      <w:start w:val="1"/>
    </w:lvl>
  </w:abstractNum>
  <w:abstractNum w:abstractNumId="131">
    <w:nsid w:val="4427069A"/>
    <w:multiLevelType w:val="hybridMultilevel"/>
    <w:lvl w:ilvl="0">
      <w:lvlJc w:val="left"/>
      <w:lvlText w:val="(%1)"/>
      <w:numFmt w:val="decimal"/>
      <w:start w:val="2"/>
    </w:lvl>
  </w:abstractNum>
  <w:abstractNum w:abstractNumId="132">
    <w:nsid w:val="B37E80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2019-12-28T01:01:55Z</dcterms:created>
  <dcterms:modified xsi:type="dcterms:W3CDTF">2019-12-28T01:01:55Z</dcterms:modified>
</cp:coreProperties>
</file>