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68" w:lineRule="exact"/>
        <w:rPr>
          <w:sz w:val="24"/>
          <w:szCs w:val="24"/>
          <w:color w:val="auto"/>
        </w:rPr>
      </w:pPr>
    </w:p>
    <w:p>
      <w:pPr>
        <w:jc w:val="center"/>
        <w:ind w:right="-59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CURRENT REPORT PURSUANT TO</w:t>
      </w:r>
    </w:p>
    <w:p>
      <w:pPr>
        <w:spacing w:after="0" w:line="27"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SECTION 13 OR 15(d) OF THE</w:t>
      </w:r>
    </w:p>
    <w:p>
      <w:pPr>
        <w:spacing w:after="0" w:line="9"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4"/>
          <w:szCs w:val="24"/>
          <w:color w:val="auto"/>
        </w:rPr>
      </w:pPr>
    </w:p>
    <w:p>
      <w:pPr>
        <w:spacing w:after="0" w:line="28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Date of Report (Date of earliest event reported): September 17,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3315335</wp:posOffset>
            </wp:positionH>
            <wp:positionV relativeFrom="paragraph">
              <wp:posOffset>169545</wp:posOffset>
            </wp:positionV>
            <wp:extent cx="626110"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6110" cy="626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599"/>
        <w:spacing w:after="0"/>
        <w:rPr>
          <w:sz w:val="20"/>
          <w:szCs w:val="20"/>
          <w:color w:val="auto"/>
        </w:rPr>
      </w:pPr>
      <w:r>
        <w:rPr>
          <w:rFonts w:ascii="Arial" w:cs="Arial" w:eastAsia="Arial" w:hAnsi="Arial"/>
          <w:sz w:val="32"/>
          <w:szCs w:val="32"/>
          <w:b w:val="1"/>
          <w:bCs w:val="1"/>
          <w:u w:val="single" w:color="auto"/>
          <w:color w:val="auto"/>
        </w:rPr>
        <w:t>NN, INC.</w:t>
      </w:r>
    </w:p>
    <w:p>
      <w:pPr>
        <w:spacing w:after="0" w:line="40"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20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2240" w:type="dxa"/>
            <w:vAlign w:val="bottom"/>
            <w:gridSpan w:val="2"/>
          </w:tcPr>
          <w:p>
            <w:pPr>
              <w:jc w:val="center"/>
              <w:ind w:right="1560"/>
              <w:spacing w:after="0"/>
              <w:rPr>
                <w:sz w:val="20"/>
                <w:szCs w:val="20"/>
                <w:color w:val="auto"/>
              </w:rPr>
            </w:pPr>
            <w:r>
              <w:rPr>
                <w:rFonts w:ascii="Arial" w:cs="Arial" w:eastAsia="Arial" w:hAnsi="Arial"/>
                <w:sz w:val="18"/>
                <w:szCs w:val="18"/>
                <w:color w:val="auto"/>
                <w:w w:val="89"/>
              </w:rPr>
              <w:t>Delaware</w:t>
            </w: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0-23486</w:t>
            </w: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60" w:type="dxa"/>
            <w:vAlign w:val="bottom"/>
            <w:gridSpan w:val="5"/>
          </w:tcPr>
          <w:p>
            <w:pPr>
              <w:jc w:val="right"/>
              <w:ind w:right="860"/>
              <w:spacing w:after="0"/>
              <w:rPr>
                <w:sz w:val="20"/>
                <w:szCs w:val="20"/>
                <w:color w:val="auto"/>
              </w:rPr>
            </w:pPr>
            <w:r>
              <w:rPr>
                <w:rFonts w:ascii="Arial" w:cs="Arial" w:eastAsia="Arial" w:hAnsi="Arial"/>
                <w:sz w:val="18"/>
                <w:szCs w:val="18"/>
                <w:color w:val="auto"/>
              </w:rPr>
              <w:t>62-1096725</w:t>
            </w:r>
          </w:p>
        </w:tc>
      </w:tr>
      <w:tr>
        <w:trPr>
          <w:trHeight w:val="20"/>
        </w:trPr>
        <w:tc>
          <w:tcPr>
            <w:tcW w:w="1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364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(State or Other Jurisdiction of Incorporation)</w:t>
            </w:r>
          </w:p>
        </w:tc>
        <w:tc>
          <w:tcPr>
            <w:tcW w:w="4120" w:type="dxa"/>
            <w:vAlign w:val="bottom"/>
            <w:gridSpan w:val="5"/>
          </w:tcPr>
          <w:p>
            <w:pPr>
              <w:jc w:val="center"/>
              <w:ind w:right="300"/>
              <w:spacing w:after="0"/>
              <w:rPr>
                <w:sz w:val="20"/>
                <w:szCs w:val="20"/>
                <w:color w:val="auto"/>
              </w:rPr>
            </w:pPr>
            <w:r>
              <w:rPr>
                <w:rFonts w:ascii="Arial" w:cs="Arial" w:eastAsia="Arial" w:hAnsi="Arial"/>
                <w:sz w:val="18"/>
                <w:szCs w:val="18"/>
                <w:color w:val="auto"/>
                <w:w w:val="92"/>
              </w:rPr>
              <w:t>(Commission File Number)</w:t>
            </w:r>
          </w:p>
        </w:tc>
        <w:tc>
          <w:tcPr>
            <w:tcW w:w="2860" w:type="dxa"/>
            <w:vAlign w:val="bottom"/>
            <w:gridSpan w:val="5"/>
          </w:tcPr>
          <w:p>
            <w:pPr>
              <w:jc w:val="center"/>
              <w:ind w:left="170"/>
              <w:spacing w:after="0"/>
              <w:rPr>
                <w:sz w:val="20"/>
                <w:szCs w:val="20"/>
                <w:color w:val="auto"/>
              </w:rPr>
            </w:pPr>
            <w:r>
              <w:rPr>
                <w:rFonts w:ascii="Arial" w:cs="Arial" w:eastAsia="Arial" w:hAnsi="Arial"/>
                <w:sz w:val="18"/>
                <w:szCs w:val="18"/>
                <w:color w:val="auto"/>
                <w:w w:val="93"/>
              </w:rPr>
              <w:t>(I.R.S. Employer Identification No.)</w:t>
            </w:r>
          </w:p>
        </w:tc>
      </w:tr>
      <w:tr>
        <w:trPr>
          <w:trHeight w:val="392"/>
        </w:trPr>
        <w:tc>
          <w:tcPr>
            <w:tcW w:w="3640" w:type="dxa"/>
            <w:vAlign w:val="bottom"/>
            <w:gridSpan w:val="3"/>
          </w:tcPr>
          <w:p>
            <w:pPr>
              <w:jc w:val="center"/>
              <w:spacing w:after="0"/>
              <w:rPr>
                <w:sz w:val="20"/>
                <w:szCs w:val="20"/>
                <w:color w:val="auto"/>
              </w:rPr>
            </w:pPr>
            <w:r>
              <w:rPr>
                <w:rFonts w:ascii="Arial" w:cs="Arial" w:eastAsia="Arial" w:hAnsi="Arial"/>
                <w:sz w:val="18"/>
                <w:szCs w:val="18"/>
                <w:color w:val="auto"/>
                <w:w w:val="88"/>
              </w:rPr>
              <w:t>2000 Waters Edge Drive, Johnson City, Tennessee</w:t>
            </w: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0" w:type="dxa"/>
            <w:vAlign w:val="bottom"/>
            <w:gridSpan w:val="4"/>
          </w:tcPr>
          <w:p>
            <w:pPr>
              <w:jc w:val="right"/>
              <w:ind w:right="300"/>
              <w:spacing w:after="0"/>
              <w:rPr>
                <w:sz w:val="20"/>
                <w:szCs w:val="20"/>
                <w:color w:val="auto"/>
              </w:rPr>
            </w:pPr>
            <w:r>
              <w:rPr>
                <w:rFonts w:ascii="Arial" w:cs="Arial" w:eastAsia="Arial" w:hAnsi="Arial"/>
                <w:sz w:val="18"/>
                <w:szCs w:val="18"/>
                <w:color w:val="auto"/>
              </w:rPr>
              <w:t>37604</w:t>
            </w:r>
          </w:p>
        </w:tc>
        <w:tc>
          <w:tcPr>
            <w:tcW w:w="860" w:type="dxa"/>
            <w:vAlign w:val="bottom"/>
          </w:tcPr>
          <w:p>
            <w:pPr>
              <w:spacing w:after="0"/>
              <w:rPr>
                <w:sz w:val="24"/>
                <w:szCs w:val="24"/>
                <w:color w:val="auto"/>
              </w:rPr>
            </w:pPr>
          </w:p>
        </w:tc>
      </w:tr>
      <w:tr>
        <w:trPr>
          <w:trHeight w:val="20"/>
        </w:trPr>
        <w:tc>
          <w:tcPr>
            <w:tcW w:w="3640" w:type="dxa"/>
            <w:vAlign w:val="bottom"/>
            <w:gridSpan w:val="3"/>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r>
      <w:tr>
        <w:trPr>
          <w:trHeight w:val="237"/>
        </w:trPr>
        <w:tc>
          <w:tcPr>
            <w:tcW w:w="364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860" w:type="dxa"/>
            <w:vAlign w:val="bottom"/>
            <w:gridSpan w:val="5"/>
          </w:tcPr>
          <w:p>
            <w:pPr>
              <w:jc w:val="center"/>
              <w:ind w:left="10"/>
              <w:spacing w:after="0"/>
              <w:rPr>
                <w:sz w:val="20"/>
                <w:szCs w:val="20"/>
                <w:color w:val="auto"/>
              </w:rPr>
            </w:pPr>
            <w:r>
              <w:rPr>
                <w:rFonts w:ascii="Arial" w:cs="Arial" w:eastAsia="Arial" w:hAnsi="Arial"/>
                <w:sz w:val="18"/>
                <w:szCs w:val="18"/>
                <w:color w:val="auto"/>
                <w:w w:val="94"/>
              </w:rPr>
              <w:t>(Zip Code)</w:t>
            </w:r>
          </w:p>
        </w:tc>
      </w:tr>
      <w:tr>
        <w:trPr>
          <w:trHeight w:val="392"/>
        </w:trPr>
        <w:tc>
          <w:tcPr>
            <w:tcW w:w="1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540" w:type="dxa"/>
            <w:vAlign w:val="bottom"/>
            <w:gridSpan w:val="4"/>
          </w:tcPr>
          <w:p>
            <w:pPr>
              <w:jc w:val="right"/>
              <w:spacing w:after="0"/>
              <w:rPr>
                <w:sz w:val="20"/>
                <w:szCs w:val="20"/>
                <w:color w:val="auto"/>
              </w:rPr>
            </w:pPr>
            <w:r>
              <w:rPr>
                <w:rFonts w:ascii="Arial" w:cs="Arial" w:eastAsia="Arial" w:hAnsi="Arial"/>
                <w:sz w:val="18"/>
                <w:szCs w:val="18"/>
                <w:color w:val="auto"/>
              </w:rPr>
              <w:t>(423) 743-9151</w:t>
            </w:r>
          </w:p>
        </w:tc>
        <w:tc>
          <w:tcPr>
            <w:tcW w:w="1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
        </w:trPr>
        <w:tc>
          <w:tcPr>
            <w:tcW w:w="1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1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120" w:type="dxa"/>
            <w:vAlign w:val="bottom"/>
            <w:gridSpan w:val="5"/>
          </w:tcPr>
          <w:p>
            <w:pPr>
              <w:jc w:val="center"/>
              <w:ind w:right="160"/>
              <w:spacing w:after="0"/>
              <w:rPr>
                <w:sz w:val="20"/>
                <w:szCs w:val="20"/>
                <w:color w:val="auto"/>
              </w:rPr>
            </w:pPr>
            <w:r>
              <w:rPr>
                <w:rFonts w:ascii="Arial" w:cs="Arial" w:eastAsia="Arial" w:hAnsi="Arial"/>
                <w:sz w:val="18"/>
                <w:szCs w:val="18"/>
                <w:color w:val="auto"/>
                <w:w w:val="89"/>
              </w:rPr>
              <w:t>(Registrant's telephone number, including area code)</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202"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9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240" w:top="796" w:right="839" w:bottom="1440" w:gutter="0" w:footer="0" w:header="0"/>
        </w:sectPr>
      </w:pPr>
    </w:p>
    <w:bookmarkStart w:id="1" w:name="page2"/>
    <w:bookmarkEnd w:id="1"/>
    <w:p>
      <w:pPr>
        <w:ind w:right="4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On September 18, 2014, NN, Inc., (the “Company”) announced that Frank T. Gentry, III., Senior Vice President –Managing Director, Metal Bearing Components, will retire from the Company, effective as of December 31, 2014. The Company’s press release announcing Mr. Gentry's retirement is attached to this report as Exhibit 99.1 and incorporated herein by reference.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340" w:type="dxa"/>
            <w:vAlign w:val="bottom"/>
            <w:gridSpan w:val="3"/>
          </w:tcPr>
          <w:p>
            <w:pPr>
              <w:ind w:left="18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19"/>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340" w:type="dxa"/>
            <w:vAlign w:val="bottom"/>
            <w:gridSpan w:val="3"/>
          </w:tcPr>
          <w:p>
            <w:pPr>
              <w:ind w:left="22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r>
      <w:tr>
        <w:trPr>
          <w:trHeight w:val="480"/>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2"/>
          </w:tcPr>
          <w:p>
            <w:pPr>
              <w:ind w:left="60"/>
              <w:spacing w:after="0"/>
              <w:rPr>
                <w:sz w:val="20"/>
                <w:szCs w:val="20"/>
                <w:color w:val="auto"/>
              </w:rPr>
            </w:pPr>
            <w:r>
              <w:rPr>
                <w:rFonts w:ascii="Arial" w:cs="Arial" w:eastAsia="Arial" w:hAnsi="Arial"/>
                <w:sz w:val="18"/>
                <w:szCs w:val="18"/>
                <w:color w:val="auto"/>
              </w:rPr>
              <w:t>Press Release of NN, Inc. dated September 18, 2014</w:t>
            </w:r>
          </w:p>
        </w:tc>
      </w:tr>
      <w:tr>
        <w:trPr>
          <w:trHeight w:val="902"/>
        </w:trPr>
        <w:tc>
          <w:tcPr>
            <w:tcW w:w="8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9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September 23, 2014</w:t>
      </w:r>
      <w:r>
        <w:rPr>
          <w:sz w:val="20"/>
          <w:szCs w:val="20"/>
          <w:color w:val="auto"/>
        </w:rPr>
        <w:tab/>
      </w:r>
      <w:r>
        <w:rPr>
          <w:rFonts w:ascii="Arial" w:cs="Arial" w:eastAsia="Arial" w:hAnsi="Arial"/>
          <w:sz w:val="17"/>
          <w:szCs w:val="17"/>
          <w:b w:val="1"/>
          <w:bCs w:val="1"/>
          <w:color w:val="auto"/>
        </w:rPr>
        <w:t>NN, INC.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14605</wp:posOffset>
            </wp:positionV>
            <wp:extent cx="12179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17930" cy="17145"/>
                    </a:xfrm>
                    <a:prstGeom prst="rect">
                      <a:avLst/>
                    </a:prstGeom>
                    <a:noFill/>
                  </pic:spPr>
                </pic:pic>
              </a:graphicData>
            </a:graphic>
          </wp:anchor>
        </w:drawing>
      </w:r>
    </w:p>
    <w:p>
      <w:pPr>
        <w:spacing w:after="0" w:line="16" w:lineRule="exact"/>
        <w:rPr>
          <w:sz w:val="20"/>
          <w:szCs w:val="20"/>
          <w:color w:val="auto"/>
        </w:rPr>
      </w:pPr>
    </w:p>
    <w:p>
      <w:pPr>
        <w:ind w:left="6060"/>
        <w:spacing w:after="0"/>
        <w:tabs>
          <w:tab w:leader="none" w:pos="6740" w:val="left"/>
        </w:tabs>
        <w:rPr>
          <w:sz w:val="20"/>
          <w:szCs w:val="20"/>
          <w:color w:val="auto"/>
        </w:rPr>
      </w:pPr>
      <w:r>
        <w:rPr>
          <w:rFonts w:ascii="Arial" w:cs="Arial" w:eastAsia="Arial" w:hAnsi="Arial"/>
          <w:sz w:val="18"/>
          <w:szCs w:val="18"/>
          <w:color w:val="auto"/>
        </w:rPr>
        <w:t>Name:</w:t>
        <w:tab/>
        <w:t>William C. Kelly, Jr.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Vice President and Chief</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Administrative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689610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513" w:right="43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color w:val="auto"/>
        </w:rPr>
        <w:t>EXHIBIT INDEX</w:t>
      </w:r>
    </w:p>
    <w:p>
      <w:pPr>
        <w:spacing w:after="0" w:line="220" w:lineRule="auto"/>
        <w:tabs>
          <w:tab w:leader="none" w:pos="800" w:val="left"/>
        </w:tabs>
        <w:rPr>
          <w:sz w:val="20"/>
          <w:szCs w:val="20"/>
          <w:color w:val="auto"/>
        </w:rPr>
      </w:pPr>
      <w:r>
        <w:rPr>
          <w:rFonts w:ascii="Arial" w:cs="Arial" w:eastAsia="Arial" w:hAnsi="Arial"/>
          <w:sz w:val="36"/>
          <w:szCs w:val="36"/>
          <w:b w:val="1"/>
          <w:bCs w:val="1"/>
          <w:color w:val="auto"/>
          <w:vertAlign w:val="superscript"/>
        </w:rPr>
        <w:t>Exhibit</w:t>
      </w:r>
      <w:r>
        <w:rPr>
          <w:sz w:val="20"/>
          <w:szCs w:val="20"/>
          <w:color w:val="auto"/>
        </w:rPr>
        <w:tab/>
      </w:r>
      <w:r>
        <w:rPr>
          <w:rFonts w:ascii="Arial" w:cs="Arial" w:eastAsia="Arial" w:hAnsi="Arial"/>
          <w:sz w:val="18"/>
          <w:szCs w:val="18"/>
          <w:b w:val="1"/>
          <w:bCs w:val="1"/>
          <w:color w:val="auto"/>
        </w:rPr>
        <w:t>Description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t>
      </w:r>
    </w:p>
    <w:p>
      <w:pPr>
        <w:spacing w:after="0" w:line="20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NN, Inc. dated September 18, 2014</w:t>
      </w:r>
    </w:p>
    <w:p>
      <w:pPr>
        <w:sectPr>
          <w:pgSz w:w="11900" w:h="16838" w:orient="portrait"/>
          <w:cols w:equalWidth="0" w:num="1">
            <w:col w:w="10219"/>
          </w:cols>
          <w:pgMar w:left="240" w:top="513" w:right="1440" w:bottom="1440" w:gutter="0" w:footer="0" w:header="0"/>
        </w:sectPr>
      </w:pPr>
    </w:p>
    <w:bookmarkStart w:id="4" w:name="page5"/>
    <w:bookmarkEnd w:id="4"/>
    <w:p>
      <w:pPr>
        <w:spacing w:after="0" w:line="301" w:lineRule="exact"/>
        <w:rPr>
          <w:sz w:val="20"/>
          <w:szCs w:val="20"/>
          <w:color w:val="auto"/>
        </w:rPr>
      </w:pPr>
    </w:p>
    <w:p>
      <w:pPr>
        <w:spacing w:after="0"/>
        <w:rPr>
          <w:sz w:val="20"/>
          <w:szCs w:val="20"/>
          <w:color w:val="auto"/>
        </w:rPr>
      </w:pPr>
      <w:r>
        <w:rPr>
          <w:rFonts w:ascii="Arial" w:cs="Arial" w:eastAsia="Arial" w:hAnsi="Arial"/>
          <w:sz w:val="29"/>
          <w:szCs w:val="29"/>
          <w:color w:val="auto"/>
        </w:rPr>
        <w:t>F I N A N C I A L</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RELATIONS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9"/>
          <w:szCs w:val="19"/>
          <w:color w:val="auto"/>
        </w:rPr>
        <w:t>FOR FURTHER INFORMATION:</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AT THE COMPANY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Robbie Atkinson</w:t>
      </w:r>
    </w:p>
    <w:p>
      <w:pPr>
        <w:spacing w:after="0" w:line="7" w:lineRule="exact"/>
        <w:rPr>
          <w:sz w:val="20"/>
          <w:szCs w:val="20"/>
          <w:color w:val="auto"/>
        </w:rPr>
      </w:pPr>
    </w:p>
    <w:p>
      <w:pPr>
        <w:ind w:right="1860"/>
        <w:spacing w:after="0" w:line="261" w:lineRule="auto"/>
        <w:rPr>
          <w:sz w:val="20"/>
          <w:szCs w:val="20"/>
          <w:color w:val="auto"/>
        </w:rPr>
      </w:pPr>
      <w:r>
        <w:rPr>
          <w:rFonts w:ascii="Arial" w:cs="Arial" w:eastAsia="Arial" w:hAnsi="Arial"/>
          <w:sz w:val="18"/>
          <w:szCs w:val="18"/>
          <w:color w:val="auto"/>
        </w:rPr>
        <w:t>Treasurer &amp; Investor Relations Manager (423) 743-9151</w:t>
      </w:r>
    </w:p>
    <w:p>
      <w:pPr>
        <w:spacing w:after="0" w:line="20" w:lineRule="exact"/>
        <w:rPr>
          <w:sz w:val="20"/>
          <w:szCs w:val="20"/>
          <w:color w:val="auto"/>
        </w:rPr>
      </w:pPr>
      <w:r>
        <w:rPr>
          <w:sz w:val="20"/>
          <w:szCs w:val="20"/>
          <w:color w:val="auto"/>
        </w:rPr>
        <w:br w:type="column"/>
      </w:r>
    </w:p>
    <w:p>
      <w:pPr>
        <w:ind w:left="4560"/>
        <w:spacing w:after="0"/>
        <w:rPr>
          <w:sz w:val="20"/>
          <w:szCs w:val="20"/>
          <w:color w:val="auto"/>
        </w:rPr>
      </w:pPr>
      <w:r>
        <w:rPr>
          <w:rFonts w:ascii="Arial" w:cs="Arial" w:eastAsia="Arial" w:hAnsi="Arial"/>
          <w:sz w:val="22"/>
          <w:szCs w:val="22"/>
          <w:b w:val="1"/>
          <w:bCs w:val="1"/>
          <w:color w:val="auto"/>
        </w:rPr>
        <w:t>EXHIBIT 99.1</w:t>
      </w:r>
    </w:p>
    <w:p>
      <w:pPr>
        <w:spacing w:after="0" w:line="21" w:lineRule="exact"/>
        <w:rPr>
          <w:sz w:val="20"/>
          <w:szCs w:val="20"/>
          <w:color w:val="auto"/>
        </w:rPr>
      </w:pPr>
    </w:p>
    <w:p>
      <w:pPr>
        <w:ind w:left="2960"/>
        <w:spacing w:after="0"/>
        <w:rPr>
          <w:sz w:val="20"/>
          <w:szCs w:val="20"/>
          <w:color w:val="auto"/>
        </w:rPr>
      </w:pPr>
      <w:r>
        <w:rPr>
          <w:rFonts w:ascii="Arial" w:cs="Arial" w:eastAsia="Arial" w:hAnsi="Arial"/>
          <w:sz w:val="61"/>
          <w:szCs w:val="61"/>
          <w:color w:val="auto"/>
        </w:rPr>
        <w:t>n e w s</w:t>
      </w:r>
    </w:p>
    <w:p>
      <w:pPr>
        <w:ind w:left="3420"/>
        <w:spacing w:after="0"/>
        <w:rPr>
          <w:sz w:val="20"/>
          <w:szCs w:val="20"/>
          <w:color w:val="auto"/>
        </w:rPr>
      </w:pPr>
      <w:r>
        <w:rPr>
          <w:rFonts w:ascii="Arial" w:cs="Arial" w:eastAsia="Arial" w:hAnsi="Arial"/>
          <w:sz w:val="18"/>
          <w:szCs w:val="18"/>
          <w:color w:val="auto"/>
        </w:rPr>
        <w:t>RE: NN, Inc.</w:t>
      </w:r>
    </w:p>
    <w:p>
      <w:pPr>
        <w:spacing w:after="0" w:line="7"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2000 Waters Edge Drive</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Johnson City, TN 37604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AT FINANCIAL RELATIONS BOARD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Marilynn Meek</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(General info)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827-3773</w:t>
      </w:r>
    </w:p>
    <w:p>
      <w:pPr>
        <w:spacing w:after="0" w:line="202" w:lineRule="exact"/>
        <w:rPr>
          <w:sz w:val="20"/>
          <w:szCs w:val="20"/>
          <w:color w:val="auto"/>
        </w:rPr>
      </w:pPr>
    </w:p>
    <w:p>
      <w:pPr>
        <w:sectPr>
          <w:pgSz w:w="11900" w:h="16838" w:orient="portrait"/>
          <w:cols w:equalWidth="0" w:num="2">
            <w:col w:w="4780" w:space="720"/>
            <w:col w:w="5920"/>
          </w:cols>
          <w:pgMar w:left="240" w:top="112" w:right="239" w:bottom="1440" w:gutter="0" w:footer="0" w:header="0"/>
        </w:sectPr>
      </w:pPr>
    </w:p>
    <w:p>
      <w:pPr>
        <w:spacing w:after="0"/>
        <w:rPr>
          <w:sz w:val="20"/>
          <w:szCs w:val="20"/>
          <w:color w:val="auto"/>
        </w:rPr>
      </w:pPr>
      <w:r>
        <w:rPr>
          <w:rFonts w:ascii="Arial" w:cs="Arial" w:eastAsia="Arial" w:hAnsi="Arial"/>
          <w:sz w:val="20"/>
          <w:szCs w:val="20"/>
          <w:b w:val="1"/>
          <w:bCs w:val="1"/>
          <w:color w:val="auto"/>
        </w:rPr>
        <w:t>FOR IMMEDIATE RELEASE</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September 18, 2014</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NN, INC. ANNOUNCES THE RETIREMENT OF FRANK GENTRY AND THE APPOINTMENT OF JEFF MANZAGOL AS SENIOR VICE PRESIDENT AND GENERAL MANAGER OF THE METAL BEARING COMPONETS GROUP.</w:t>
      </w:r>
    </w:p>
    <w:p>
      <w:pPr>
        <w:spacing w:after="0" w:line="189"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Johnson City, Tenn, September 18, 2014 – NN, Inc. </w:t>
      </w:r>
      <w:r>
        <w:rPr>
          <w:rFonts w:ascii="Arial" w:cs="Arial" w:eastAsia="Arial" w:hAnsi="Arial"/>
          <w:sz w:val="16"/>
          <w:szCs w:val="16"/>
          <w:color w:val="auto"/>
        </w:rPr>
        <w:t>(Nasdaq: NNBR) announced today that effective October 6, 2014 Jeff Manzagol will join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as Senior Vice President and General Manager of the Company’s Metal Bearing Components Group. In a planned transition, Mr. Manzagol succeeds Frank Gentry, who will retire at year-end after more than 30 years with NN. Mr. Manzagol will be responsible for directing and coordinating the activities of the Metal Bearing Components Group, as well as for developing the long range goals and achieving strategic operational and financial objectives for the segment.</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Richard Holder, President and Chief Executive Officer, commented, “Frank leaves an indelible mark on our Company. With three plus decades of dedicated service to NN’s Metal Bearings Group, he has been a part of nearly every milestone of NN’s history. We thank Frank for his leadership and service and wish him all the best in his well-deserved retirement.”</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Manzagol steps into his role of Senior Vice President with more than 36 years in metal bearings, and high precision manufacturing leadership and experience, most recently as President of the Bearings Division at Kaydon Corporation. Previously, he held various leadership positions at SKF Group, including President, and General Manager of Operations at the Armada, Michigan Facility.</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Mr. Holder continued, “Jeff’s extensive knowledge and expertise across all segments of our Metal Bearing Components platform make him uniquely qualified to head this segment of our business. His leadership will be invaluable as we continue to execute our strategic business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5" w:name="page6"/>
    <w:bookmarkEnd w:id="5"/>
    <w:p>
      <w:pPr>
        <w:jc w:val="both"/>
        <w:spacing w:after="0" w:line="264" w:lineRule="auto"/>
        <w:rPr>
          <w:sz w:val="20"/>
          <w:szCs w:val="20"/>
          <w:color w:val="auto"/>
        </w:rPr>
      </w:pPr>
      <w:r>
        <w:rPr>
          <w:rFonts w:ascii="Arial" w:cs="Arial" w:eastAsia="Arial" w:hAnsi="Arial"/>
          <w:sz w:val="18"/>
          <w:szCs w:val="18"/>
          <w:color w:val="auto"/>
        </w:rPr>
        <w:t>NN, Inc. manufacturers and supplies high precision metal bearing components, industrial plastic and rubber products and precision metal components to a variety of markets on a global basis. Headquartered in Johnson City, Tennessee, NN has 25 manufacturing plants in the United States, Western Europe, Eastern Europe, South America and China.</w:t>
      </w:r>
    </w:p>
    <w:p>
      <w:pPr>
        <w:spacing w:after="0" w:line="208" w:lineRule="exact"/>
        <w:rPr>
          <w:sz w:val="20"/>
          <w:szCs w:val="20"/>
          <w:color w:val="auto"/>
        </w:rPr>
      </w:pPr>
    </w:p>
    <w:p>
      <w:pPr>
        <w:spacing w:after="0" w:line="283"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pending or completed acquisitions are also forward-looking statements, including statements relating to the anticipated closing date of an acquisition, the Company’s ability to obtain required regulatory approvals or satisfy closing conditions, the costs of an acquisition and the Company’s source(s) of financing, the future performance and prospects of an acquired business, the expected benefits of an acquisition on the Company’s future business and operations and the ability of the Company to successfully integrate recently acquired businesses.</w:t>
      </w:r>
    </w:p>
    <w:p>
      <w:pPr>
        <w:ind w:right="200"/>
        <w:spacing w:after="0" w:line="254" w:lineRule="auto"/>
        <w:rPr>
          <w:sz w:val="20"/>
          <w:szCs w:val="20"/>
          <w:color w:val="auto"/>
        </w:rPr>
      </w:pPr>
      <w:r>
        <w:rPr>
          <w:rFonts w:ascii="Arial" w:cs="Arial" w:eastAsia="Arial" w:hAnsi="Arial"/>
          <w:sz w:val="18"/>
          <w:szCs w:val="18"/>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2013. Except as required by law, we undertake no obligation to update or revise any forward-looking statements we make in our press releases, whether as a result of new information, future events or otherwise.</w:t>
      </w:r>
    </w:p>
    <w:sectPr>
      <w:pgSz w:w="11900" w:h="16838" w:orient="portrait"/>
      <w:cols w:equalWidth="0" w:num="1">
        <w:col w:w="11400"/>
      </w:cols>
      <w:pgMar w:left="240" w:top="51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2019-12-06T09:44:55Z</dcterms:created>
  <dcterms:modified xsi:type="dcterms:W3CDTF">2019-12-06T09:44:55Z</dcterms:modified>
</cp:coreProperties>
</file>