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&lt;SUBMISSION&gt;</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&lt;TYPE&gt; SC 13G</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&lt;LIVE&gt;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&lt;DOCUMENT-COUNT&gt; 1</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&lt;NOTIFY&gt; 71111,3465</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&lt;SROS&gt; NASD</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&lt;SUBJECT-COMPANY&gt;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&lt;CIK&gt; 0000918541</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&lt;NAME&gt; NN Inc.</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&lt;IRS-NUMBER&gt; 621096725</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&lt;/SUBJECT-COMPANY&gt;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&lt;FILER&gt;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&lt;CIK&gt; 0000924355</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&lt;CCC&gt; hw5iqbo@</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&lt;/FILER&gt;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&lt;DOCUMENT&gt;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&lt;TYPE&gt; SC 13G</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&lt;TEXT&gt;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22"/>
          <w:szCs w:val="22"/>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NN Inc.</w:t>
      </w:r>
    </w:p>
    <w:p>
      <w:pPr>
        <w:spacing w:after="0" w:line="185" w:lineRule="exact"/>
        <w:rPr>
          <w:sz w:val="24"/>
          <w:szCs w:val="24"/>
          <w:color w:val="auto"/>
        </w:rPr>
      </w:pPr>
    </w:p>
    <w:p>
      <w:pPr>
        <w:ind w:left="3240"/>
        <w:spacing w:after="0"/>
        <w:rPr>
          <w:sz w:val="20"/>
          <w:szCs w:val="20"/>
          <w:color w:val="auto"/>
        </w:rPr>
      </w:pPr>
      <w:r>
        <w:rPr>
          <w:rFonts w:ascii="Arial" w:cs="Arial" w:eastAsia="Arial" w:hAnsi="Arial"/>
          <w:sz w:val="19"/>
          <w:szCs w:val="19"/>
          <w:color w:val="auto"/>
        </w:rPr>
        <w:t>____________________________________________</w:t>
      </w:r>
    </w:p>
    <w:p>
      <w:pPr>
        <w:spacing w:after="0" w:line="214"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Common stock</w:t>
      </w:r>
    </w:p>
    <w:p>
      <w:pPr>
        <w:spacing w:after="0" w:line="179" w:lineRule="exact"/>
        <w:rPr>
          <w:sz w:val="24"/>
          <w:szCs w:val="24"/>
          <w:color w:val="auto"/>
        </w:rPr>
      </w:pPr>
    </w:p>
    <w:p>
      <w:pPr>
        <w:ind w:left="3240"/>
        <w:spacing w:after="0"/>
        <w:rPr>
          <w:sz w:val="20"/>
          <w:szCs w:val="20"/>
          <w:color w:val="auto"/>
        </w:rPr>
      </w:pPr>
      <w:r>
        <w:rPr>
          <w:rFonts w:ascii="Arial" w:cs="Arial" w:eastAsia="Arial" w:hAnsi="Arial"/>
          <w:sz w:val="19"/>
          <w:szCs w:val="19"/>
          <w:color w:val="auto"/>
        </w:rPr>
        <w:t>____________________________________________</w:t>
      </w:r>
    </w:p>
    <w:p>
      <w:pPr>
        <w:spacing w:after="0" w:line="214"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629337106</w:t>
      </w:r>
    </w:p>
    <w:p>
      <w:pPr>
        <w:spacing w:after="0" w:line="185"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0119"/>
          </w:cols>
          <w:pgMar w:left="340" w:top="339" w:right="1440"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t>(CUSIP Number)</w:t>
      </w:r>
    </w:p>
    <w:p>
      <w:pPr>
        <w:spacing w:after="0" w:line="301" w:lineRule="exact"/>
        <w:rPr>
          <w:sz w:val="20"/>
          <w:szCs w:val="20"/>
          <w:color w:val="auto"/>
        </w:rPr>
      </w:pPr>
    </w:p>
    <w:p>
      <w:pPr>
        <w:jc w:val="both"/>
        <w:ind w:firstLine="74"/>
        <w:spacing w:after="0" w:line="297" w:lineRule="auto"/>
        <w:rPr>
          <w:sz w:val="20"/>
          <w:szCs w:val="20"/>
          <w:color w:val="auto"/>
        </w:rPr>
      </w:pPr>
      <w:r>
        <w:rPr>
          <w:rFonts w:ascii="Arial" w:cs="Arial" w:eastAsia="Arial" w:hAnsi="Arial"/>
          <w:sz w:val="19"/>
          <w:szCs w:val="19"/>
          <w:color w:val="auto"/>
        </w:rPr>
        <w:t>Check the following box if a fee is being paid with this statement [ ]. (A fee is not required only if the filing person: (1) has a previous statement on file reporting beneficial ownership of more than 5 percent of the class securities described in Item 1; and (2) has filed no amendment subsequent thereto reporting beneficial ownership of five percent or less of such class.) (See Rule 13d-7.)</w:t>
      </w:r>
    </w:p>
    <w:p>
      <w:pPr>
        <w:spacing w:after="0" w:line="200" w:lineRule="exact"/>
        <w:rPr>
          <w:sz w:val="20"/>
          <w:szCs w:val="20"/>
          <w:color w:val="auto"/>
        </w:rPr>
      </w:pPr>
    </w:p>
    <w:p>
      <w:pPr>
        <w:spacing w:after="0" w:line="393" w:lineRule="exact"/>
        <w:rPr>
          <w:sz w:val="20"/>
          <w:szCs w:val="20"/>
          <w:color w:val="auto"/>
        </w:rPr>
      </w:pPr>
    </w:p>
    <w:p>
      <w:pPr>
        <w:ind w:right="6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CUSIP No. 629337106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79415" cy="1251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9415" cy="125158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1. NAME OF REPORTING PERSON</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S.S. OR I.R.S. IDENTIFICATION NO. OF ABOVE PERSON</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State Street Research &amp; Management Company</w:t>
      </w:r>
    </w:p>
    <w:p>
      <w:pPr>
        <w:spacing w:after="0" w:line="67"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i w:val="1"/>
          <w:iCs w:val="1"/>
          <w:color w:val="auto"/>
        </w:rPr>
        <w:t xml:space="preserve"> #13-31424135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5479415" cy="187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941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2. CHECK THE APPROPRIATE BOX IF A MEMBER OF A GROUP*</w:t>
      </w:r>
    </w:p>
    <w:p>
      <w:pPr>
        <w:spacing w:after="0" w:line="8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 [ ]</w:t>
      </w:r>
    </w:p>
    <w:p>
      <w:pPr>
        <w:spacing w:after="0" w:line="67"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(b) [ ]</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5479415"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794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CITIZENSHIP OR PLACE OF ORGANIZATION</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Reporting Person is a corporation organized under Delaware laws. Principal office of</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Reporting Person is in Boston,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5471160" cy="2063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71160" cy="206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580" w:type="dxa"/>
            <w:vAlign w:val="bottom"/>
          </w:tcPr>
          <w:p>
            <w:pPr>
              <w:spacing w:after="0"/>
              <w:rPr>
                <w:sz w:val="24"/>
                <w:szCs w:val="24"/>
                <w:color w:val="auto"/>
              </w:rPr>
            </w:pPr>
          </w:p>
        </w:tc>
        <w:tc>
          <w:tcPr>
            <w:tcW w:w="4940" w:type="dxa"/>
            <w:vAlign w:val="bottom"/>
          </w:tcPr>
          <w:p>
            <w:pPr>
              <w:ind w:left="120"/>
              <w:spacing w:after="0"/>
              <w:rPr>
                <w:sz w:val="20"/>
                <w:szCs w:val="20"/>
                <w:color w:val="auto"/>
              </w:rPr>
            </w:pPr>
            <w:r>
              <w:rPr>
                <w:rFonts w:ascii="Arial" w:cs="Arial" w:eastAsia="Arial" w:hAnsi="Arial"/>
                <w:sz w:val="22"/>
                <w:szCs w:val="22"/>
                <w:b w:val="1"/>
                <w:bCs w:val="1"/>
                <w:color w:val="auto"/>
              </w:rPr>
              <w:t>5. SOLE VOTING POWER</w:t>
            </w:r>
          </w:p>
        </w:tc>
      </w:tr>
      <w:tr>
        <w:trPr>
          <w:trHeight w:val="85"/>
        </w:trPr>
        <w:tc>
          <w:tcPr>
            <w:tcW w:w="3580" w:type="dxa"/>
            <w:vAlign w:val="bottom"/>
            <w:tcBorders>
              <w:bottom w:val="single" w:sz="8" w:color="808080"/>
            </w:tcBorders>
          </w:tcPr>
          <w:p>
            <w:pPr>
              <w:spacing w:after="0"/>
              <w:rPr>
                <w:sz w:val="7"/>
                <w:szCs w:val="7"/>
                <w:color w:val="auto"/>
              </w:rPr>
            </w:pPr>
          </w:p>
        </w:tc>
        <w:tc>
          <w:tcPr>
            <w:tcW w:w="4940" w:type="dxa"/>
            <w:vAlign w:val="bottom"/>
            <w:tcBorders>
              <w:bottom w:val="single" w:sz="8" w:color="808080"/>
            </w:tcBorders>
          </w:tcPr>
          <w:p>
            <w:pPr>
              <w:spacing w:after="0"/>
              <w:rPr>
                <w:sz w:val="7"/>
                <w:szCs w:val="7"/>
                <w:color w:val="auto"/>
              </w:rPr>
            </w:pPr>
          </w:p>
        </w:tc>
      </w:tr>
      <w:tr>
        <w:trPr>
          <w:trHeight w:val="20"/>
        </w:trPr>
        <w:tc>
          <w:tcPr>
            <w:tcW w:w="3580" w:type="dxa"/>
            <w:vAlign w:val="bottom"/>
            <w:tcBorders>
              <w:bottom w:val="single" w:sz="8" w:color="2C2C2C"/>
            </w:tcBorders>
          </w:tcPr>
          <w:p>
            <w:pPr>
              <w:spacing w:after="0" w:line="20" w:lineRule="exact"/>
              <w:rPr>
                <w:sz w:val="1"/>
                <w:szCs w:val="1"/>
                <w:color w:val="auto"/>
              </w:rPr>
            </w:pPr>
          </w:p>
        </w:tc>
        <w:tc>
          <w:tcPr>
            <w:tcW w:w="4940" w:type="dxa"/>
            <w:vAlign w:val="bottom"/>
            <w:tcBorders>
              <w:bottom w:val="single" w:sz="8" w:color="2C2C2C"/>
            </w:tcBorders>
          </w:tcPr>
          <w:p>
            <w:pPr>
              <w:spacing w:after="0" w:line="20" w:lineRule="exact"/>
              <w:rPr>
                <w:sz w:val="1"/>
                <w:szCs w:val="1"/>
                <w:color w:val="auto"/>
              </w:rPr>
            </w:pPr>
          </w:p>
        </w:tc>
      </w:tr>
      <w:tr>
        <w:trPr>
          <w:trHeight w:val="328"/>
        </w:trPr>
        <w:tc>
          <w:tcPr>
            <w:tcW w:w="3580" w:type="dxa"/>
            <w:vAlign w:val="bottom"/>
          </w:tcPr>
          <w:p>
            <w:pPr>
              <w:ind w:left="100"/>
              <w:spacing w:after="0"/>
              <w:rPr>
                <w:sz w:val="20"/>
                <w:szCs w:val="20"/>
                <w:color w:val="auto"/>
              </w:rPr>
            </w:pPr>
            <w:r>
              <w:rPr>
                <w:rFonts w:ascii="Arial" w:cs="Arial" w:eastAsia="Arial" w:hAnsi="Arial"/>
                <w:sz w:val="22"/>
                <w:szCs w:val="22"/>
                <w:b w:val="1"/>
                <w:bCs w:val="1"/>
                <w:color w:val="auto"/>
              </w:rPr>
              <w:t>NUMBER OF SHARES</w:t>
            </w:r>
          </w:p>
        </w:tc>
        <w:tc>
          <w:tcPr>
            <w:tcW w:w="4940" w:type="dxa"/>
            <w:vAlign w:val="bottom"/>
          </w:tcPr>
          <w:p>
            <w:pPr>
              <w:jc w:val="right"/>
              <w:ind w:right="2012"/>
              <w:spacing w:after="0"/>
              <w:rPr>
                <w:sz w:val="20"/>
                <w:szCs w:val="20"/>
                <w:color w:val="auto"/>
              </w:rPr>
            </w:pPr>
            <w:r>
              <w:rPr>
                <w:rFonts w:ascii="Arial" w:cs="Arial" w:eastAsia="Arial" w:hAnsi="Arial"/>
                <w:sz w:val="22"/>
                <w:szCs w:val="22"/>
                <w:color w:val="auto"/>
              </w:rPr>
              <w:t>804,800</w:t>
            </w:r>
          </w:p>
        </w:tc>
      </w:tr>
      <w:tr>
        <w:trPr>
          <w:trHeight w:val="85"/>
        </w:trPr>
        <w:tc>
          <w:tcPr>
            <w:tcW w:w="3580" w:type="dxa"/>
            <w:vAlign w:val="bottom"/>
            <w:tcBorders>
              <w:bottom w:val="single" w:sz="8" w:color="808080"/>
            </w:tcBorders>
          </w:tcPr>
          <w:p>
            <w:pPr>
              <w:spacing w:after="0"/>
              <w:rPr>
                <w:sz w:val="7"/>
                <w:szCs w:val="7"/>
                <w:color w:val="auto"/>
              </w:rPr>
            </w:pPr>
          </w:p>
        </w:tc>
        <w:tc>
          <w:tcPr>
            <w:tcW w:w="4940" w:type="dxa"/>
            <w:vAlign w:val="bottom"/>
            <w:tcBorders>
              <w:bottom w:val="single" w:sz="8" w:color="808080"/>
            </w:tcBorders>
          </w:tcPr>
          <w:p>
            <w:pPr>
              <w:spacing w:after="0"/>
              <w:rPr>
                <w:sz w:val="7"/>
                <w:szCs w:val="7"/>
                <w:color w:val="auto"/>
              </w:rPr>
            </w:pPr>
          </w:p>
        </w:tc>
      </w:tr>
      <w:tr>
        <w:trPr>
          <w:trHeight w:val="20"/>
        </w:trPr>
        <w:tc>
          <w:tcPr>
            <w:tcW w:w="3580" w:type="dxa"/>
            <w:vAlign w:val="bottom"/>
            <w:tcBorders>
              <w:bottom w:val="single" w:sz="8" w:color="2C2C2C"/>
            </w:tcBorders>
          </w:tcPr>
          <w:p>
            <w:pPr>
              <w:spacing w:after="0" w:line="20" w:lineRule="exact"/>
              <w:rPr>
                <w:sz w:val="1"/>
                <w:szCs w:val="1"/>
                <w:color w:val="auto"/>
              </w:rPr>
            </w:pPr>
          </w:p>
        </w:tc>
        <w:tc>
          <w:tcPr>
            <w:tcW w:w="4940" w:type="dxa"/>
            <w:vAlign w:val="bottom"/>
            <w:tcBorders>
              <w:bottom w:val="single" w:sz="8" w:color="2C2C2C"/>
            </w:tcBorders>
          </w:tcPr>
          <w:p>
            <w:pPr>
              <w:spacing w:after="0" w:line="20" w:lineRule="exact"/>
              <w:rPr>
                <w:sz w:val="1"/>
                <w:szCs w:val="1"/>
                <w:color w:val="auto"/>
              </w:rPr>
            </w:pPr>
          </w:p>
        </w:tc>
      </w:tr>
      <w:tr>
        <w:trPr>
          <w:trHeight w:val="328"/>
        </w:trPr>
        <w:tc>
          <w:tcPr>
            <w:tcW w:w="3580" w:type="dxa"/>
            <w:vAlign w:val="bottom"/>
          </w:tcPr>
          <w:p>
            <w:pPr>
              <w:ind w:left="100"/>
              <w:spacing w:after="0"/>
              <w:rPr>
                <w:sz w:val="20"/>
                <w:szCs w:val="20"/>
                <w:color w:val="auto"/>
              </w:rPr>
            </w:pPr>
            <w:r>
              <w:rPr>
                <w:rFonts w:ascii="Arial" w:cs="Arial" w:eastAsia="Arial" w:hAnsi="Arial"/>
                <w:sz w:val="22"/>
                <w:szCs w:val="22"/>
                <w:b w:val="1"/>
                <w:bCs w:val="1"/>
                <w:color w:val="auto"/>
              </w:rPr>
              <w:t>BENEFICIALLY</w:t>
            </w:r>
          </w:p>
        </w:tc>
        <w:tc>
          <w:tcPr>
            <w:tcW w:w="4940" w:type="dxa"/>
            <w:vAlign w:val="bottom"/>
          </w:tcPr>
          <w:p>
            <w:pPr>
              <w:ind w:left="120"/>
              <w:spacing w:after="0"/>
              <w:rPr>
                <w:sz w:val="20"/>
                <w:szCs w:val="20"/>
                <w:color w:val="auto"/>
              </w:rPr>
            </w:pPr>
            <w:r>
              <w:rPr>
                <w:rFonts w:ascii="Arial" w:cs="Arial" w:eastAsia="Arial" w:hAnsi="Arial"/>
                <w:sz w:val="22"/>
                <w:szCs w:val="22"/>
                <w:b w:val="1"/>
                <w:bCs w:val="1"/>
                <w:color w:val="auto"/>
              </w:rPr>
              <w:t>6. SHARED VOTING POWER</w:t>
            </w:r>
          </w:p>
        </w:tc>
      </w:tr>
      <w:tr>
        <w:trPr>
          <w:trHeight w:val="368"/>
        </w:trPr>
        <w:tc>
          <w:tcPr>
            <w:tcW w:w="35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r>
      <w:tr>
        <w:trPr>
          <w:trHeight w:val="20"/>
        </w:trPr>
        <w:tc>
          <w:tcPr>
            <w:tcW w:w="3580" w:type="dxa"/>
            <w:vAlign w:val="bottom"/>
            <w:tcBorders>
              <w:bottom w:val="single" w:sz="8" w:color="2C2C2C"/>
            </w:tcBorders>
          </w:tcPr>
          <w:p>
            <w:pPr>
              <w:spacing w:after="0" w:line="20" w:lineRule="exact"/>
              <w:rPr>
                <w:sz w:val="1"/>
                <w:szCs w:val="1"/>
                <w:color w:val="auto"/>
              </w:rPr>
            </w:pPr>
          </w:p>
        </w:tc>
        <w:tc>
          <w:tcPr>
            <w:tcW w:w="4940" w:type="dxa"/>
            <w:vAlign w:val="bottom"/>
            <w:tcBorders>
              <w:bottom w:val="single" w:sz="8" w:color="2C2C2C"/>
            </w:tcBorders>
          </w:tcPr>
          <w:p>
            <w:pPr>
              <w:spacing w:after="0" w:line="20" w:lineRule="exact"/>
              <w:rPr>
                <w:sz w:val="1"/>
                <w:szCs w:val="1"/>
                <w:color w:val="auto"/>
              </w:rPr>
            </w:pPr>
          </w:p>
        </w:tc>
      </w:tr>
      <w:tr>
        <w:trPr>
          <w:trHeight w:val="328"/>
        </w:trPr>
        <w:tc>
          <w:tcPr>
            <w:tcW w:w="3580" w:type="dxa"/>
            <w:vAlign w:val="bottom"/>
          </w:tcPr>
          <w:p>
            <w:pPr>
              <w:ind w:left="100"/>
              <w:spacing w:after="0"/>
              <w:rPr>
                <w:sz w:val="20"/>
                <w:szCs w:val="20"/>
                <w:color w:val="auto"/>
              </w:rPr>
            </w:pPr>
            <w:r>
              <w:rPr>
                <w:rFonts w:ascii="Arial" w:cs="Arial" w:eastAsia="Arial" w:hAnsi="Arial"/>
                <w:sz w:val="22"/>
                <w:szCs w:val="22"/>
                <w:b w:val="1"/>
                <w:bCs w:val="1"/>
                <w:color w:val="auto"/>
              </w:rPr>
              <w:t>OWNED BY EACH</w:t>
            </w:r>
          </w:p>
        </w:tc>
        <w:tc>
          <w:tcPr>
            <w:tcW w:w="4940" w:type="dxa"/>
            <w:vAlign w:val="bottom"/>
          </w:tcPr>
          <w:p>
            <w:pPr>
              <w:jc w:val="right"/>
              <w:ind w:right="2312"/>
              <w:spacing w:after="0"/>
              <w:rPr>
                <w:sz w:val="20"/>
                <w:szCs w:val="20"/>
                <w:color w:val="auto"/>
              </w:rPr>
            </w:pPr>
            <w:r>
              <w:rPr>
                <w:rFonts w:ascii="Arial" w:cs="Arial" w:eastAsia="Arial" w:hAnsi="Arial"/>
                <w:sz w:val="22"/>
                <w:szCs w:val="22"/>
                <w:color w:val="auto"/>
              </w:rPr>
              <w:t>0</w:t>
            </w: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76" w:lineRule="exact"/>
        <w:rPr>
          <w:sz w:val="20"/>
          <w:szCs w:val="20"/>
          <w:color w:val="auto"/>
        </w:rPr>
      </w:pPr>
    </w:p>
    <w:p>
      <w:pPr>
        <w:ind w:left="140"/>
        <w:spacing w:after="0"/>
        <w:tabs>
          <w:tab w:leader="none" w:pos="3720" w:val="left"/>
        </w:tabs>
        <w:rPr>
          <w:sz w:val="20"/>
          <w:szCs w:val="20"/>
          <w:color w:val="auto"/>
        </w:rPr>
      </w:pPr>
      <w:r>
        <w:rPr>
          <w:rFonts w:ascii="Arial" w:cs="Arial" w:eastAsia="Arial" w:hAnsi="Arial"/>
          <w:sz w:val="22"/>
          <w:szCs w:val="22"/>
          <w:b w:val="1"/>
          <w:bCs w:val="1"/>
          <w:color w:val="auto"/>
        </w:rPr>
        <w:t>REPORTING PERSON WITH</w:t>
      </w:r>
      <w:r>
        <w:rPr>
          <w:sz w:val="20"/>
          <w:szCs w:val="20"/>
          <w:color w:val="auto"/>
        </w:rPr>
        <w:tab/>
      </w:r>
      <w:r>
        <w:rPr>
          <w:rFonts w:ascii="Arial" w:cs="Arial" w:eastAsia="Arial" w:hAnsi="Arial"/>
          <w:sz w:val="21"/>
          <w:szCs w:val="21"/>
          <w:b w:val="1"/>
          <w:bCs w:val="1"/>
          <w:color w:val="auto"/>
        </w:rPr>
        <w:t>7. SOLE DISPOSITIVE POWER</w:t>
      </w:r>
    </w:p>
    <w:p>
      <w:pPr>
        <w:sectPr>
          <w:pgSz w:w="11900" w:h="16838" w:orient="portrait"/>
          <w:cols w:equalWidth="0" w:num="1">
            <w:col w:w="11420"/>
          </w:cols>
          <w:pgMar w:left="240" w:top="118" w:right="239" w:bottom="0" w:gutter="0" w:footer="0" w:header="0"/>
          <w:type w:val="continuous"/>
        </w:sectPr>
      </w:pPr>
    </w:p>
    <w:bookmarkStart w:id="2" w:name="page3"/>
    <w:bookmarkEnd w:id="2"/>
    <w:p>
      <w:pPr>
        <w:ind w:left="57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479415" cy="3751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9415" cy="3751580"/>
                    </a:xfrm>
                    <a:prstGeom prst="rect">
                      <a:avLst/>
                    </a:prstGeom>
                    <a:noFill/>
                  </pic:spPr>
                </pic:pic>
              </a:graphicData>
            </a:graphic>
          </wp:anchor>
        </w:drawing>
        <w:t>804,800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80"/>
        <w:spacing w:after="0"/>
        <w:rPr>
          <w:sz w:val="20"/>
          <w:szCs w:val="20"/>
          <w:color w:val="auto"/>
        </w:rPr>
      </w:pPr>
      <w:r>
        <w:rPr>
          <w:sz w:val="1"/>
          <w:szCs w:val="1"/>
          <w:color w:val="auto"/>
        </w:rPr>
        <w:drawing>
          <wp:inline distT="0" distB="0" distL="0" distR="0">
            <wp:extent cx="51435" cy="3168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8. SHARED DISPOSITIVE POWER</w:t>
      </w:r>
    </w:p>
    <w:p>
      <w:pPr>
        <w:spacing w:after="0" w:line="80"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0" w:right="2479" w:firstLine="3"/>
        <w:spacing w:after="0" w:line="256" w:lineRule="auto"/>
        <w:tabs>
          <w:tab w:leader="none" w:pos="35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p>
    <w:p>
      <w:pPr>
        <w:spacing w:after="0" w:line="200" w:lineRule="exact"/>
        <w:rPr>
          <w:sz w:val="20"/>
          <w:szCs w:val="20"/>
          <w:color w:val="auto"/>
        </w:rPr>
      </w:pPr>
    </w:p>
    <w:p>
      <w:pPr>
        <w:spacing w:after="0" w:line="26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804,800</w:t>
      </w:r>
    </w:p>
    <w:p>
      <w:pPr>
        <w:spacing w:after="0" w:line="254" w:lineRule="exact"/>
        <w:rPr>
          <w:sz w:val="20"/>
          <w:szCs w:val="20"/>
          <w:color w:val="auto"/>
        </w:rPr>
      </w:pPr>
    </w:p>
    <w:p>
      <w:pPr>
        <w:ind w:left="140" w:right="2239" w:firstLine="3"/>
        <w:spacing w:after="0" w:line="256" w:lineRule="auto"/>
        <w:tabs>
          <w:tab w:leader="none" w:pos="46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BOX IF AGGREGATE AMOUNT IN ROW (9) EXCLUDES CERTAIN SHARES*</w:t>
      </w:r>
    </w:p>
    <w:p>
      <w:pPr>
        <w:spacing w:after="0" w:line="69"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11. PERCENT OF CLASS REPRESENTED BY AMOUNT IN ROW (9)</w:t>
      </w:r>
    </w:p>
    <w:p>
      <w:pPr>
        <w:spacing w:after="0" w:line="80"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547941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7941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3168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b w:val="1"/>
          <w:bCs w:val="1"/>
          <w:color w:val="auto"/>
        </w:rPr>
        <w:t xml:space="preserve"> 12. TYPE OF REPORTING PERSON*</w:t>
      </w:r>
    </w:p>
    <w:p>
      <w:pPr>
        <w:spacing w:after="0" w:line="80"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Investment adviser</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*SEE INSTRUCTIONS BEFORE FILLING OUT</w:t>
      </w:r>
    </w:p>
    <w:p>
      <w:pPr>
        <w:spacing w:after="0" w:line="301" w:lineRule="exact"/>
        <w:rPr>
          <w:sz w:val="20"/>
          <w:szCs w:val="20"/>
          <w:color w:val="auto"/>
        </w:rPr>
      </w:pPr>
    </w:p>
    <w:p>
      <w:pPr>
        <w:ind w:left="400" w:hanging="297"/>
        <w:spacing w:after="0"/>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w:t>
      </w:r>
    </w:p>
    <w:p>
      <w:pPr>
        <w:spacing w:after="0" w:line="179" w:lineRule="exact"/>
        <w:rPr>
          <w:rFonts w:ascii="Arial" w:cs="Arial" w:eastAsia="Arial" w:hAnsi="Arial"/>
          <w:sz w:val="22"/>
          <w:szCs w:val="22"/>
          <w:color w:val="auto"/>
        </w:rPr>
      </w:pPr>
    </w:p>
    <w:p>
      <w:pPr>
        <w:ind w:left="400" w:hanging="297"/>
        <w:spacing w:after="0"/>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w:t>
      </w:r>
    </w:p>
    <w:p>
      <w:pPr>
        <w:spacing w:after="0" w:line="179" w:lineRule="exact"/>
        <w:rPr>
          <w:rFonts w:ascii="Arial" w:cs="Arial" w:eastAsia="Arial" w:hAnsi="Arial"/>
          <w:sz w:val="22"/>
          <w:szCs w:val="22"/>
          <w:color w:val="auto"/>
        </w:rPr>
      </w:pPr>
    </w:p>
    <w:p>
      <w:pPr>
        <w:ind w:left="400" w:hanging="297"/>
        <w:spacing w:after="0"/>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registered under Section 3(a)(19) of the Act</w:t>
      </w:r>
    </w:p>
    <w:p>
      <w:pPr>
        <w:spacing w:after="0" w:line="179" w:lineRule="exact"/>
        <w:rPr>
          <w:rFonts w:ascii="Arial" w:cs="Arial" w:eastAsia="Arial" w:hAnsi="Arial"/>
          <w:sz w:val="22"/>
          <w:szCs w:val="22"/>
          <w:color w:val="auto"/>
        </w:rPr>
      </w:pPr>
    </w:p>
    <w:p>
      <w:pPr>
        <w:ind w:left="400" w:hanging="297"/>
        <w:spacing w:after="0"/>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w:t>
      </w:r>
    </w:p>
    <w:p>
      <w:pPr>
        <w:spacing w:after="0" w:line="173" w:lineRule="exact"/>
        <w:rPr>
          <w:rFonts w:ascii="Arial" w:cs="Arial" w:eastAsia="Arial" w:hAnsi="Arial"/>
          <w:sz w:val="22"/>
          <w:szCs w:val="22"/>
          <w:color w:val="auto"/>
        </w:rPr>
      </w:pPr>
    </w:p>
    <w:p>
      <w:pPr>
        <w:ind w:left="400" w:hanging="297"/>
        <w:spacing w:after="0"/>
        <w:tabs>
          <w:tab w:leader="none" w:pos="40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x</w:t>
      </w:r>
      <w:r>
        <w:rPr>
          <w:rFonts w:ascii="Arial" w:cs="Arial" w:eastAsia="Arial" w:hAnsi="Arial"/>
          <w:sz w:val="19"/>
          <w:szCs w:val="19"/>
          <w:color w:val="auto"/>
        </w:rPr>
        <w:t>] Investment Adviser registered under Section 203 of the Investment Advisers Act of 1940</w:t>
      </w:r>
    </w:p>
    <w:p>
      <w:pPr>
        <w:spacing w:after="0" w:line="219" w:lineRule="exact"/>
        <w:rPr>
          <w:rFonts w:ascii="Arial" w:cs="Arial" w:eastAsia="Arial" w:hAnsi="Arial"/>
          <w:sz w:val="19"/>
          <w:szCs w:val="19"/>
          <w:color w:val="auto"/>
        </w:rPr>
      </w:pPr>
    </w:p>
    <w:p>
      <w:pPr>
        <w:ind w:left="1180" w:right="1719" w:firstLine="3"/>
        <w:spacing w:after="0"/>
        <w:tabs>
          <w:tab w:leader="none" w:pos="1450" w:val="left"/>
        </w:tabs>
        <w:numPr>
          <w:ilvl w:val="1"/>
          <w:numId w:val="4"/>
        </w:numPr>
        <w:rPr>
          <w:rFonts w:ascii="Arial" w:cs="Arial" w:eastAsia="Arial" w:hAnsi="Arial"/>
          <w:sz w:val="22"/>
          <w:szCs w:val="22"/>
          <w:color w:val="auto"/>
        </w:rPr>
      </w:pPr>
      <w:r>
        <w:rPr>
          <w:rFonts w:ascii="Arial" w:cs="Arial" w:eastAsia="Arial" w:hAnsi="Arial"/>
          <w:sz w:val="22"/>
          <w:szCs w:val="22"/>
          <w:color w:val="auto"/>
        </w:rPr>
        <w:t>[ ] Employee Benefit Plan, Pension Fund which is subject to the provisions of the Employee Retirement Income Security Act of 1974 or Endowment Fund: see Section 240.13d-1(b)(1)(ii)(F)</w:t>
      </w:r>
    </w:p>
    <w:p>
      <w:pPr>
        <w:spacing w:after="0" w:line="375" w:lineRule="exact"/>
        <w:rPr>
          <w:rFonts w:ascii="Arial" w:cs="Arial" w:eastAsia="Arial" w:hAnsi="Arial"/>
          <w:sz w:val="22"/>
          <w:szCs w:val="22"/>
          <w:color w:val="auto"/>
        </w:rPr>
      </w:pPr>
    </w:p>
    <w:p>
      <w:pPr>
        <w:ind w:left="1180" w:right="2079" w:firstLine="3"/>
        <w:spacing w:after="0" w:line="251" w:lineRule="auto"/>
        <w:tabs>
          <w:tab w:leader="none" w:pos="1486" w:val="left"/>
        </w:tabs>
        <w:numPr>
          <w:ilvl w:val="1"/>
          <w:numId w:val="4"/>
        </w:numPr>
        <w:rPr>
          <w:rFonts w:ascii="Arial" w:cs="Arial" w:eastAsia="Arial" w:hAnsi="Arial"/>
          <w:sz w:val="22"/>
          <w:szCs w:val="22"/>
          <w:color w:val="auto"/>
        </w:rPr>
      </w:pPr>
      <w:r>
        <w:rPr>
          <w:rFonts w:ascii="Arial" w:cs="Arial" w:eastAsia="Arial" w:hAnsi="Arial"/>
          <w:sz w:val="22"/>
          <w:szCs w:val="22"/>
          <w:color w:val="auto"/>
        </w:rPr>
        <w:t>[ ] Parent Holding Company, in accordance with Section 240.13d-1(b)(ii)(G) (Note: See Item 7)</w:t>
      </w:r>
    </w:p>
    <w:p>
      <w:pPr>
        <w:spacing w:after="0" w:line="36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(h) [ ] 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G</w:t>
      </w:r>
    </w:p>
    <w:p>
      <w:pPr>
        <w:spacing w:after="0" w:line="301"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NN Inc.</w:t>
      </w:r>
    </w:p>
    <w:p>
      <w:pPr>
        <w:sectPr>
          <w:pgSz w:w="11900" w:h="16838" w:orient="portrait"/>
          <w:cols w:equalWidth="0" w:num="1">
            <w:col w:w="10219"/>
          </w:cols>
          <w:pgMar w:left="240" w:top="2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Address of Issuers Principal Office:</w:t>
      </w:r>
    </w:p>
    <w:p>
      <w:pPr>
        <w:sectPr>
          <w:pgSz w:w="11900" w:h="16838" w:orient="portrait"/>
          <w:cols w:equalWidth="0" w:num="1">
            <w:col w:w="10219"/>
          </w:cols>
          <w:pgMar w:left="240" w:top="220" w:right="1440" w:bottom="0" w:gutter="0" w:footer="0" w:header="0"/>
          <w:type w:val="continuous"/>
        </w:sectPr>
      </w:pPr>
    </w:p>
    <w:bookmarkStart w:id="3" w:name="page4"/>
    <w:bookmarkEnd w:id="3"/>
    <w:p>
      <w:pPr>
        <w:ind w:left="2000"/>
        <w:spacing w:after="0"/>
        <w:rPr>
          <w:sz w:val="20"/>
          <w:szCs w:val="20"/>
          <w:color w:val="auto"/>
        </w:rPr>
      </w:pPr>
      <w:r>
        <w:rPr>
          <w:rFonts w:ascii="Arial" w:cs="Arial" w:eastAsia="Arial" w:hAnsi="Arial"/>
          <w:sz w:val="22"/>
          <w:szCs w:val="22"/>
          <w:color w:val="auto"/>
        </w:rPr>
        <w:t>2000 Waters Edge Drive</w:t>
      </w:r>
    </w:p>
    <w:p>
      <w:pPr>
        <w:spacing w:after="0" w:line="207"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State Street Research &amp; Management Company</w:t>
      </w:r>
    </w:p>
    <w:p>
      <w:pPr>
        <w:spacing w:after="0" w:line="173"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One Financial Center, 30th Floor</w:t>
      </w:r>
    </w:p>
    <w:p>
      <w:pPr>
        <w:spacing w:after="0" w:line="206"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Boston, MA 02111-2690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color w:val="auto"/>
        </w:rPr>
        <w:t>Citizenship</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Reporting Person is a corporation organized under Delaware laws.</w:t>
      </w:r>
    </w:p>
    <w:p>
      <w:pPr>
        <w:spacing w:after="0" w:line="206"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Principal office of Reporting Person is Boston, MA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tabs>
          <w:tab w:leader="none" w:pos="198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12"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629337106</w:t>
      </w:r>
    </w:p>
    <w:p>
      <w:pPr>
        <w:spacing w:after="0" w:line="173" w:lineRule="exact"/>
        <w:rPr>
          <w:sz w:val="20"/>
          <w:szCs w:val="20"/>
          <w:color w:val="auto"/>
        </w:rPr>
      </w:pPr>
    </w:p>
    <w:p>
      <w:pPr>
        <w:ind w:left="2000" w:right="3180" w:hanging="1903"/>
        <w:spacing w:after="0" w:line="251" w:lineRule="auto"/>
        <w:tabs>
          <w:tab w:leader="none" w:pos="19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color w:val="auto"/>
        </w:rPr>
        <w:t>If this statement is filed pursuant to Rules 13d-1(b), or 13d-2(b), check whether the person filing is a:</w:t>
      </w:r>
    </w:p>
    <w:p>
      <w:pPr>
        <w:spacing w:after="0" w:line="146" w:lineRule="exact"/>
        <w:rPr>
          <w:sz w:val="20"/>
          <w:szCs w:val="20"/>
          <w:color w:val="auto"/>
        </w:rPr>
      </w:pPr>
    </w:p>
    <w:p>
      <w:pPr>
        <w:ind w:left="1620" w:hanging="306"/>
        <w:spacing w:after="0"/>
        <w:tabs>
          <w:tab w:leader="none" w:pos="1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Broker or dealer registered under Section 15 of the Act</w:t>
      </w:r>
    </w:p>
    <w:p>
      <w:pPr>
        <w:spacing w:after="0" w:line="179" w:lineRule="exact"/>
        <w:rPr>
          <w:rFonts w:ascii="Arial" w:cs="Arial" w:eastAsia="Arial" w:hAnsi="Arial"/>
          <w:sz w:val="22"/>
          <w:szCs w:val="22"/>
          <w:b w:val="1"/>
          <w:bCs w:val="1"/>
          <w:color w:val="auto"/>
        </w:rPr>
      </w:pPr>
    </w:p>
    <w:p>
      <w:pPr>
        <w:ind w:left="1620" w:hanging="318"/>
        <w:spacing w:after="0"/>
        <w:tabs>
          <w:tab w:leader="none" w:pos="1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Bank as defined in Section 3(a)(6) of the Act</w:t>
      </w:r>
    </w:p>
    <w:p>
      <w:pPr>
        <w:spacing w:after="0" w:line="179" w:lineRule="exact"/>
        <w:rPr>
          <w:rFonts w:ascii="Arial" w:cs="Arial" w:eastAsia="Arial" w:hAnsi="Arial"/>
          <w:sz w:val="22"/>
          <w:szCs w:val="22"/>
          <w:b w:val="1"/>
          <w:bCs w:val="1"/>
          <w:color w:val="auto"/>
        </w:rPr>
      </w:pPr>
    </w:p>
    <w:p>
      <w:pPr>
        <w:ind w:left="1620" w:hanging="294"/>
        <w:spacing w:after="0"/>
        <w:tabs>
          <w:tab w:leader="none" w:pos="1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Insurance Company registered under Section 3(a)(19) of the Act</w:t>
      </w:r>
    </w:p>
    <w:p>
      <w:pPr>
        <w:spacing w:after="0" w:line="179" w:lineRule="exact"/>
        <w:rPr>
          <w:rFonts w:ascii="Arial" w:cs="Arial" w:eastAsia="Arial" w:hAnsi="Arial"/>
          <w:sz w:val="22"/>
          <w:szCs w:val="22"/>
          <w:b w:val="1"/>
          <w:bCs w:val="1"/>
          <w:color w:val="auto"/>
        </w:rPr>
      </w:pPr>
    </w:p>
    <w:p>
      <w:pPr>
        <w:ind w:left="2000" w:right="3620" w:hanging="698"/>
        <w:spacing w:after="0" w:line="256" w:lineRule="auto"/>
        <w:tabs>
          <w:tab w:leader="none" w:pos="1613"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Investment company registered under Section 8 of the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Act of 1940</w:t>
      </w:r>
    </w:p>
    <w:p>
      <w:pPr>
        <w:spacing w:after="0" w:line="135" w:lineRule="exact"/>
        <w:rPr>
          <w:rFonts w:ascii="Arial" w:cs="Arial" w:eastAsia="Arial" w:hAnsi="Arial"/>
          <w:sz w:val="22"/>
          <w:szCs w:val="22"/>
          <w:b w:val="1"/>
          <w:bCs w:val="1"/>
          <w:color w:val="auto"/>
        </w:rPr>
      </w:pPr>
    </w:p>
    <w:p>
      <w:pPr>
        <w:ind w:left="2000" w:right="3520" w:hanging="674"/>
        <w:spacing w:after="0" w:line="256" w:lineRule="auto"/>
        <w:tabs>
          <w:tab w:leader="none" w:pos="1613"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Investment Adviser registered under Section 203 of the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Advisers Act of 1940</w:t>
      </w:r>
    </w:p>
    <w:p>
      <w:pPr>
        <w:spacing w:after="0" w:line="135" w:lineRule="exact"/>
        <w:rPr>
          <w:rFonts w:ascii="Arial" w:cs="Arial" w:eastAsia="Arial" w:hAnsi="Arial"/>
          <w:sz w:val="22"/>
          <w:szCs w:val="22"/>
          <w:b w:val="1"/>
          <w:bCs w:val="1"/>
          <w:color w:val="auto"/>
        </w:rPr>
      </w:pPr>
    </w:p>
    <w:p>
      <w:pPr>
        <w:ind w:left="2000" w:right="2840" w:hanging="650"/>
        <w:spacing w:after="0" w:line="243" w:lineRule="auto"/>
        <w:tabs>
          <w:tab w:leader="none" w:pos="1613"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Employee Benefit Plan, Pension Fund which is subject to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Employee Retirement Income Security Act of 1974 or Endowment Fund: see Section 240.13d- 1(b)(1)(ii)(F)</w:t>
      </w:r>
    </w:p>
    <w:p>
      <w:pPr>
        <w:spacing w:after="0" w:line="149" w:lineRule="exact"/>
        <w:rPr>
          <w:rFonts w:ascii="Arial" w:cs="Arial" w:eastAsia="Arial" w:hAnsi="Arial"/>
          <w:sz w:val="22"/>
          <w:szCs w:val="22"/>
          <w:b w:val="1"/>
          <w:bCs w:val="1"/>
          <w:color w:val="auto"/>
        </w:rPr>
      </w:pPr>
    </w:p>
    <w:p>
      <w:pPr>
        <w:ind w:left="2000" w:right="2920" w:hanging="686"/>
        <w:spacing w:after="0" w:line="256" w:lineRule="auto"/>
        <w:tabs>
          <w:tab w:leader="none" w:pos="1613"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Parent Holding Company, in accordance with Section 240.13d-1(b)(ii)(G)</w:t>
      </w:r>
      <w:r>
        <w:rPr>
          <w:rFonts w:ascii="Arial" w:cs="Arial" w:eastAsia="Arial" w:hAnsi="Arial"/>
          <w:sz w:val="22"/>
          <w:szCs w:val="22"/>
          <w:b w:val="1"/>
          <w:bCs w:val="1"/>
          <w:color w:val="auto"/>
        </w:rPr>
        <w:t xml:space="preserve"> </w:t>
      </w:r>
      <w:r>
        <w:rPr>
          <w:rFonts w:ascii="Arial" w:cs="Arial" w:eastAsia="Arial" w:hAnsi="Arial"/>
          <w:sz w:val="22"/>
          <w:szCs w:val="22"/>
          <w:color w:val="auto"/>
        </w:rPr>
        <w:t>(Note: See Item 7)</w:t>
      </w:r>
    </w:p>
    <w:p>
      <w:pPr>
        <w:spacing w:after="0" w:line="135" w:lineRule="exact"/>
        <w:rPr>
          <w:rFonts w:ascii="Arial" w:cs="Arial" w:eastAsia="Arial" w:hAnsi="Arial"/>
          <w:sz w:val="22"/>
          <w:szCs w:val="22"/>
          <w:b w:val="1"/>
          <w:bCs w:val="1"/>
          <w:color w:val="auto"/>
        </w:rPr>
      </w:pPr>
    </w:p>
    <w:p>
      <w:pPr>
        <w:ind w:left="1620" w:hanging="318"/>
        <w:spacing w:after="0"/>
        <w:tabs>
          <w:tab w:leader="none" w:pos="162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  </w:t>
      </w:r>
      <w:r>
        <w:rPr>
          <w:rFonts w:ascii="Arial" w:cs="Arial" w:eastAsia="Arial" w:hAnsi="Arial"/>
          <w:sz w:val="22"/>
          <w:szCs w:val="22"/>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u w:val="single" w:color="auto"/>
          <w:color w:val="auto"/>
        </w:rPr>
        <w:t>Ownership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 Amount beneficially owned:</w:t>
      </w:r>
    </w:p>
    <w:p>
      <w:pPr>
        <w:spacing w:after="0" w:line="18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804,800</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(b) Percent of Class:</w:t>
      </w:r>
    </w:p>
    <w:p>
      <w:pPr>
        <w:sectPr>
          <w:pgSz w:w="11900" w:h="16838" w:orient="portrait"/>
          <w:cols w:equalWidth="0" w:num="1">
            <w:col w:w="11320"/>
          </w:cols>
          <w:pgMar w:left="240" w:top="118" w:right="339" w:bottom="0" w:gutter="0" w:footer="0" w:header="0"/>
        </w:sectPr>
      </w:pPr>
    </w:p>
    <w:bookmarkStart w:id="4" w:name="page5"/>
    <w:bookmarkEnd w:id="4"/>
    <w:p>
      <w:pPr>
        <w:ind w:left="4060"/>
        <w:spacing w:after="0"/>
        <w:rPr>
          <w:sz w:val="20"/>
          <w:szCs w:val="20"/>
          <w:color w:val="auto"/>
        </w:rPr>
      </w:pPr>
      <w:r>
        <w:rPr>
          <w:rFonts w:ascii="Arial" w:cs="Arial" w:eastAsia="Arial" w:hAnsi="Arial"/>
          <w:sz w:val="22"/>
          <w:szCs w:val="22"/>
          <w:color w:val="auto"/>
        </w:rPr>
        <w:t>5.24%</w:t>
      </w:r>
    </w:p>
    <w:p>
      <w:pPr>
        <w:spacing w:after="0" w:line="173" w:lineRule="exact"/>
        <w:rPr>
          <w:sz w:val="20"/>
          <w:szCs w:val="20"/>
          <w:color w:val="auto"/>
        </w:rPr>
      </w:pPr>
    </w:p>
    <w:p>
      <w:pPr>
        <w:ind w:left="400" w:hanging="297"/>
        <w:spacing w:after="0"/>
        <w:tabs>
          <w:tab w:leader="none" w:pos="4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200" w:lineRule="exact"/>
        <w:rPr>
          <w:rFonts w:ascii="Arial" w:cs="Arial" w:eastAsia="Arial" w:hAnsi="Arial"/>
          <w:sz w:val="22"/>
          <w:szCs w:val="22"/>
          <w:b w:val="1"/>
          <w:bCs w:val="1"/>
          <w:color w:val="auto"/>
        </w:rPr>
      </w:pPr>
    </w:p>
    <w:p>
      <w:pPr>
        <w:spacing w:after="0" w:line="201" w:lineRule="exact"/>
        <w:rPr>
          <w:rFonts w:ascii="Arial" w:cs="Arial" w:eastAsia="Arial" w:hAnsi="Arial"/>
          <w:sz w:val="22"/>
          <w:szCs w:val="22"/>
          <w:b w:val="1"/>
          <w:bCs w:val="1"/>
          <w:color w:val="auto"/>
        </w:rPr>
      </w:pPr>
    </w:p>
    <w:p>
      <w:pPr>
        <w:ind w:left="4260" w:right="6360" w:hanging="3617"/>
        <w:spacing w:after="0" w:line="506" w:lineRule="auto"/>
        <w:tabs>
          <w:tab w:leader="none" w:pos="899" w:val="left"/>
        </w:tabs>
        <w:numPr>
          <w:ilvl w:val="1"/>
          <w:numId w:val="6"/>
        </w:numPr>
        <w:rPr>
          <w:rFonts w:ascii="Arial" w:cs="Arial" w:eastAsia="Arial" w:hAnsi="Arial"/>
          <w:sz w:val="19"/>
          <w:szCs w:val="19"/>
          <w:color w:val="auto"/>
        </w:rPr>
      </w:pPr>
      <w:r>
        <w:rPr>
          <w:rFonts w:ascii="Arial" w:cs="Arial" w:eastAsia="Arial" w:hAnsi="Arial"/>
          <w:sz w:val="19"/>
          <w:szCs w:val="19"/>
          <w:color w:val="auto"/>
        </w:rPr>
        <w:t>sole power to vote or to direct the vote: 804,800</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960" w:hanging="317"/>
        <w:spacing w:after="0"/>
        <w:tabs>
          <w:tab w:leader="none" w:pos="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39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0</w:t>
      </w:r>
    </w:p>
    <w:p>
      <w:pPr>
        <w:spacing w:after="0" w:line="395" w:lineRule="exact"/>
        <w:rPr>
          <w:sz w:val="20"/>
          <w:szCs w:val="20"/>
          <w:color w:val="auto"/>
        </w:rPr>
      </w:pPr>
    </w:p>
    <w:p>
      <w:pPr>
        <w:ind w:left="4260" w:right="5820" w:hanging="3617"/>
        <w:spacing w:after="0" w:line="712" w:lineRule="auto"/>
        <w:tabs>
          <w:tab w:leader="none" w:pos="1019" w:val="left"/>
        </w:tabs>
        <w:numPr>
          <w:ilvl w:val="0"/>
          <w:numId w:val="7"/>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804,800</w:t>
      </w:r>
    </w:p>
    <w:p>
      <w:pPr>
        <w:ind w:left="1000" w:hanging="357"/>
        <w:spacing w:after="0"/>
        <w:tabs>
          <w:tab w:leader="none" w:pos="100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of:</w:t>
      </w:r>
    </w:p>
    <w:p>
      <w:pPr>
        <w:spacing w:after="0" w:line="395"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0</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State Street Research &amp; Management Company disclaims any beneficial interest in any of the foregoing securities.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u w:val="single" w:color="auto"/>
          <w:color w:val="auto"/>
        </w:rPr>
        <w:t>Ownership of Five Percent or Less of a Class.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u w:val="single" w:color="auto"/>
          <w:color w:val="auto"/>
        </w:rPr>
        <w:t>Ownership of More than Five Percent on Behalf of Another Person.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All foregoing shares are in fact owned by clients of State Street Research &amp; Management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80" w:right="120"/>
        <w:spacing w:after="0" w:line="256" w:lineRule="auto"/>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b w:val="1"/>
          <w:bCs w:val="1"/>
          <w:u w:val="single" w:color="auto"/>
          <w:color w:val="auto"/>
        </w:rPr>
        <w:t>Identification and Classification of the Subsidiary Which Acquired the Security Being Reported on By</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the Parent Holding Company</w:t>
      </w:r>
      <w:r>
        <w:rPr>
          <w:rFonts w:ascii="Arial" w:cs="Arial" w:eastAsia="Arial" w:hAnsi="Arial"/>
          <w:sz w:val="22"/>
          <w:szCs w:val="22"/>
          <w:b w:val="1"/>
          <w:bCs w:val="1"/>
          <w:color w:val="auto"/>
        </w:rPr>
        <w:t>.</w:t>
      </w:r>
    </w:p>
    <w:p>
      <w:pPr>
        <w:spacing w:after="0" w:line="169" w:lineRule="exact"/>
        <w:rPr>
          <w:sz w:val="20"/>
          <w:szCs w:val="20"/>
          <w:color w:val="auto"/>
        </w:rPr>
      </w:pPr>
    </w:p>
    <w:p>
      <w:pPr>
        <w:ind w:right="340"/>
        <w:spacing w:after="0" w:line="297" w:lineRule="auto"/>
        <w:rPr>
          <w:sz w:val="20"/>
          <w:szCs w:val="20"/>
          <w:color w:val="auto"/>
        </w:rPr>
      </w:pPr>
      <w:r>
        <w:rPr>
          <w:rFonts w:ascii="Arial" w:cs="Arial" w:eastAsia="Arial" w:hAnsi="Arial"/>
          <w:sz w:val="19"/>
          <w:szCs w:val="19"/>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b w:val="1"/>
          <w:bCs w:val="1"/>
          <w:u w:val="single" w:color="auto"/>
          <w:color w:val="auto"/>
        </w:rPr>
        <w:t>Identification and Classification of Members of the Group</w:t>
      </w:r>
      <w:r>
        <w:rPr>
          <w:rFonts w:ascii="Arial" w:cs="Arial" w:eastAsia="Arial" w:hAnsi="Arial"/>
          <w:sz w:val="22"/>
          <w:szCs w:val="22"/>
          <w:b w:val="1"/>
          <w:bCs w:val="1"/>
          <w:color w:val="auto"/>
        </w:rPr>
        <w:t>.</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22"/>
          <w:szCs w:val="22"/>
          <w:color w:val="auto"/>
        </w:rPr>
        <w:t>If a group has filed this schedule pursuant to Rule 13d-1(b)(ii)(H), so indicate under Item 3(b) and attach an exhibit stating the identity and Item 3 classification of each member of the group. If a group has filed this schedule pursuant to Rule 13d-1(c), attach an exhibit stating the identity of each member of the group.</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Inapplicable</w:t>
      </w:r>
    </w:p>
    <w:p>
      <w:pPr>
        <w:sectPr>
          <w:pgSz w:w="11900" w:h="16838" w:orient="portrait"/>
          <w:cols w:equalWidth="0" w:num="1">
            <w:col w:w="11320"/>
          </w:cols>
          <w:pgMar w:left="240" w:top="18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u w:val="single" w:color="auto"/>
          <w:color w:val="auto"/>
        </w:rPr>
        <w:t>Notice of Dissolution of Group</w:t>
      </w:r>
    </w:p>
    <w:p>
      <w:pPr>
        <w:sectPr>
          <w:pgSz w:w="11900" w:h="16838" w:orient="portrait"/>
          <w:cols w:equalWidth="0" w:num="1">
            <w:col w:w="11320"/>
          </w:cols>
          <w:pgMar w:left="240" w:top="186" w:right="339" w:bottom="0" w:gutter="0" w:footer="0" w:header="0"/>
          <w:type w:val="continuous"/>
        </w:sectPr>
      </w:pPr>
    </w:p>
    <w:bookmarkStart w:id="5" w:name="page6"/>
    <w:bookmarkEnd w:id="5"/>
    <w:p>
      <w:pPr>
        <w:ind w:left="100"/>
        <w:spacing w:after="0"/>
        <w:rPr>
          <w:sz w:val="20"/>
          <w:szCs w:val="20"/>
          <w:color w:val="auto"/>
        </w:rPr>
      </w:pPr>
      <w:r>
        <w:rPr>
          <w:rFonts w:ascii="Arial" w:cs="Arial" w:eastAsia="Arial" w:hAnsi="Arial"/>
          <w:sz w:val="22"/>
          <w:szCs w:val="22"/>
          <w:i w:val="1"/>
          <w:iCs w:val="1"/>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 xml:space="preserve">Item 10. </w:t>
      </w:r>
      <w:r>
        <w:rPr>
          <w:rFonts w:ascii="Arial" w:cs="Arial" w:eastAsia="Arial" w:hAnsi="Arial"/>
          <w:sz w:val="22"/>
          <w:szCs w:val="22"/>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34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Signature</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inquire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 February 14, 2003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Signature: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Name/Title: </w:t>
      </w:r>
      <w:r>
        <w:rPr>
          <w:rFonts w:ascii="Arial" w:cs="Arial" w:eastAsia="Arial" w:hAnsi="Arial"/>
          <w:sz w:val="22"/>
          <w:szCs w:val="22"/>
          <w:u w:val="single" w:color="auto"/>
          <w:color w:val="auto"/>
        </w:rPr>
        <w:t>Mary T. Lomasney</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Senior Vice President/Director of Compliance</w:t>
      </w:r>
    </w:p>
    <w:sectPr>
      <w:pgSz w:w="11900" w:h="16838" w:orient="portrait"/>
      <w:cols w:equalWidth="0" w:num="1">
        <w:col w:w="11340"/>
      </w:cols>
      <w:pgMar w:left="240" w:top="55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lowerLetter"/>
      <w:start w:val="1"/>
    </w:lvl>
    <w:lvl w:ilvl="1">
      <w:lvlJc w:val="left"/>
      <w:lvlText w:val="(%2)"/>
      <w:numFmt w:val="lowerLetter"/>
      <w:start w:val="6"/>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2019-12-14T02:35:43Z</dcterms:created>
  <dcterms:modified xsi:type="dcterms:W3CDTF">2019-12-14T02:35:43Z</dcterms:modified>
</cp:coreProperties>
</file>