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2001</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0-23486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jurisdiction of</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(State or other</w:t>
            </w:r>
          </w:p>
        </w:tc>
        <w:tc>
          <w:tcPr>
            <w:tcW w:w="2060" w:type="dxa"/>
            <w:vAlign w:val="bottom"/>
            <w:vMerge w:val="continue"/>
          </w:tcPr>
          <w:p>
            <w:pPr>
              <w:spacing w:after="0"/>
              <w:rPr>
                <w:sz w:val="17"/>
                <w:szCs w:val="17"/>
                <w:color w:val="auto"/>
              </w:rPr>
            </w:pPr>
          </w:p>
        </w:tc>
        <w:tc>
          <w:tcPr>
            <w:tcW w:w="27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incorporation or organization)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Waters Edge Drive</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Building C, Suite 12</w:t>
      </w:r>
    </w:p>
    <w:p>
      <w:pPr>
        <w:ind w:left="2740"/>
        <w:spacing w:after="0" w:line="238" w:lineRule="auto"/>
        <w:rPr>
          <w:sz w:val="20"/>
          <w:szCs w:val="20"/>
          <w:color w:val="auto"/>
        </w:rPr>
      </w:pPr>
      <w:r>
        <w:rPr>
          <w:rFonts w:ascii="Courier New" w:cs="Courier New" w:eastAsia="Courier New" w:hAnsi="Courier New"/>
          <w:sz w:val="18"/>
          <w:szCs w:val="18"/>
          <w:color w:val="auto"/>
        </w:rPr>
        <w:t>Johnson City, Tennessee 37604</w:t>
      </w: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90" w:lineRule="exact"/>
        <w:rPr>
          <w:sz w:val="24"/>
          <w:szCs w:val="24"/>
          <w:color w:val="auto"/>
        </w:rPr>
      </w:pPr>
    </w:p>
    <w:p>
      <w:pPr>
        <w:ind w:right="1879"/>
        <w:spacing w:after="0" w:line="257" w:lineRule="auto"/>
        <w:rPr>
          <w:sz w:val="20"/>
          <w:szCs w:val="20"/>
          <w:color w:val="auto"/>
        </w:rPr>
      </w:pPr>
      <w:r>
        <w:rPr>
          <w:rFonts w:ascii="Courier New" w:cs="Courier New" w:eastAsia="Courier New" w:hAnsi="Courier New"/>
          <w:sz w:val="18"/>
          <w:szCs w:val="18"/>
          <w:color w:val="auto"/>
        </w:rPr>
        <w:t>As of November 14, 2001 there were 15,296,672 shares of the registrant's common stock, par value $0.01 per share, outstanding.</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372" w:lineRule="exact"/>
        <w:rPr>
          <w:sz w:val="24"/>
          <w:szCs w:val="24"/>
          <w:color w:val="auto"/>
        </w:rPr>
      </w:pPr>
    </w:p>
    <w:p>
      <w:pPr>
        <w:ind w:left="8760"/>
        <w:spacing w:after="0"/>
        <w:rPr>
          <w:sz w:val="20"/>
          <w:szCs w:val="20"/>
          <w:color w:val="auto"/>
        </w:rPr>
      </w:pPr>
      <w:r>
        <w:rPr>
          <w:rFonts w:ascii="Courier New" w:cs="Courier New" w:eastAsia="Courier New" w:hAnsi="Courier New"/>
          <w:sz w:val="18"/>
          <w:szCs w:val="18"/>
          <w:color w:val="auto"/>
        </w:rPr>
        <w:t>PAGE NO.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9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Financial Statements:</w:t>
            </w:r>
          </w:p>
        </w:tc>
        <w:tc>
          <w:tcPr>
            <w:tcW w:w="5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of Income and Comprehensive Income for the three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822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and nine months ended September 30, 2001 and 2000</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Consolidated</w:t>
            </w:r>
          </w:p>
        </w:tc>
        <w:tc>
          <w:tcPr>
            <w:tcW w:w="6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Balance Sheets at September 30, 2001 and December 31, 2000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of Changes in Stockholders' Equity for the nine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822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months ended September 30, 2001 and 2000</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of Cash Flows for the nine months ended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822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September 30, 2001 and 2000</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82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Management's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Discussion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and Analysis of Financial</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Condition</w:t>
            </w:r>
          </w:p>
        </w:tc>
        <w:tc>
          <w:tcPr>
            <w:tcW w:w="6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Results of Operations</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Part II. Other Information</w:t>
            </w:r>
          </w:p>
        </w:tc>
        <w:tc>
          <w:tcPr>
            <w:tcW w:w="1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Exhibits and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Reports 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Form 8-K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32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b w:val="1"/>
          <w:bCs w:val="1"/>
          <w:color w:val="auto"/>
        </w:rPr>
        <w:t>PART I. FINANCIAL INFORMATION</w:t>
      </w:r>
    </w:p>
    <w:p>
      <w:pPr>
        <w:spacing w:after="0" w:line="201"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b w:val="1"/>
          <w:bCs w:val="1"/>
          <w:color w:val="auto"/>
        </w:rPr>
        <w:t>NN, Inc.</w:t>
      </w:r>
    </w:p>
    <w:p>
      <w:pPr>
        <w:spacing w:after="0" w:line="65"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b w:val="1"/>
          <w:bCs w:val="1"/>
          <w:color w:val="auto"/>
        </w:rPr>
        <w:t>Consolidated Statements of Income and Comprehensive Income</w:t>
      </w:r>
    </w:p>
    <w:p>
      <w:pPr>
        <w:jc w:val="center"/>
        <w:ind w:right="1800"/>
        <w:spacing w:after="0"/>
        <w:rPr>
          <w:sz w:val="20"/>
          <w:szCs w:val="20"/>
          <w:color w:val="auto"/>
        </w:rPr>
      </w:pPr>
      <w:r>
        <w:rPr>
          <w:rFonts w:ascii="Courier New" w:cs="Courier New" w:eastAsia="Courier New" w:hAnsi="Courier New"/>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 Except Per Share</w:t>
            </w:r>
          </w:p>
        </w:tc>
        <w:tc>
          <w:tcPr>
            <w:tcW w:w="2880" w:type="dxa"/>
            <w:vAlign w:val="bottom"/>
            <w:gridSpan w:val="2"/>
          </w:tcPr>
          <w:p>
            <w:pPr>
              <w:ind w:left="300"/>
              <w:spacing w:after="0"/>
              <w:rPr>
                <w:sz w:val="20"/>
                <w:szCs w:val="20"/>
                <w:color w:val="auto"/>
              </w:rPr>
            </w:pPr>
            <w:r>
              <w:rPr>
                <w:rFonts w:ascii="Courier New" w:cs="Courier New" w:eastAsia="Courier New" w:hAnsi="Courier New"/>
                <w:sz w:val="18"/>
                <w:szCs w:val="18"/>
                <w:b w:val="1"/>
                <w:bCs w:val="1"/>
                <w:color w:val="auto"/>
              </w:rPr>
              <w:t>Three Months Ended</w:t>
            </w:r>
          </w:p>
        </w:tc>
        <w:tc>
          <w:tcPr>
            <w:tcW w:w="1060" w:type="dxa"/>
            <w:vAlign w:val="bottom"/>
          </w:tcPr>
          <w:p>
            <w:pPr>
              <w:ind w:left="580"/>
              <w:spacing w:after="0"/>
              <w:rPr>
                <w:sz w:val="20"/>
                <w:szCs w:val="20"/>
                <w:color w:val="auto"/>
              </w:rPr>
            </w:pPr>
            <w:r>
              <w:rPr>
                <w:rFonts w:ascii="Courier New" w:cs="Courier New" w:eastAsia="Courier New" w:hAnsi="Courier New"/>
                <w:sz w:val="18"/>
                <w:szCs w:val="18"/>
                <w:b w:val="1"/>
                <w:bCs w:val="1"/>
                <w:color w:val="auto"/>
              </w:rPr>
              <w:t>Nine</w:t>
            </w:r>
          </w:p>
        </w:tc>
        <w:tc>
          <w:tcPr>
            <w:tcW w:w="7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Months</w:t>
            </w:r>
          </w:p>
        </w:tc>
        <w:tc>
          <w:tcPr>
            <w:tcW w:w="580" w:type="dxa"/>
            <w:vAlign w:val="bottom"/>
          </w:tcPr>
          <w:p>
            <w:pPr>
              <w:ind w:left="60"/>
              <w:spacing w:after="0"/>
              <w:rPr>
                <w:sz w:val="20"/>
                <w:szCs w:val="20"/>
                <w:color w:val="auto"/>
              </w:rPr>
            </w:pPr>
            <w:r>
              <w:rPr>
                <w:rFonts w:ascii="Courier New" w:cs="Courier New" w:eastAsia="Courier New" w:hAnsi="Courier New"/>
                <w:sz w:val="18"/>
                <w:szCs w:val="18"/>
                <w:b w:val="1"/>
                <w:bCs w:val="1"/>
                <w:color w:val="auto"/>
                <w:w w:val="92"/>
              </w:rPr>
              <w:t>Ended</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1880" w:type="dxa"/>
            <w:vAlign w:val="bottom"/>
          </w:tcPr>
          <w:p>
            <w:pPr>
              <w:ind w:left="520"/>
              <w:spacing w:after="0" w:line="203" w:lineRule="exact"/>
              <w:rPr>
                <w:sz w:val="20"/>
                <w:szCs w:val="20"/>
                <w:color w:val="auto"/>
              </w:rPr>
            </w:pPr>
            <w:r>
              <w:rPr>
                <w:rFonts w:ascii="Courier New" w:cs="Courier New" w:eastAsia="Courier New" w:hAnsi="Courier New"/>
                <w:sz w:val="18"/>
                <w:szCs w:val="18"/>
                <w:b w:val="1"/>
                <w:bCs w:val="1"/>
                <w:color w:val="auto"/>
                <w:w w:val="95"/>
              </w:rPr>
              <w:t>September 30,</w:t>
            </w:r>
          </w:p>
        </w:tc>
        <w:tc>
          <w:tcPr>
            <w:tcW w:w="1000" w:type="dxa"/>
            <w:vAlign w:val="bottom"/>
            <w:vMerge w:val="restart"/>
          </w:tcPr>
          <w:p>
            <w:pPr>
              <w:jc w:val="right"/>
              <w:ind w:right="492"/>
              <w:spacing w:after="0"/>
              <w:rPr>
                <w:sz w:val="20"/>
                <w:szCs w:val="20"/>
                <w:color w:val="auto"/>
              </w:rPr>
            </w:pPr>
            <w:r>
              <w:rPr>
                <w:rFonts w:ascii="Courier New" w:cs="Courier New" w:eastAsia="Courier New" w:hAnsi="Courier New"/>
                <w:sz w:val="18"/>
                <w:szCs w:val="18"/>
                <w:b w:val="1"/>
                <w:bCs w:val="1"/>
                <w:color w:val="auto"/>
                <w:w w:val="92"/>
              </w:rPr>
              <w:t>2000</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September</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b w:val="1"/>
                <w:bCs w:val="1"/>
                <w:color w:val="auto"/>
              </w:rPr>
              <w:t>30,</w:t>
            </w:r>
          </w:p>
        </w:tc>
        <w:tc>
          <w:tcPr>
            <w:tcW w:w="0" w:type="dxa"/>
            <w:vAlign w:val="bottom"/>
          </w:tcPr>
          <w:p>
            <w:pPr>
              <w:spacing w:after="0"/>
              <w:rPr>
                <w:sz w:val="1"/>
                <w:szCs w:val="1"/>
                <w:color w:val="auto"/>
              </w:rPr>
            </w:pPr>
          </w:p>
        </w:tc>
      </w:tr>
      <w:tr>
        <w:trPr>
          <w:trHeight w:val="259"/>
        </w:trPr>
        <w:tc>
          <w:tcPr>
            <w:tcW w:w="4440" w:type="dxa"/>
            <w:vAlign w:val="bottom"/>
          </w:tcPr>
          <w:p>
            <w:pPr>
              <w:spacing w:after="0"/>
              <w:rPr>
                <w:sz w:val="20"/>
                <w:szCs w:val="20"/>
                <w:color w:val="auto"/>
              </w:rPr>
            </w:pPr>
            <w:r>
              <w:rPr>
                <w:rFonts w:ascii="Courier New" w:cs="Courier New" w:eastAsia="Courier New" w:hAnsi="Courier New"/>
                <w:sz w:val="18"/>
                <w:szCs w:val="18"/>
                <w:b w:val="1"/>
                <w:bCs w:val="1"/>
                <w:color w:val="auto"/>
              </w:rPr>
              <w:t>Data</w:t>
            </w:r>
          </w:p>
        </w:tc>
        <w:tc>
          <w:tcPr>
            <w:tcW w:w="1880" w:type="dxa"/>
            <w:vAlign w:val="bottom"/>
          </w:tcPr>
          <w:p>
            <w:pPr>
              <w:ind w:left="300"/>
              <w:spacing w:after="0"/>
              <w:rPr>
                <w:sz w:val="20"/>
                <w:szCs w:val="20"/>
                <w:color w:val="auto"/>
              </w:rPr>
            </w:pPr>
            <w:r>
              <w:rPr>
                <w:rFonts w:ascii="Courier New" w:cs="Courier New" w:eastAsia="Courier New" w:hAnsi="Courier New"/>
                <w:sz w:val="18"/>
                <w:szCs w:val="18"/>
                <w:b w:val="1"/>
                <w:bCs w:val="1"/>
                <w:color w:val="auto"/>
              </w:rPr>
              <w:t>2001</w:t>
            </w:r>
          </w:p>
        </w:tc>
        <w:tc>
          <w:tcPr>
            <w:tcW w:w="1000" w:type="dxa"/>
            <w:vAlign w:val="bottom"/>
            <w:vMerge w:val="continue"/>
          </w:tcPr>
          <w:p>
            <w:pPr>
              <w:spacing w:after="0"/>
              <w:rPr>
                <w:sz w:val="22"/>
                <w:szCs w:val="22"/>
                <w:color w:val="auto"/>
              </w:rPr>
            </w:pPr>
          </w:p>
        </w:tc>
        <w:tc>
          <w:tcPr>
            <w:tcW w:w="1060" w:type="dxa"/>
            <w:vAlign w:val="bottom"/>
          </w:tcPr>
          <w:p>
            <w:pPr>
              <w:ind w:left="580"/>
              <w:spacing w:after="0"/>
              <w:rPr>
                <w:sz w:val="20"/>
                <w:szCs w:val="20"/>
                <w:color w:val="auto"/>
              </w:rPr>
            </w:pPr>
            <w:r>
              <w:rPr>
                <w:rFonts w:ascii="Courier New" w:cs="Courier New" w:eastAsia="Courier New" w:hAnsi="Courier New"/>
                <w:sz w:val="18"/>
                <w:szCs w:val="18"/>
                <w:b w:val="1"/>
                <w:bCs w:val="1"/>
                <w:color w:val="auto"/>
              </w:rPr>
              <w:t>2001</w:t>
            </w:r>
          </w:p>
        </w:tc>
        <w:tc>
          <w:tcPr>
            <w:tcW w:w="7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2000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line="192" w:lineRule="exact"/>
              <w:rPr>
                <w:sz w:val="20"/>
                <w:szCs w:val="20"/>
                <w:color w:val="auto"/>
              </w:rPr>
            </w:pPr>
            <w:r>
              <w:rPr>
                <w:rFonts w:ascii="Courier New" w:cs="Courier New" w:eastAsia="Courier New" w:hAnsi="Courier New"/>
                <w:sz w:val="18"/>
                <w:szCs w:val="18"/>
                <w:color w:val="auto"/>
              </w:rPr>
              <w:t>Net sales</w:t>
            </w:r>
          </w:p>
        </w:tc>
        <w:tc>
          <w:tcPr>
            <w:tcW w:w="2800" w:type="dxa"/>
            <w:vAlign w:val="bottom"/>
          </w:tcPr>
          <w:p>
            <w:pPr>
              <w:spacing w:after="0"/>
              <w:rPr>
                <w:sz w:val="16"/>
                <w:szCs w:val="16"/>
                <w:color w:val="auto"/>
              </w:rPr>
            </w:pPr>
          </w:p>
        </w:tc>
        <w:tc>
          <w:tcPr>
            <w:tcW w:w="1520" w:type="dxa"/>
            <w:vAlign w:val="bottom"/>
            <w:gridSpan w:val="2"/>
          </w:tcPr>
          <w:p>
            <w:pPr>
              <w:jc w:val="right"/>
              <w:ind w:right="232"/>
              <w:spacing w:after="0" w:line="192" w:lineRule="exact"/>
              <w:rPr>
                <w:sz w:val="20"/>
                <w:szCs w:val="20"/>
                <w:color w:val="auto"/>
              </w:rPr>
            </w:pPr>
            <w:r>
              <w:rPr>
                <w:rFonts w:ascii="Courier New" w:cs="Courier New" w:eastAsia="Courier New" w:hAnsi="Courier New"/>
                <w:sz w:val="18"/>
                <w:szCs w:val="18"/>
                <w:color w:val="auto"/>
              </w:rPr>
              <w:t>$ 42,576</w:t>
            </w:r>
          </w:p>
        </w:tc>
        <w:tc>
          <w:tcPr>
            <w:tcW w:w="1480" w:type="dxa"/>
            <w:vAlign w:val="bottom"/>
            <w:gridSpan w:val="2"/>
          </w:tcPr>
          <w:p>
            <w:pPr>
              <w:jc w:val="right"/>
              <w:ind w:right="232"/>
              <w:spacing w:after="0" w:line="192" w:lineRule="exact"/>
              <w:rPr>
                <w:sz w:val="20"/>
                <w:szCs w:val="20"/>
                <w:color w:val="auto"/>
              </w:rPr>
            </w:pPr>
            <w:r>
              <w:rPr>
                <w:rFonts w:ascii="Courier New" w:cs="Courier New" w:eastAsia="Courier New" w:hAnsi="Courier New"/>
                <w:sz w:val="18"/>
                <w:szCs w:val="18"/>
                <w:color w:val="auto"/>
              </w:rPr>
              <w:t>$ 37,075</w:t>
            </w:r>
          </w:p>
        </w:tc>
        <w:tc>
          <w:tcPr>
            <w:tcW w:w="1580" w:type="dxa"/>
            <w:vAlign w:val="bottom"/>
            <w:gridSpan w:val="2"/>
          </w:tcPr>
          <w:p>
            <w:pPr>
              <w:jc w:val="right"/>
              <w:ind w:right="132"/>
              <w:spacing w:after="0" w:line="192" w:lineRule="exact"/>
              <w:rPr>
                <w:sz w:val="20"/>
                <w:szCs w:val="20"/>
                <w:color w:val="auto"/>
              </w:rPr>
            </w:pPr>
            <w:r>
              <w:rPr>
                <w:rFonts w:ascii="Courier New" w:cs="Courier New" w:eastAsia="Courier New" w:hAnsi="Courier New"/>
                <w:sz w:val="18"/>
                <w:szCs w:val="18"/>
                <w:color w:val="auto"/>
              </w:rPr>
              <w:t>$ 140,153</w:t>
            </w:r>
          </w:p>
        </w:tc>
        <w:tc>
          <w:tcPr>
            <w:tcW w:w="1260" w:type="dxa"/>
            <w:vAlign w:val="bottom"/>
            <w:gridSpan w:val="2"/>
          </w:tcPr>
          <w:p>
            <w:pPr>
              <w:jc w:val="right"/>
              <w:ind w:right="12"/>
              <w:spacing w:after="0" w:line="192" w:lineRule="exact"/>
              <w:rPr>
                <w:sz w:val="20"/>
                <w:szCs w:val="20"/>
                <w:color w:val="auto"/>
              </w:rPr>
            </w:pPr>
            <w:r>
              <w:rPr>
                <w:rFonts w:ascii="Courier New" w:cs="Courier New" w:eastAsia="Courier New" w:hAnsi="Courier New"/>
                <w:sz w:val="18"/>
                <w:szCs w:val="18"/>
                <w:color w:val="auto"/>
              </w:rPr>
              <w:t>$ 90,720</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32,889</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26,103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106,393</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64,415</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5"/>
              </w:rPr>
              <w:t>Gross profit</w:t>
            </w:r>
          </w:p>
        </w:tc>
        <w:tc>
          <w:tcPr>
            <w:tcW w:w="280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9,687</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10,972</w:t>
            </w:r>
          </w:p>
        </w:tc>
        <w:tc>
          <w:tcPr>
            <w:tcW w:w="74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33,760</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26,305</w:t>
            </w:r>
          </w:p>
        </w:tc>
        <w:tc>
          <w:tcPr>
            <w:tcW w:w="0" w:type="dxa"/>
            <w:vAlign w:val="bottom"/>
          </w:tcPr>
          <w:p>
            <w:pPr>
              <w:spacing w:after="0"/>
              <w:rPr>
                <w:sz w:val="1"/>
                <w:szCs w:val="1"/>
                <w:color w:val="auto"/>
              </w:rPr>
            </w:pPr>
          </w:p>
        </w:tc>
      </w:tr>
      <w:tr>
        <w:trPr>
          <w:trHeight w:val="311"/>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4,147</w:t>
            </w:r>
          </w:p>
        </w:tc>
        <w:tc>
          <w:tcPr>
            <w:tcW w:w="6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3,236</w:t>
            </w:r>
          </w:p>
        </w:tc>
        <w:tc>
          <w:tcPr>
            <w:tcW w:w="74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12,047</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8,017</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3,474</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2,535</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10,170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6,103</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1,316</w:t>
            </w:r>
          </w:p>
        </w:tc>
        <w:tc>
          <w:tcPr>
            <w:tcW w:w="6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5,201</w:t>
            </w:r>
          </w:p>
        </w:tc>
        <w:tc>
          <w:tcPr>
            <w:tcW w:w="74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10,793</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12,185</w:t>
            </w:r>
          </w:p>
        </w:tc>
        <w:tc>
          <w:tcPr>
            <w:tcW w:w="0" w:type="dxa"/>
            <w:vAlign w:val="bottom"/>
          </w:tcPr>
          <w:p>
            <w:pPr>
              <w:spacing w:after="0"/>
              <w:rPr>
                <w:sz w:val="1"/>
                <w:szCs w:val="1"/>
                <w:color w:val="auto"/>
              </w:rPr>
            </w:pPr>
          </w:p>
        </w:tc>
      </w:tr>
      <w:tr>
        <w:trPr>
          <w:trHeight w:val="311"/>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Interest expense, net</w:t>
            </w: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920</w:t>
            </w:r>
          </w:p>
        </w:tc>
        <w:tc>
          <w:tcPr>
            <w:tcW w:w="6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651</w:t>
            </w:r>
          </w:p>
        </w:tc>
        <w:tc>
          <w:tcPr>
            <w:tcW w:w="74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3,214</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1,209</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Equity in (earnings) loss of</w:t>
            </w:r>
          </w:p>
        </w:tc>
        <w:tc>
          <w:tcPr>
            <w:tcW w:w="580" w:type="dxa"/>
            <w:vAlign w:val="bottom"/>
          </w:tcPr>
          <w:p>
            <w:pPr>
              <w:spacing w:after="0"/>
              <w:rPr>
                <w:sz w:val="17"/>
                <w:szCs w:val="17"/>
                <w:color w:val="auto"/>
              </w:rPr>
            </w:pP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(39)</w:t>
            </w:r>
          </w:p>
        </w:tc>
        <w:tc>
          <w:tcPr>
            <w:tcW w:w="74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(13)</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(105)</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unconsolidated affiliates</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(gain) loss on involuntary</w:t>
            </w:r>
          </w:p>
        </w:tc>
        <w:tc>
          <w:tcPr>
            <w:tcW w:w="580" w:type="dxa"/>
            <w:vAlign w:val="bottom"/>
          </w:tcPr>
          <w:p>
            <w:pPr>
              <w:spacing w:after="0"/>
              <w:rPr>
                <w:sz w:val="17"/>
                <w:szCs w:val="17"/>
                <w:color w:val="auto"/>
              </w:rPr>
            </w:pP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(1,359)</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(3,901)</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w:t>
            </w:r>
          </w:p>
        </w:tc>
        <w:tc>
          <w:tcPr>
            <w:tcW w:w="2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8"/>
              </w:rPr>
              <w:t>Income before provision for income taxes</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1,727</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4,589</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11,954</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11,056</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1,722</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4,879</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3,837</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Minority interest of consolidated</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w:t>
            </w:r>
          </w:p>
        </w:tc>
        <w:tc>
          <w:tcPr>
            <w:tcW w:w="6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424</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28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580" w:type="dxa"/>
            <w:vAlign w:val="bottom"/>
          </w:tcPr>
          <w:p>
            <w:pPr>
              <w:spacing w:after="0"/>
              <w:rPr>
                <w:sz w:val="17"/>
                <w:szCs w:val="17"/>
                <w:color w:val="auto"/>
              </w:rPr>
            </w:pP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744</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2"/>
              </w:rPr>
              <w:t>2,443</w:t>
            </w:r>
          </w:p>
        </w:tc>
        <w:tc>
          <w:tcPr>
            <w:tcW w:w="74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5,796</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6,795</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w:t>
            </w:r>
          </w:p>
        </w:tc>
        <w:tc>
          <w:tcPr>
            <w:tcW w:w="2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principle, net of income</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tax benefit of $112 and related minority</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98</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impact of $84</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6"/>
              </w:rPr>
              <w:t>Net income</w:t>
            </w:r>
          </w:p>
        </w:tc>
        <w:tc>
          <w:tcPr>
            <w:tcW w:w="280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744</w:t>
            </w:r>
          </w:p>
        </w:tc>
        <w:tc>
          <w:tcPr>
            <w:tcW w:w="6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2,443</w:t>
            </w:r>
          </w:p>
        </w:tc>
        <w:tc>
          <w:tcPr>
            <w:tcW w:w="74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5,698</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6,795</w:t>
            </w:r>
          </w:p>
        </w:tc>
        <w:tc>
          <w:tcPr>
            <w:tcW w:w="0" w:type="dxa"/>
            <w:vAlign w:val="bottom"/>
          </w:tcPr>
          <w:p>
            <w:pPr>
              <w:spacing w:after="0"/>
              <w:rPr>
                <w:sz w:val="1"/>
                <w:szCs w:val="1"/>
                <w:color w:val="auto"/>
              </w:rPr>
            </w:pPr>
          </w:p>
        </w:tc>
      </w:tr>
      <w:tr>
        <w:trPr>
          <w:trHeight w:val="311"/>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Other comprehensive income (loss):</w:t>
            </w:r>
          </w:p>
        </w:tc>
        <w:tc>
          <w:tcPr>
            <w:tcW w:w="580" w:type="dxa"/>
            <w:vAlign w:val="bottom"/>
          </w:tcPr>
          <w:p>
            <w:pPr>
              <w:spacing w:after="0"/>
              <w:rPr>
                <w:sz w:val="24"/>
                <w:szCs w:val="24"/>
                <w:color w:val="auto"/>
              </w:rPr>
            </w:pP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306</w:t>
            </w:r>
          </w:p>
        </w:tc>
        <w:tc>
          <w:tcPr>
            <w:tcW w:w="148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(2,058)</w:t>
            </w:r>
          </w:p>
        </w:tc>
        <w:tc>
          <w:tcPr>
            <w:tcW w:w="15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(2,875)</w:t>
            </w: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(2,480)</w:t>
            </w:r>
          </w:p>
        </w:tc>
        <w:tc>
          <w:tcPr>
            <w:tcW w:w="0" w:type="dxa"/>
            <w:vAlign w:val="bottom"/>
          </w:tcPr>
          <w:p>
            <w:pPr>
              <w:spacing w:after="0"/>
              <w:rPr>
                <w:sz w:val="1"/>
                <w:szCs w:val="1"/>
                <w:color w:val="auto"/>
              </w:rPr>
            </w:pPr>
          </w:p>
        </w:tc>
      </w:tr>
      <w:tr>
        <w:trPr>
          <w:trHeight w:val="203"/>
        </w:trPr>
        <w:tc>
          <w:tcPr>
            <w:tcW w:w="4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vMerge w:val="restart"/>
          </w:tcPr>
          <w:p>
            <w:pPr>
              <w:jc w:val="right"/>
              <w:ind w:right="1552"/>
              <w:spacing w:after="0"/>
              <w:rPr>
                <w:sz w:val="20"/>
                <w:szCs w:val="20"/>
                <w:color w:val="auto"/>
              </w:rPr>
            </w:pPr>
            <w:r>
              <w:rPr>
                <w:rFonts w:ascii="Courier New" w:cs="Courier New" w:eastAsia="Courier New" w:hAnsi="Courier New"/>
                <w:sz w:val="18"/>
                <w:szCs w:val="18"/>
                <w:color w:val="auto"/>
              </w:rPr>
              <w:t>Comprehensive income</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continue"/>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$ 1,050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2,823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$ 4,315</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Basic income per common share:</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0.05</w:t>
            </w:r>
          </w:p>
        </w:tc>
        <w:tc>
          <w:tcPr>
            <w:tcW w:w="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0.16</w:t>
            </w:r>
          </w:p>
        </w:tc>
        <w:tc>
          <w:tcPr>
            <w:tcW w:w="740" w:type="dxa"/>
            <w:vAlign w:val="bottom"/>
            <w:vMerge w:val="restart"/>
          </w:tcPr>
          <w:p>
            <w:pPr>
              <w:ind w:left="62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0.38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0.45</w:t>
            </w:r>
          </w:p>
        </w:tc>
        <w:tc>
          <w:tcPr>
            <w:tcW w:w="0" w:type="dxa"/>
            <w:vAlign w:val="bottom"/>
          </w:tcPr>
          <w:p>
            <w:pPr>
              <w:spacing w:after="0"/>
              <w:rPr>
                <w:sz w:val="1"/>
                <w:szCs w:val="1"/>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580" w:type="dxa"/>
            <w:vAlign w:val="bottom"/>
          </w:tcPr>
          <w:p>
            <w:pPr>
              <w:spacing w:after="0"/>
              <w:rPr>
                <w:sz w:val="17"/>
                <w:szCs w:val="17"/>
                <w:color w:val="auto"/>
              </w:rPr>
            </w:pP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(0.01)</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280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0.16</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0.45</w:t>
            </w:r>
          </w:p>
        </w:tc>
        <w:tc>
          <w:tcPr>
            <w:tcW w:w="0" w:type="dxa"/>
            <w:vAlign w:val="bottom"/>
          </w:tcPr>
          <w:p>
            <w:pPr>
              <w:spacing w:after="0"/>
              <w:rPr>
                <w:sz w:val="1"/>
                <w:szCs w:val="1"/>
                <w:color w:val="auto"/>
              </w:rPr>
            </w:pPr>
          </w:p>
        </w:tc>
      </w:tr>
      <w:tr>
        <w:trPr>
          <w:trHeight w:val="203"/>
        </w:trPr>
        <w:tc>
          <w:tcPr>
            <w:tcW w:w="4280" w:type="dxa"/>
            <w:vAlign w:val="bottom"/>
            <w:gridSpan w:val="2"/>
            <w:vMerge w:val="restart"/>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15,286</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15,245</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15,253</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15,245</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Income before cumulative effect of</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0.05</w:t>
            </w:r>
          </w:p>
        </w:tc>
        <w:tc>
          <w:tcPr>
            <w:tcW w:w="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0.16</w:t>
            </w:r>
          </w:p>
        </w:tc>
        <w:tc>
          <w:tcPr>
            <w:tcW w:w="740" w:type="dxa"/>
            <w:vAlign w:val="bottom"/>
            <w:vMerge w:val="restart"/>
          </w:tcPr>
          <w:p>
            <w:pPr>
              <w:ind w:left="62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0.37</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0.44</w:t>
            </w:r>
          </w:p>
        </w:tc>
        <w:tc>
          <w:tcPr>
            <w:tcW w:w="0" w:type="dxa"/>
            <w:vAlign w:val="bottom"/>
          </w:tcPr>
          <w:p>
            <w:pPr>
              <w:spacing w:after="0"/>
              <w:rPr>
                <w:sz w:val="1"/>
                <w:szCs w:val="1"/>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580" w:type="dxa"/>
            <w:vAlign w:val="bottom"/>
          </w:tcPr>
          <w:p>
            <w:pPr>
              <w:spacing w:after="0"/>
              <w:rPr>
                <w:sz w:val="17"/>
                <w:szCs w:val="17"/>
                <w:color w:val="auto"/>
              </w:rPr>
            </w:pP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(0.01)</w:t>
            </w:r>
          </w:p>
        </w:tc>
        <w:tc>
          <w:tcPr>
            <w:tcW w:w="52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accounting</w:t>
            </w:r>
          </w:p>
        </w:tc>
        <w:tc>
          <w:tcPr>
            <w:tcW w:w="280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principle</w:t>
            </w:r>
          </w:p>
        </w:tc>
        <w:tc>
          <w:tcPr>
            <w:tcW w:w="5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280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0.16</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0.44</w:t>
            </w:r>
          </w:p>
        </w:tc>
        <w:tc>
          <w:tcPr>
            <w:tcW w:w="0" w:type="dxa"/>
            <w:vAlign w:val="bottom"/>
          </w:tcPr>
          <w:p>
            <w:pPr>
              <w:spacing w:after="0"/>
              <w:rPr>
                <w:sz w:val="1"/>
                <w:szCs w:val="1"/>
                <w:color w:val="auto"/>
              </w:rPr>
            </w:pPr>
          </w:p>
        </w:tc>
      </w:tr>
      <w:tr>
        <w:trPr>
          <w:trHeight w:val="203"/>
        </w:trPr>
        <w:tc>
          <w:tcPr>
            <w:tcW w:w="4280" w:type="dxa"/>
            <w:vAlign w:val="bottom"/>
            <w:gridSpan w:val="2"/>
            <w:vMerge w:val="restart"/>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15,584</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15,424</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15,505</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15,433</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340"/>
          </w:cols>
          <w:pgMar w:left="240" w:top="312" w:right="1319" w:bottom="0" w:gutter="0" w:footer="0" w:header="0"/>
        </w:sectPr>
      </w:pPr>
    </w:p>
    <w:bookmarkStart w:id="2" w:name="page3"/>
    <w:bookmarkEnd w:id="2"/>
    <w:p>
      <w:pPr>
        <w:spacing w:after="0" w:line="1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540" w:type="dxa"/>
            <w:vAlign w:val="bottom"/>
          </w:tcPr>
          <w:p>
            <w:pPr>
              <w:spacing w:after="0"/>
              <w:rPr>
                <w:sz w:val="24"/>
                <w:szCs w:val="24"/>
                <w:color w:val="auto"/>
              </w:rPr>
            </w:pPr>
          </w:p>
        </w:tc>
        <w:tc>
          <w:tcPr>
            <w:tcW w:w="6000" w:type="dxa"/>
            <w:vAlign w:val="bottom"/>
          </w:tcPr>
          <w:p>
            <w:pPr>
              <w:jc w:val="right"/>
              <w:ind w:right="2752"/>
              <w:spacing w:after="0"/>
              <w:rPr>
                <w:sz w:val="20"/>
                <w:szCs w:val="20"/>
                <w:color w:val="auto"/>
              </w:rPr>
            </w:pPr>
            <w:r>
              <w:rPr>
                <w:rFonts w:ascii="Courier New" w:cs="Courier New" w:eastAsia="Courier New" w:hAnsi="Courier New"/>
                <w:sz w:val="18"/>
                <w:szCs w:val="18"/>
                <w:b w:val="1"/>
                <w:bCs w:val="1"/>
                <w:color w:val="auto"/>
              </w:rPr>
              <w:t>Consolidated Balance Sheets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540" w:type="dxa"/>
            <w:vAlign w:val="bottom"/>
          </w:tcPr>
          <w:p>
            <w:pPr>
              <w:spacing w:after="0"/>
              <w:rPr>
                <w:sz w:val="24"/>
                <w:szCs w:val="24"/>
                <w:color w:val="auto"/>
              </w:rPr>
            </w:pPr>
          </w:p>
        </w:tc>
        <w:tc>
          <w:tcPr>
            <w:tcW w:w="6000" w:type="dxa"/>
            <w:vAlign w:val="bottom"/>
          </w:tcPr>
          <w:p>
            <w:pPr>
              <w:jc w:val="right"/>
              <w:ind w:right="652"/>
              <w:spacing w:after="0"/>
              <w:rPr>
                <w:sz w:val="20"/>
                <w:szCs w:val="20"/>
                <w:color w:val="auto"/>
              </w:rPr>
            </w:pPr>
            <w:r>
              <w:rPr>
                <w:rFonts w:ascii="Courier New" w:cs="Courier New" w:eastAsia="Courier New" w:hAnsi="Courier New"/>
                <w:sz w:val="18"/>
                <w:szCs w:val="18"/>
                <w:b w:val="1"/>
                <w:bCs w:val="1"/>
                <w:color w:val="auto"/>
              </w:rPr>
              <w:t>September 30,</w:t>
            </w:r>
          </w:p>
        </w:tc>
        <w:tc>
          <w:tcPr>
            <w:tcW w:w="138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254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6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b w:val="1"/>
                <w:bCs w:val="1"/>
                <w:color w:val="auto"/>
              </w:rPr>
              <w:t>2000</w:t>
            </w:r>
          </w:p>
        </w:tc>
        <w:tc>
          <w:tcPr>
            <w:tcW w:w="0" w:type="dxa"/>
            <w:vAlign w:val="bottom"/>
          </w:tcPr>
          <w:p>
            <w:pPr>
              <w:spacing w:after="0"/>
              <w:rPr>
                <w:sz w:val="1"/>
                <w:szCs w:val="1"/>
                <w:color w:val="auto"/>
              </w:rPr>
            </w:pPr>
          </w:p>
        </w:tc>
      </w:tr>
      <w:tr>
        <w:trPr>
          <w:trHeight w:val="259"/>
        </w:trPr>
        <w:tc>
          <w:tcPr>
            <w:tcW w:w="2540" w:type="dxa"/>
            <w:vAlign w:val="bottom"/>
            <w:vMerge w:val="continue"/>
          </w:tcPr>
          <w:p>
            <w:pPr>
              <w:spacing w:after="0"/>
              <w:rPr>
                <w:sz w:val="22"/>
                <w:szCs w:val="22"/>
                <w:color w:val="auto"/>
              </w:rPr>
            </w:pPr>
          </w:p>
        </w:tc>
        <w:tc>
          <w:tcPr>
            <w:tcW w:w="6000" w:type="dxa"/>
            <w:vAlign w:val="bottom"/>
          </w:tcPr>
          <w:p>
            <w:pPr>
              <w:jc w:val="right"/>
              <w:ind w:right="12"/>
              <w:spacing w:after="0"/>
              <w:rPr>
                <w:sz w:val="20"/>
                <w:szCs w:val="20"/>
                <w:color w:val="auto"/>
              </w:rPr>
            </w:pPr>
            <w:r>
              <w:rPr>
                <w:rFonts w:ascii="Courier New" w:cs="Courier New" w:eastAsia="Courier New" w:hAnsi="Courier New"/>
                <w:sz w:val="18"/>
                <w:szCs w:val="18"/>
                <w:b w:val="1"/>
                <w:bCs w:val="1"/>
                <w:color w:val="auto"/>
              </w:rPr>
              <w:t>(Unaudited)</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1"/>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Assets</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Current assets:</w:t>
      </w:r>
    </w:p>
    <w:tbl>
      <w:tblPr>
        <w:tblLayout w:type="fixed"/>
        <w:tblInd w:w="0" w:type="dxa"/>
        <w:tblCellMar>
          <w:top w:w="0" w:type="dxa"/>
          <w:left w:w="0" w:type="dxa"/>
          <w:bottom w:w="0" w:type="dxa"/>
          <w:right w:w="0" w:type="dxa"/>
        </w:tblCellMar>
      </w:tblPr>
      <w:tr>
        <w:trPr>
          <w:trHeight w:val="171"/>
        </w:trPr>
        <w:tc>
          <w:tcPr>
            <w:tcW w:w="560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Cash and cash equivalents</w:t>
            </w:r>
          </w:p>
        </w:tc>
        <w:tc>
          <w:tcPr>
            <w:tcW w:w="210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  7,705</w:t>
            </w:r>
          </w:p>
        </w:tc>
        <w:tc>
          <w:tcPr>
            <w:tcW w:w="14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  8,273</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30,837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29,549</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23,742</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1,512</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current deferred tax asset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962</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00" w:type="dxa"/>
            <w:vAlign w:val="bottom"/>
            <w:vMerge w:val="continue"/>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65,857</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64,038</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88,039</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91,693</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42,241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27,865</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5,468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4,212</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assets</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$ 201,605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$ 187,808</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$ 14,563</w:t>
            </w:r>
          </w:p>
        </w:tc>
        <w:tc>
          <w:tcPr>
            <w:tcW w:w="1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$ 17,337</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&amp; wages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4,326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6,929</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1,341</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1,762</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notes payable</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portion of long-term notes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12,016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6,490</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00" w:type="dxa"/>
            <w:vAlign w:val="bottom"/>
            <w:vMerge w:val="continue"/>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43,516</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35,859</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30,763</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30,257</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57,215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50,515</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4,932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5,353</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00" w:type="dxa"/>
            <w:vAlign w:val="bottom"/>
            <w:vMerge w:val="continue"/>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136,955</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122,562</w:t>
            </w:r>
          </w:p>
        </w:tc>
        <w:tc>
          <w:tcPr>
            <w:tcW w:w="0" w:type="dxa"/>
            <w:vAlign w:val="bottom"/>
          </w:tcPr>
          <w:p>
            <w:pPr>
              <w:spacing w:after="0"/>
              <w:rPr>
                <w:sz w:val="1"/>
                <w:szCs w:val="1"/>
                <w:color w:val="auto"/>
              </w:rPr>
            </w:pPr>
          </w:p>
        </w:tc>
      </w:tr>
      <w:tr>
        <w:trPr>
          <w:trHeight w:val="311"/>
        </w:trPr>
        <w:tc>
          <w:tcPr>
            <w:tcW w:w="5600" w:type="dxa"/>
            <w:vAlign w:val="bottom"/>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64,650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65,246</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$201,605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$187,808</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b w:val="1"/>
          <w:bCs w:val="1"/>
          <w:color w:val="auto"/>
        </w:rPr>
        <w:t>NN, Inc.</w:t>
      </w:r>
    </w:p>
    <w:p>
      <w:pPr>
        <w:spacing w:after="0" w:line="65"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b w:val="1"/>
          <w:bCs w:val="1"/>
          <w:color w:val="auto"/>
        </w:rPr>
        <w:t>Consolidated Statements of Changes in Stockholders' Equity</w:t>
      </w:r>
    </w:p>
    <w:tbl>
      <w:tblPr>
        <w:tblLayout w:type="fixed"/>
        <w:tblInd w:w="0" w:type="dxa"/>
        <w:tblCellMar>
          <w:top w:w="0" w:type="dxa"/>
          <w:left w:w="0" w:type="dxa"/>
          <w:bottom w:w="0" w:type="dxa"/>
          <w:right w:w="0" w:type="dxa"/>
        </w:tblCellMar>
      </w:tblPr>
      <w:tr>
        <w:trPr>
          <w:trHeight w:val="337"/>
        </w:trPr>
        <w:tc>
          <w:tcPr>
            <w:tcW w:w="290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8"/>
                <w:szCs w:val="18"/>
                <w:b w:val="1"/>
                <w:bCs w:val="1"/>
                <w:color w:val="auto"/>
              </w:rPr>
              <w:t>(Unaudited)</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40" w:type="dxa"/>
            <w:vAlign w:val="bottom"/>
            <w:gridSpan w:val="2"/>
            <w:vMerge w:val="restart"/>
          </w:tcPr>
          <w:p>
            <w:pPr>
              <w:ind w:left="1220"/>
              <w:spacing w:after="0"/>
              <w:rPr>
                <w:sz w:val="20"/>
                <w:szCs w:val="20"/>
                <w:color w:val="auto"/>
              </w:rPr>
            </w:pPr>
            <w:r>
              <w:rPr>
                <w:rFonts w:ascii="Courier New" w:cs="Courier New" w:eastAsia="Courier New" w:hAnsi="Courier New"/>
                <w:sz w:val="18"/>
                <w:szCs w:val="18"/>
                <w:b w:val="1"/>
                <w:bCs w:val="1"/>
                <w:color w:val="auto"/>
              </w:rPr>
              <w:t>Common stock</w:t>
            </w:r>
          </w:p>
        </w:tc>
        <w:tc>
          <w:tcPr>
            <w:tcW w:w="1320" w:type="dxa"/>
            <w:vAlign w:val="bottom"/>
            <w:vMerge w:val="restart"/>
          </w:tcPr>
          <w:p>
            <w:pPr>
              <w:ind w:left="160"/>
              <w:spacing w:after="0"/>
              <w:rPr>
                <w:sz w:val="20"/>
                <w:szCs w:val="20"/>
                <w:color w:val="auto"/>
              </w:rPr>
            </w:pPr>
            <w:r>
              <w:rPr>
                <w:rFonts w:ascii="Courier New" w:cs="Courier New" w:eastAsia="Courier New" w:hAnsi="Courier New"/>
                <w:sz w:val="18"/>
                <w:szCs w:val="18"/>
                <w:b w:val="1"/>
                <w:bCs w:val="1"/>
                <w:color w:val="auto"/>
              </w:rPr>
              <w:t>Additional</w:t>
            </w:r>
          </w:p>
        </w:tc>
        <w:tc>
          <w:tcPr>
            <w:tcW w:w="1160" w:type="dxa"/>
            <w:vAlign w:val="bottom"/>
          </w:tcPr>
          <w:p>
            <w:pPr>
              <w:spacing w:after="0"/>
              <w:rPr>
                <w:sz w:val="18"/>
                <w:szCs w:val="18"/>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b w:val="1"/>
                <w:bCs w:val="1"/>
                <w:color w:val="auto"/>
              </w:rPr>
              <w:t>Accumulated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0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284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vMerge w:val="restart"/>
          </w:tcPr>
          <w:p>
            <w:pPr>
              <w:ind w:left="120"/>
              <w:spacing w:after="0"/>
              <w:rPr>
                <w:sz w:val="20"/>
                <w:szCs w:val="20"/>
                <w:color w:val="auto"/>
              </w:rPr>
            </w:pPr>
            <w:r>
              <w:rPr>
                <w:rFonts w:ascii="Courier New" w:cs="Courier New" w:eastAsia="Courier New" w:hAnsi="Courier New"/>
                <w:sz w:val="18"/>
                <w:szCs w:val="18"/>
                <w:b w:val="1"/>
                <w:bCs w:val="1"/>
                <w:color w:val="auto"/>
              </w:rPr>
              <w:t>Retained</w:t>
            </w:r>
          </w:p>
        </w:tc>
        <w:tc>
          <w:tcPr>
            <w:tcW w:w="1740" w:type="dxa"/>
            <w:vAlign w:val="bottom"/>
          </w:tcPr>
          <w:p>
            <w:pPr>
              <w:ind w:left="540"/>
              <w:spacing w:after="0" w:line="203" w:lineRule="exact"/>
              <w:rPr>
                <w:sz w:val="20"/>
                <w:szCs w:val="20"/>
                <w:color w:val="auto"/>
              </w:rPr>
            </w:pPr>
            <w:r>
              <w:rPr>
                <w:rFonts w:ascii="Courier New" w:cs="Courier New" w:eastAsia="Courier New" w:hAnsi="Courier New"/>
                <w:sz w:val="18"/>
                <w:szCs w:val="18"/>
                <w:b w:val="1"/>
                <w:bCs w:val="1"/>
                <w:color w:val="auto"/>
              </w:rPr>
              <w:t>other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b w:val="1"/>
                <w:bCs w:val="1"/>
                <w:color w:val="auto"/>
              </w:rPr>
              <w:t>Number</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b w:val="1"/>
                <w:bCs w:val="1"/>
                <w:color w:val="auto"/>
                <w:w w:val="98"/>
              </w:rPr>
              <w:t>Par</w:t>
            </w: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b w:val="1"/>
                <w:bCs w:val="1"/>
                <w:color w:val="auto"/>
              </w:rPr>
              <w:t>paid in</w:t>
            </w:r>
          </w:p>
        </w:tc>
        <w:tc>
          <w:tcPr>
            <w:tcW w:w="1160" w:type="dxa"/>
            <w:vAlign w:val="bottom"/>
            <w:vMerge w:val="continue"/>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b w:val="1"/>
                <w:bCs w:val="1"/>
                <w:color w:val="auto"/>
              </w:rPr>
              <w:t>comprehensive</w:t>
            </w:r>
          </w:p>
        </w:tc>
        <w:tc>
          <w:tcPr>
            <w:tcW w:w="680" w:type="dxa"/>
            <w:vAlign w:val="bottom"/>
            <w:vMerge w:val="restart"/>
          </w:tcPr>
          <w:p>
            <w:pPr>
              <w:ind w:left="160"/>
              <w:spacing w:after="0"/>
              <w:rPr>
                <w:sz w:val="20"/>
                <w:szCs w:val="20"/>
                <w:color w:val="auto"/>
              </w:rPr>
            </w:pPr>
            <w:r>
              <w:rPr>
                <w:rFonts w:ascii="Courier New" w:cs="Courier New" w:eastAsia="Courier New" w:hAnsi="Courier New"/>
                <w:sz w:val="18"/>
                <w:szCs w:val="18"/>
                <w:b w:val="1"/>
                <w:bCs w:val="1"/>
                <w:color w:val="auto"/>
                <w:w w:val="92"/>
              </w:rPr>
              <w:t>Total</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2"/>
                <w:szCs w:val="22"/>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8"/>
                <w:szCs w:val="18"/>
                <w:b w:val="1"/>
                <w:bCs w:val="1"/>
                <w:color w:val="auto"/>
              </w:rPr>
              <w:t>Of shares</w:t>
            </w:r>
          </w:p>
        </w:tc>
        <w:tc>
          <w:tcPr>
            <w:tcW w:w="780" w:type="dxa"/>
            <w:vAlign w:val="bottom"/>
          </w:tcPr>
          <w:p>
            <w:pPr>
              <w:jc w:val="center"/>
              <w:spacing w:after="0"/>
              <w:rPr>
                <w:sz w:val="20"/>
                <w:szCs w:val="20"/>
                <w:color w:val="auto"/>
              </w:rPr>
            </w:pPr>
            <w:r>
              <w:rPr>
                <w:rFonts w:ascii="Courier New" w:cs="Courier New" w:eastAsia="Courier New" w:hAnsi="Courier New"/>
                <w:sz w:val="18"/>
                <w:szCs w:val="18"/>
                <w:b w:val="1"/>
                <w:bCs w:val="1"/>
                <w:color w:val="auto"/>
                <w:w w:val="99"/>
              </w:rPr>
              <w:t>value</w:t>
            </w:r>
          </w:p>
        </w:tc>
        <w:tc>
          <w:tcPr>
            <w:tcW w:w="1320" w:type="dxa"/>
            <w:vAlign w:val="bottom"/>
          </w:tcPr>
          <w:p>
            <w:pPr>
              <w:ind w:left="380"/>
              <w:spacing w:after="0"/>
              <w:rPr>
                <w:sz w:val="20"/>
                <w:szCs w:val="20"/>
                <w:color w:val="auto"/>
              </w:rPr>
            </w:pPr>
            <w:r>
              <w:rPr>
                <w:rFonts w:ascii="Courier New" w:cs="Courier New" w:eastAsia="Courier New" w:hAnsi="Courier New"/>
                <w:sz w:val="18"/>
                <w:szCs w:val="18"/>
                <w:b w:val="1"/>
                <w:bCs w:val="1"/>
                <w:color w:val="auto"/>
              </w:rPr>
              <w:t>capital</w:t>
            </w:r>
          </w:p>
        </w:tc>
        <w:tc>
          <w:tcPr>
            <w:tcW w:w="1160" w:type="dxa"/>
            <w:vAlign w:val="bottom"/>
          </w:tcPr>
          <w:p>
            <w:pPr>
              <w:ind w:left="120"/>
              <w:spacing w:after="0"/>
              <w:rPr>
                <w:sz w:val="20"/>
                <w:szCs w:val="20"/>
                <w:color w:val="auto"/>
              </w:rPr>
            </w:pPr>
            <w:r>
              <w:rPr>
                <w:rFonts w:ascii="Courier New" w:cs="Courier New" w:eastAsia="Courier New" w:hAnsi="Courier New"/>
                <w:sz w:val="18"/>
                <w:szCs w:val="18"/>
                <w:b w:val="1"/>
                <w:bCs w:val="1"/>
                <w:color w:val="auto"/>
              </w:rPr>
              <w:t>earnings</w:t>
            </w:r>
          </w:p>
        </w:tc>
        <w:tc>
          <w:tcPr>
            <w:tcW w:w="1740" w:type="dxa"/>
            <w:vAlign w:val="bottom"/>
          </w:tcPr>
          <w:p>
            <w:pPr>
              <w:ind w:left="540"/>
              <w:spacing w:after="0"/>
              <w:rPr>
                <w:sz w:val="20"/>
                <w:szCs w:val="20"/>
                <w:color w:val="auto"/>
              </w:rPr>
            </w:pPr>
            <w:r>
              <w:rPr>
                <w:rFonts w:ascii="Courier New" w:cs="Courier New" w:eastAsia="Courier New" w:hAnsi="Courier New"/>
                <w:sz w:val="18"/>
                <w:szCs w:val="18"/>
                <w:b w:val="1"/>
                <w:bCs w:val="1"/>
                <w:color w:val="auto"/>
              </w:rPr>
              <w:t>(loss)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b w:val="1"/>
          <w:bCs w:val="1"/>
          <w:color w:val="auto"/>
        </w:rPr>
        <w:t>- -----------------------------------------------------------------------------------------------------</w:t>
      </w: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line="192" w:lineRule="exact"/>
              <w:rPr>
                <w:sz w:val="20"/>
                <w:szCs w:val="20"/>
                <w:color w:val="auto"/>
              </w:rPr>
            </w:pPr>
            <w:r>
              <w:rPr>
                <w:rFonts w:ascii="Courier New" w:cs="Courier New" w:eastAsia="Courier New" w:hAnsi="Courier New"/>
                <w:sz w:val="18"/>
                <w:szCs w:val="18"/>
                <w:color w:val="auto"/>
              </w:rPr>
              <w:t>Balance, January 1, 2000</w:t>
            </w:r>
          </w:p>
        </w:tc>
        <w:tc>
          <w:tcPr>
            <w:tcW w:w="136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15,244</w:t>
            </w:r>
          </w:p>
        </w:tc>
        <w:tc>
          <w:tcPr>
            <w:tcW w:w="106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$153</w:t>
            </w:r>
          </w:p>
        </w:tc>
        <w:tc>
          <w:tcPr>
            <w:tcW w:w="126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$30,398</w:t>
            </w:r>
          </w:p>
        </w:tc>
        <w:tc>
          <w:tcPr>
            <w:tcW w:w="126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$31,255</w:t>
            </w:r>
          </w:p>
        </w:tc>
        <w:tc>
          <w:tcPr>
            <w:tcW w:w="138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$(1,678)</w:t>
            </w:r>
          </w:p>
        </w:tc>
        <w:tc>
          <w:tcPr>
            <w:tcW w:w="1060" w:type="dxa"/>
            <w:vAlign w:val="bottom"/>
          </w:tcPr>
          <w:p>
            <w:pPr>
              <w:jc w:val="right"/>
              <w:ind w:right="32"/>
              <w:spacing w:after="0" w:line="192" w:lineRule="exact"/>
              <w:rPr>
                <w:sz w:val="20"/>
                <w:szCs w:val="20"/>
                <w:color w:val="auto"/>
              </w:rPr>
            </w:pPr>
            <w:r>
              <w:rPr>
                <w:rFonts w:ascii="Courier New" w:cs="Courier New" w:eastAsia="Courier New" w:hAnsi="Courier New"/>
                <w:sz w:val="18"/>
                <w:szCs w:val="18"/>
                <w:color w:val="auto"/>
              </w:rPr>
              <w:t>$60,128</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6,795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6,795</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(3,659)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(3,659)</w:t>
            </w:r>
          </w:p>
        </w:tc>
        <w:tc>
          <w:tcPr>
            <w:tcW w:w="0" w:type="dxa"/>
            <w:vAlign w:val="bottom"/>
          </w:tcPr>
          <w:p>
            <w:pPr>
              <w:spacing w:after="0"/>
              <w:rPr>
                <w:sz w:val="1"/>
                <w:szCs w:val="1"/>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comprehensive loss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(2,480)</w:t>
            </w: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September 30, 2000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15,247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$30,414</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$34,391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$60,800</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Balance, January 1, 2001</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15,247</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$153</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$30,414</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$36,364</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$65,246</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(1,685)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61" w:orient="portrait"/>
          <w:cols w:equalWidth="0" w:num="1">
            <w:col w:w="10860"/>
          </w:cols>
          <w:pgMar w:left="240" w:top="515" w:right="7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220"/>
              <w:spacing w:after="0"/>
              <w:rPr>
                <w:sz w:val="20"/>
                <w:szCs w:val="20"/>
                <w:color w:val="auto"/>
              </w:rPr>
            </w:pPr>
            <w:r>
              <w:rPr>
                <w:rFonts w:ascii="Courier New" w:cs="Courier New" w:eastAsia="Courier New" w:hAnsi="Courier New"/>
                <w:sz w:val="18"/>
                <w:szCs w:val="18"/>
                <w:color w:val="auto"/>
              </w:rPr>
              <w:t>Shares issued</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242</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5,698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5,698</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(3,662)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(3,662)</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 loss</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(2,875)</w:t>
            </w:r>
          </w:p>
        </w:tc>
        <w:tc>
          <w:tcPr>
            <w:tcW w:w="0" w:type="dxa"/>
            <w:vAlign w:val="bottom"/>
          </w:tcPr>
          <w:p>
            <w:pPr>
              <w:spacing w:after="0"/>
              <w:rPr>
                <w:sz w:val="1"/>
                <w:szCs w:val="1"/>
                <w:color w:val="auto"/>
              </w:rPr>
            </w:pPr>
          </w:p>
        </w:tc>
      </w:tr>
      <w:tr>
        <w:trPr>
          <w:trHeight w:val="203"/>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September 30, 2001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15,297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$30,656</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$38,400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$64,650</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b w:val="1"/>
          <w:bCs w:val="1"/>
          <w:color w:val="auto"/>
        </w:rPr>
        <w:t>NN, Inc.</w:t>
      </w:r>
    </w:p>
    <w:p>
      <w:pPr>
        <w:spacing w:after="0" w:line="65"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8"/>
          <w:szCs w:val="18"/>
          <w:b w:val="1"/>
          <w:bCs w:val="1"/>
          <w:color w:val="auto"/>
        </w:rPr>
        <w:t>Consolidated Statements of Cash Flows</w:t>
      </w:r>
    </w:p>
    <w:p>
      <w:pPr>
        <w:jc w:val="center"/>
        <w:ind w:right="2220"/>
        <w:spacing w:after="0"/>
        <w:rPr>
          <w:sz w:val="20"/>
          <w:szCs w:val="20"/>
          <w:color w:val="auto"/>
        </w:rPr>
      </w:pPr>
      <w:r>
        <w:rPr>
          <w:rFonts w:ascii="Courier New" w:cs="Courier New" w:eastAsia="Courier New" w:hAnsi="Courier New"/>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Pr>
          <w:p>
            <w:pPr>
              <w:spacing w:after="0"/>
              <w:rPr>
                <w:sz w:val="18"/>
                <w:szCs w:val="18"/>
                <w:color w:val="auto"/>
              </w:rPr>
            </w:pPr>
          </w:p>
        </w:tc>
        <w:tc>
          <w:tcPr>
            <w:tcW w:w="3060" w:type="dxa"/>
            <w:vAlign w:val="bottom"/>
          </w:tcPr>
          <w:p>
            <w:pPr>
              <w:ind w:left="2580"/>
              <w:spacing w:after="0"/>
              <w:rPr>
                <w:sz w:val="20"/>
                <w:szCs w:val="20"/>
                <w:color w:val="auto"/>
              </w:rPr>
            </w:pPr>
            <w:r>
              <w:rPr>
                <w:rFonts w:ascii="Courier New" w:cs="Courier New" w:eastAsia="Courier New" w:hAnsi="Courier New"/>
                <w:sz w:val="18"/>
                <w:szCs w:val="18"/>
                <w:b w:val="1"/>
                <w:bCs w:val="1"/>
                <w:color w:val="auto"/>
              </w:rPr>
              <w:t>Nine</w:t>
            </w:r>
          </w:p>
        </w:tc>
        <w:tc>
          <w:tcPr>
            <w:tcW w:w="1320" w:type="dxa"/>
            <w:vAlign w:val="bottom"/>
            <w:gridSpan w:val="2"/>
          </w:tcPr>
          <w:p>
            <w:pPr>
              <w:ind w:left="40"/>
              <w:spacing w:after="0"/>
              <w:rPr>
                <w:sz w:val="20"/>
                <w:szCs w:val="20"/>
                <w:color w:val="auto"/>
              </w:rPr>
            </w:pPr>
            <w:r>
              <w:rPr>
                <w:rFonts w:ascii="Courier New" w:cs="Courier New" w:eastAsia="Courier New" w:hAnsi="Courier New"/>
                <w:sz w:val="18"/>
                <w:szCs w:val="18"/>
                <w:b w:val="1"/>
                <w:bCs w:val="1"/>
                <w:color w:val="auto"/>
                <w:w w:val="97"/>
              </w:rPr>
              <w:t>Months Ended</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3900" w:type="dxa"/>
            <w:vAlign w:val="bottom"/>
            <w:gridSpan w:val="2"/>
          </w:tcPr>
          <w:p>
            <w:pPr>
              <w:ind w:left="2900"/>
              <w:spacing w:after="0" w:line="203" w:lineRule="exact"/>
              <w:rPr>
                <w:sz w:val="20"/>
                <w:szCs w:val="20"/>
                <w:color w:val="auto"/>
              </w:rPr>
            </w:pPr>
            <w:r>
              <w:rPr>
                <w:rFonts w:ascii="Courier New" w:cs="Courier New" w:eastAsia="Courier New" w:hAnsi="Courier New"/>
                <w:sz w:val="18"/>
                <w:szCs w:val="18"/>
                <w:b w:val="1"/>
                <w:bCs w:val="1"/>
                <w:color w:val="auto"/>
              </w:rPr>
              <w:t>September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b w:val="1"/>
                <w:bCs w:val="1"/>
                <w:color w:val="auto"/>
              </w:rPr>
              <w:t>30,</w:t>
            </w:r>
          </w:p>
        </w:tc>
        <w:tc>
          <w:tcPr>
            <w:tcW w:w="0" w:type="dxa"/>
            <w:vAlign w:val="bottom"/>
          </w:tcPr>
          <w:p>
            <w:pPr>
              <w:spacing w:after="0"/>
              <w:rPr>
                <w:sz w:val="1"/>
                <w:szCs w:val="1"/>
                <w:color w:val="auto"/>
              </w:rPr>
            </w:pPr>
          </w:p>
        </w:tc>
      </w:tr>
      <w:tr>
        <w:trPr>
          <w:trHeight w:val="259"/>
        </w:trPr>
        <w:tc>
          <w:tcPr>
            <w:tcW w:w="4800" w:type="dxa"/>
            <w:vAlign w:val="bottom"/>
            <w:vMerge w:val="continue"/>
          </w:tcPr>
          <w:p>
            <w:pPr>
              <w:spacing w:after="0"/>
              <w:rPr>
                <w:sz w:val="22"/>
                <w:szCs w:val="22"/>
                <w:color w:val="auto"/>
              </w:rPr>
            </w:pPr>
          </w:p>
        </w:tc>
        <w:tc>
          <w:tcPr>
            <w:tcW w:w="3060" w:type="dxa"/>
            <w:vAlign w:val="bottom"/>
          </w:tcPr>
          <w:p>
            <w:pPr>
              <w:ind w:left="2580"/>
              <w:spacing w:after="0"/>
              <w:rPr>
                <w:sz w:val="20"/>
                <w:szCs w:val="20"/>
                <w:color w:val="auto"/>
              </w:rPr>
            </w:pPr>
            <w:r>
              <w:rPr>
                <w:rFonts w:ascii="Courier New" w:cs="Courier New" w:eastAsia="Courier New" w:hAnsi="Courier New"/>
                <w:sz w:val="18"/>
                <w:szCs w:val="18"/>
                <w:b w:val="1"/>
                <w:bCs w:val="1"/>
                <w:color w:val="auto"/>
              </w:rPr>
              <w:t>2001</w:t>
            </w:r>
          </w:p>
        </w:tc>
        <w:tc>
          <w:tcPr>
            <w:tcW w:w="84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b w:val="1"/>
                <w:bCs w:val="1"/>
                <w:color w:val="auto"/>
                <w:w w:val="92"/>
              </w:rPr>
              <w:t>2000</w:t>
            </w: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2"/>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Operating Activities:</w:t>
      </w:r>
    </w:p>
    <w:tbl>
      <w:tblPr>
        <w:tblLayout w:type="fixed"/>
        <w:tblInd w:w="0" w:type="dxa"/>
        <w:tblCellMar>
          <w:top w:w="0" w:type="dxa"/>
          <w:left w:w="0" w:type="dxa"/>
          <w:bottom w:w="0" w:type="dxa"/>
          <w:right w:w="0" w:type="dxa"/>
        </w:tblCellMar>
      </w:tblPr>
      <w:tr>
        <w:trPr>
          <w:trHeight w:val="171"/>
        </w:trPr>
        <w:tc>
          <w:tcPr>
            <w:tcW w:w="690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$5,698</w:t>
            </w:r>
          </w:p>
        </w:tc>
        <w:tc>
          <w:tcPr>
            <w:tcW w:w="110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$6,795</w:t>
            </w: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3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10,170</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6,103</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earnings of unconsolidated affiliate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income on receivable from unconsolidated affiliate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 in consolidated subsidiary</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3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1,317</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(3,392)</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(2,119)</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assets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(1,413)</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8,074</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5,744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w:t>
            </w:r>
          </w:p>
        </w:tc>
        <w:tc>
          <w:tcPr>
            <w:tcW w:w="0" w:type="dxa"/>
            <w:vAlign w:val="bottom"/>
          </w:tcPr>
          <w:p>
            <w:pPr>
              <w:spacing w:after="0"/>
              <w:rPr>
                <w:sz w:val="1"/>
                <w:szCs w:val="1"/>
                <w:color w:val="auto"/>
              </w:rPr>
            </w:pPr>
          </w:p>
        </w:tc>
      </w:tr>
      <w:tr>
        <w:trPr>
          <w:trHeight w:val="203"/>
        </w:trPr>
        <w:tc>
          <w:tcPr>
            <w:tcW w:w="69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19,179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14,746</w:t>
            </w:r>
          </w:p>
        </w:tc>
        <w:tc>
          <w:tcPr>
            <w:tcW w:w="0" w:type="dxa"/>
            <w:vAlign w:val="bottom"/>
          </w:tcPr>
          <w:p>
            <w:pPr>
              <w:spacing w:after="0"/>
              <w:rPr>
                <w:sz w:val="1"/>
                <w:szCs w:val="1"/>
                <w:color w:val="auto"/>
              </w:rPr>
            </w:pPr>
          </w:p>
        </w:tc>
      </w:tr>
      <w:tr>
        <w:trPr>
          <w:trHeight w:val="296"/>
        </w:trPr>
        <w:tc>
          <w:tcPr>
            <w:tcW w:w="690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9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3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(23,674)</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Delta Rubber Company, net of cash acquired</w:t>
            </w:r>
          </w:p>
        </w:tc>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property, plant, and equipment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(4,961)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(4,971)</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note receivable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(3,120)</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unconsolidated affiliates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Euroball, net of cash acquired</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(56,521)</w:t>
            </w:r>
          </w:p>
        </w:tc>
        <w:tc>
          <w:tcPr>
            <w:tcW w:w="0" w:type="dxa"/>
            <w:vAlign w:val="bottom"/>
          </w:tcPr>
          <w:p>
            <w:pPr>
              <w:spacing w:after="0"/>
              <w:rPr>
                <w:sz w:val="1"/>
                <w:szCs w:val="1"/>
                <w:color w:val="auto"/>
              </w:rPr>
            </w:pPr>
          </w:p>
        </w:tc>
      </w:tr>
      <w:tr>
        <w:trPr>
          <w:trHeight w:val="203"/>
        </w:trPr>
        <w:tc>
          <w:tcPr>
            <w:tcW w:w="69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used by investing activities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(28,635)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(64,712)</w:t>
            </w:r>
          </w:p>
        </w:tc>
        <w:tc>
          <w:tcPr>
            <w:tcW w:w="0" w:type="dxa"/>
            <w:vAlign w:val="bottom"/>
          </w:tcPr>
          <w:p>
            <w:pPr>
              <w:spacing w:after="0"/>
              <w:rPr>
                <w:sz w:val="1"/>
                <w:szCs w:val="1"/>
                <w:color w:val="auto"/>
              </w:rPr>
            </w:pPr>
          </w:p>
        </w:tc>
      </w:tr>
      <w:tr>
        <w:trPr>
          <w:trHeight w:val="296"/>
        </w:trPr>
        <w:tc>
          <w:tcPr>
            <w:tcW w:w="690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9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3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5,480</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proceeds under revolving credit facility</w:t>
            </w:r>
          </w:p>
        </w:tc>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71,429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27,796</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(56,762)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short-term debt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Minority shareholders capital contribution</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29,600</w:t>
            </w:r>
          </w:p>
        </w:tc>
        <w:tc>
          <w:tcPr>
            <w:tcW w:w="0" w:type="dxa"/>
            <w:vAlign w:val="bottom"/>
          </w:tcPr>
          <w:p>
            <w:pPr>
              <w:spacing w:after="0"/>
              <w:rPr>
                <w:sz w:val="1"/>
                <w:szCs w:val="1"/>
                <w:color w:val="auto"/>
              </w:rPr>
            </w:pPr>
          </w:p>
        </w:tc>
      </w:tr>
      <w:tr>
        <w:trPr>
          <w:trHeight w:val="203"/>
        </w:trPr>
        <w:tc>
          <w:tcPr>
            <w:tcW w:w="6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(3,659)</w:t>
            </w:r>
          </w:p>
        </w:tc>
        <w:tc>
          <w:tcPr>
            <w:tcW w:w="0" w:type="dxa"/>
            <w:vAlign w:val="bottom"/>
          </w:tcPr>
          <w:p>
            <w:pPr>
              <w:spacing w:after="0"/>
              <w:rPr>
                <w:sz w:val="1"/>
                <w:szCs w:val="1"/>
                <w:color w:val="auto"/>
              </w:rPr>
            </w:pPr>
          </w:p>
        </w:tc>
      </w:tr>
      <w:tr>
        <w:trPr>
          <w:trHeight w:val="203"/>
        </w:trPr>
        <w:tc>
          <w:tcPr>
            <w:tcW w:w="69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financing activities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9,248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59,232</w:t>
            </w:r>
          </w:p>
        </w:tc>
        <w:tc>
          <w:tcPr>
            <w:tcW w:w="0" w:type="dxa"/>
            <w:vAlign w:val="bottom"/>
          </w:tcPr>
          <w:p>
            <w:pPr>
              <w:spacing w:after="0"/>
              <w:rPr>
                <w:sz w:val="1"/>
                <w:szCs w:val="1"/>
                <w:color w:val="auto"/>
              </w:rPr>
            </w:pPr>
          </w:p>
        </w:tc>
      </w:tr>
      <w:tr>
        <w:trPr>
          <w:trHeight w:val="296"/>
        </w:trPr>
        <w:tc>
          <w:tcPr>
            <w:tcW w:w="690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(2,480)</w:t>
            </w:r>
          </w:p>
        </w:tc>
        <w:tc>
          <w:tcPr>
            <w:tcW w:w="0" w:type="dxa"/>
            <w:vAlign w:val="bottom"/>
          </w:tcPr>
          <w:p>
            <w:pPr>
              <w:spacing w:after="0"/>
              <w:rPr>
                <w:sz w:val="1"/>
                <w:szCs w:val="1"/>
                <w:color w:val="auto"/>
              </w:rPr>
            </w:pPr>
          </w:p>
        </w:tc>
      </w:tr>
      <w:tr>
        <w:trPr>
          <w:trHeight w:val="311"/>
        </w:trPr>
        <w:tc>
          <w:tcPr>
            <w:tcW w:w="6900" w:type="dxa"/>
            <w:vAlign w:val="bottom"/>
          </w:tcPr>
          <w:p>
            <w:pPr>
              <w:spacing w:after="0"/>
              <w:rPr>
                <w:sz w:val="20"/>
                <w:szCs w:val="20"/>
                <w:color w:val="auto"/>
              </w:rPr>
            </w:pPr>
            <w:r>
              <w:rPr>
                <w:rFonts w:ascii="Courier New" w:cs="Courier New" w:eastAsia="Courier New" w:hAnsi="Courier New"/>
                <w:sz w:val="18"/>
                <w:szCs w:val="18"/>
                <w:color w:val="auto"/>
              </w:rPr>
              <w:t>Net Change in Cash and Cash Equivalents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(568)</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6,786</w:t>
            </w:r>
          </w:p>
        </w:tc>
        <w:tc>
          <w:tcPr>
            <w:tcW w:w="0" w:type="dxa"/>
            <w:vAlign w:val="bottom"/>
          </w:tcPr>
          <w:p>
            <w:pPr>
              <w:spacing w:after="0"/>
              <w:rPr>
                <w:sz w:val="1"/>
                <w:szCs w:val="1"/>
                <w:color w:val="auto"/>
              </w:rPr>
            </w:pP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8,273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1,408</w:t>
            </w:r>
          </w:p>
        </w:tc>
        <w:tc>
          <w:tcPr>
            <w:tcW w:w="0" w:type="dxa"/>
            <w:vAlign w:val="bottom"/>
          </w:tcPr>
          <w:p>
            <w:pPr>
              <w:spacing w:after="0"/>
              <w:rPr>
                <w:sz w:val="1"/>
                <w:szCs w:val="1"/>
                <w:color w:val="auto"/>
              </w:rPr>
            </w:pPr>
          </w:p>
        </w:tc>
      </w:tr>
      <w:tr>
        <w:trPr>
          <w:trHeight w:val="203"/>
        </w:trPr>
        <w:tc>
          <w:tcPr>
            <w:tcW w:w="690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$ 7,705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$ 8,194</w:t>
            </w:r>
          </w:p>
        </w:tc>
        <w:tc>
          <w:tcPr>
            <w:tcW w:w="0" w:type="dxa"/>
            <w:vAlign w:val="bottom"/>
          </w:tcPr>
          <w:p>
            <w:pPr>
              <w:spacing w:after="0"/>
              <w:rPr>
                <w:sz w:val="1"/>
                <w:szCs w:val="1"/>
                <w:color w:val="auto"/>
              </w:rPr>
            </w:pPr>
          </w:p>
        </w:tc>
      </w:tr>
      <w:tr>
        <w:trPr>
          <w:trHeight w:val="296"/>
        </w:trPr>
        <w:tc>
          <w:tcPr>
            <w:tcW w:w="690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See accompanying notes.</w:t>
      </w:r>
    </w:p>
    <w:p>
      <w:pPr>
        <w:sectPr>
          <w:pgSz w:w="11900" w:h="16838" w:orient="portrait"/>
          <w:cols w:equalWidth="0" w:num="1">
            <w:col w:w="10760"/>
          </w:cols>
          <w:pgMar w:left="240" w:top="108" w:right="89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0760"/>
          </w:cols>
          <w:pgMar w:left="240" w:top="108" w:right="899" w:bottom="0" w:gutter="0" w:footer="0" w:header="0"/>
          <w:type w:val="continuous"/>
        </w:sectPr>
      </w:pPr>
    </w:p>
    <w:bookmarkStart w:id="4" w:name="page5"/>
    <w:bookmarkEnd w:id="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21590"/>
                    </a:xfrm>
                    <a:prstGeom prst="rect">
                      <a:avLst/>
                    </a:prstGeom>
                    <a:noFill/>
                  </pic:spPr>
                </pic:pic>
              </a:graphicData>
            </a:graphic>
          </wp:anchor>
        </w:drawing>
      </w: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Notes To Consolidated Financial Statements</w:t>
      </w:r>
    </w:p>
    <w:p>
      <w:pPr>
        <w:spacing w:after="0" w:line="33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1.</w:t>
      </w:r>
      <w:r>
        <w:rPr>
          <w:sz w:val="20"/>
          <w:szCs w:val="20"/>
          <w:color w:val="auto"/>
        </w:rPr>
        <w:tab/>
      </w:r>
      <w:r>
        <w:rPr>
          <w:rFonts w:ascii="Courier New" w:cs="Courier New" w:eastAsia="Courier New" w:hAnsi="Courier New"/>
          <w:sz w:val="16"/>
          <w:szCs w:val="16"/>
          <w:b w:val="1"/>
          <w:bCs w:val="1"/>
          <w:color w:val="auto"/>
        </w:rPr>
        <w:t>Interim Financial Statements</w:t>
      </w:r>
    </w:p>
    <w:p>
      <w:pPr>
        <w:spacing w:after="0" w:line="23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accompanying consolidated financial statements of NN, Inc. (the Company) have not been audited by independent accountants, except for the balance sheet at December 31, 2000. In the opinion of the Company's management, the financial statements reflect all adjustments necessary to present fairly the results of operations for the three and nine month periods ended September 30, 2001 and 2000, the Company's financial position at September 30, 2001 and December 31, 2000, and the cash flows for the nine month periods ended September 30, 2001 and 2000. These adjustments are of a normal recurring nature and are, in the opinion of management, necessary for fair presentation of the financial position and operating results for the interim periods.</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82" w:lineRule="exact"/>
        <w:rPr>
          <w:sz w:val="20"/>
          <w:szCs w:val="20"/>
          <w:color w:val="auto"/>
        </w:rPr>
      </w:pPr>
    </w:p>
    <w:p>
      <w:pPr>
        <w:ind w:right="1879"/>
        <w:spacing w:after="0" w:line="336" w:lineRule="auto"/>
        <w:rPr>
          <w:sz w:val="20"/>
          <w:szCs w:val="20"/>
          <w:color w:val="auto"/>
        </w:rPr>
      </w:pPr>
      <w:r>
        <w:rPr>
          <w:rFonts w:ascii="Courier New" w:cs="Courier New" w:eastAsia="Courier New" w:hAnsi="Courier New"/>
          <w:sz w:val="18"/>
          <w:szCs w:val="18"/>
          <w:color w:val="auto"/>
        </w:rPr>
        <w:t>The results for the first three quarters of 2001 are not necessarily indicative of future results.</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2.</w:t>
      </w:r>
      <w:r>
        <w:rPr>
          <w:sz w:val="20"/>
          <w:szCs w:val="20"/>
          <w:color w:val="auto"/>
        </w:rPr>
        <w:tab/>
      </w:r>
      <w:r>
        <w:rPr>
          <w:rFonts w:ascii="Courier New" w:cs="Courier New" w:eastAsia="Courier New" w:hAnsi="Courier New"/>
          <w:sz w:val="16"/>
          <w:szCs w:val="16"/>
          <w:b w:val="1"/>
          <w:bCs w:val="1"/>
          <w:color w:val="auto"/>
        </w:rPr>
        <w:t>Derivate Financial Instrumen</w:t>
      </w:r>
      <w:r>
        <w:rPr>
          <w:rFonts w:ascii="Courier New" w:cs="Courier New" w:eastAsia="Courier New" w:hAnsi="Courier New"/>
          <w:sz w:val="16"/>
          <w:szCs w:val="16"/>
          <w:color w:val="auto"/>
        </w:rPr>
        <w:t>ts</w:t>
      </w:r>
    </w:p>
    <w:p>
      <w:pPr>
        <w:spacing w:after="0" w:line="237"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9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04"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The cumulative effect of a change in accounting principles for the adoption of SFAS No. 133 effective January 1, 2001 resulted in a transition adjustment net loss of $98,000 which is net of an income tax benefit of $112,000 and the related minority interest impact of $84,000.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0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As of September 30, 2001, the fair value of the swap is a loss of approximately $455,000, which is recorded in other non-current liabilities. The change in fair value during the three and nine-month periods ended September 30, 2001 was a loss of approximately $182,000 and $113,000, respectively, which has been included as a component of other (income) expense.</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3.</w:t>
      </w:r>
      <w:r>
        <w:rPr>
          <w:sz w:val="20"/>
          <w:szCs w:val="20"/>
          <w:color w:val="auto"/>
        </w:rPr>
        <w:tab/>
      </w:r>
      <w:r>
        <w:rPr>
          <w:rFonts w:ascii="Courier New" w:cs="Courier New" w:eastAsia="Courier New" w:hAnsi="Courier New"/>
          <w:sz w:val="16"/>
          <w:szCs w:val="16"/>
          <w:b w:val="1"/>
          <w:bCs w:val="1"/>
          <w:color w:val="auto"/>
        </w:rPr>
        <w:t>Inventories</w:t>
      </w:r>
    </w:p>
    <w:p>
      <w:pPr>
        <w:spacing w:after="0" w:line="237"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Inventories are stated at the lower of cost or market, with cost being determined by the first-in, first-out method.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540" w:type="dxa"/>
            <w:vAlign w:val="bottom"/>
          </w:tcPr>
          <w:p>
            <w:pPr>
              <w:spacing w:after="0"/>
              <w:rPr>
                <w:sz w:val="20"/>
                <w:szCs w:val="20"/>
                <w:color w:val="auto"/>
              </w:rPr>
            </w:pPr>
            <w:r>
              <w:rPr>
                <w:rFonts w:ascii="Courier New" w:cs="Courier New" w:eastAsia="Courier New" w:hAnsi="Courier New"/>
                <w:sz w:val="18"/>
                <w:szCs w:val="18"/>
                <w:color w:val="auto"/>
              </w:rPr>
              <w:t>Inventories are comprised of the following (in thousands):</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40" w:type="dxa"/>
            <w:vAlign w:val="bottom"/>
          </w:tcPr>
          <w:p>
            <w:pPr>
              <w:spacing w:after="0"/>
              <w:rPr>
                <w:sz w:val="24"/>
                <w:szCs w:val="24"/>
                <w:color w:val="auto"/>
              </w:rPr>
            </w:pPr>
          </w:p>
        </w:tc>
        <w:tc>
          <w:tcPr>
            <w:tcW w:w="1900" w:type="dxa"/>
            <w:vAlign w:val="bottom"/>
          </w:tcPr>
          <w:p>
            <w:pPr>
              <w:jc w:val="center"/>
              <w:ind w:left="232"/>
              <w:spacing w:after="0"/>
              <w:rPr>
                <w:sz w:val="20"/>
                <w:szCs w:val="20"/>
                <w:color w:val="auto"/>
              </w:rPr>
            </w:pPr>
            <w:r>
              <w:rPr>
                <w:rFonts w:ascii="Courier New" w:cs="Courier New" w:eastAsia="Courier New" w:hAnsi="Courier New"/>
                <w:sz w:val="18"/>
                <w:szCs w:val="18"/>
                <w:b w:val="1"/>
                <w:bCs w:val="1"/>
                <w:color w:val="auto"/>
                <w:w w:val="98"/>
              </w:rPr>
              <w:t>September 30,</w:t>
            </w:r>
          </w:p>
        </w:tc>
        <w:tc>
          <w:tcPr>
            <w:tcW w:w="13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b w:val="1"/>
                <w:bCs w:val="1"/>
                <w:color w:val="auto"/>
              </w:rPr>
              <w:t>2000</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b w:val="1"/>
                <w:bCs w:val="1"/>
                <w:color w:val="auto"/>
                <w:w w:val="97"/>
              </w:rPr>
              <w:t>(Unaudited)</w:t>
            </w:r>
          </w:p>
        </w:tc>
        <w:tc>
          <w:tcPr>
            <w:tcW w:w="1360" w:type="dxa"/>
            <w:vAlign w:val="bottom"/>
            <w:vMerge w:val="restart"/>
          </w:tcPr>
          <w:p>
            <w:pPr>
              <w:ind w:left="100"/>
              <w:spacing w:after="0"/>
              <w:rPr>
                <w:sz w:val="20"/>
                <w:szCs w:val="20"/>
                <w:color w:val="auto"/>
              </w:rPr>
            </w:pPr>
            <w:r>
              <w:rPr>
                <w:rFonts w:ascii="Courier New" w:cs="Courier New" w:eastAsia="Courier New" w:hAnsi="Courier New"/>
                <w:sz w:val="18"/>
                <w:szCs w:val="18"/>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vMerge w:val="restart"/>
          </w:tcPr>
          <w:p>
            <w:pPr>
              <w:spacing w:after="0"/>
              <w:rPr>
                <w:sz w:val="20"/>
                <w:szCs w:val="20"/>
                <w:color w:val="auto"/>
              </w:rPr>
            </w:pPr>
            <w:r>
              <w:rPr>
                <w:rFonts w:ascii="Courier New" w:cs="Courier New" w:eastAsia="Courier New" w:hAnsi="Courier New"/>
                <w:sz w:val="18"/>
                <w:szCs w:val="18"/>
                <w:color w:val="auto"/>
              </w:rPr>
              <w:t>Raw materials</w:t>
            </w:r>
          </w:p>
        </w:tc>
        <w:tc>
          <w:tcPr>
            <w:tcW w:w="1900" w:type="dxa"/>
            <w:vAlign w:val="bottom"/>
          </w:tcPr>
          <w:p>
            <w:pPr>
              <w:ind w:left="520"/>
              <w:spacing w:after="0"/>
              <w:rPr>
                <w:sz w:val="20"/>
                <w:szCs w:val="20"/>
                <w:color w:val="auto"/>
              </w:rPr>
            </w:pPr>
            <w:r>
              <w:rPr>
                <w:rFonts w:ascii="Courier New" w:cs="Courier New" w:eastAsia="Courier New" w:hAnsi="Courier New"/>
                <w:sz w:val="18"/>
                <w:szCs w:val="18"/>
                <w:b w:val="1"/>
                <w:bCs w:val="1"/>
                <w:color w:val="auto"/>
              </w:rPr>
              <w:t>----------</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restart"/>
          </w:tcPr>
          <w:p>
            <w:pPr>
              <w:spacing w:after="0"/>
              <w:rPr>
                <w:sz w:val="20"/>
                <w:szCs w:val="20"/>
                <w:color w:val="auto"/>
              </w:rPr>
            </w:pPr>
            <w:r>
              <w:rPr>
                <w:rFonts w:ascii="Courier New" w:cs="Courier New" w:eastAsia="Courier New" w:hAnsi="Courier New"/>
                <w:sz w:val="18"/>
                <w:szCs w:val="18"/>
                <w:color w:val="auto"/>
              </w:rPr>
              <w:t>Work in process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5,686</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4,431</w:t>
            </w:r>
          </w:p>
        </w:tc>
        <w:tc>
          <w:tcPr>
            <w:tcW w:w="0" w:type="dxa"/>
            <w:vAlign w:val="bottom"/>
          </w:tcPr>
          <w:p>
            <w:pPr>
              <w:spacing w:after="0"/>
              <w:rPr>
                <w:sz w:val="1"/>
                <w:szCs w:val="1"/>
                <w:color w:val="auto"/>
              </w:rPr>
            </w:pPr>
          </w:p>
        </w:tc>
      </w:tr>
      <w:tr>
        <w:trPr>
          <w:trHeight w:val="296"/>
        </w:trPr>
        <w:tc>
          <w:tcPr>
            <w:tcW w:w="6540" w:type="dxa"/>
            <w:vAlign w:val="bottom"/>
            <w:vMerge w:val="continue"/>
          </w:tcPr>
          <w:p>
            <w:pPr>
              <w:spacing w:after="0"/>
              <w:rPr>
                <w:sz w:val="24"/>
                <w:szCs w:val="24"/>
                <w:color w:val="auto"/>
              </w:rPr>
            </w:pP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5,490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5,265</w:t>
            </w:r>
          </w:p>
        </w:tc>
        <w:tc>
          <w:tcPr>
            <w:tcW w:w="0" w:type="dxa"/>
            <w:vAlign w:val="bottom"/>
          </w:tcPr>
          <w:p>
            <w:pPr>
              <w:spacing w:after="0"/>
              <w:rPr>
                <w:sz w:val="1"/>
                <w:szCs w:val="1"/>
                <w:color w:val="auto"/>
              </w:rPr>
            </w:pPr>
          </w:p>
        </w:tc>
      </w:tr>
    </w:tbl>
    <w:p>
      <w:pPr>
        <w:sectPr>
          <w:pgSz w:w="11900" w:h="16975" w:orient="portrait"/>
          <w:cols w:equalWidth="0" w:num="1">
            <w:col w:w="10219"/>
          </w:cols>
          <w:pgMar w:left="240" w:top="465"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880" w:type="dxa"/>
            <w:vAlign w:val="bottom"/>
          </w:tcPr>
          <w:p>
            <w:pPr>
              <w:spacing w:after="0"/>
              <w:rPr>
                <w:sz w:val="17"/>
                <w:szCs w:val="17"/>
                <w:color w:val="auto"/>
              </w:rPr>
            </w:pP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12,952</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14,106</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inventory reserves</w:t>
            </w:r>
          </w:p>
        </w:tc>
        <w:tc>
          <w:tcPr>
            <w:tcW w:w="188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$24,001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$23,742</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816"/>
        </w:trPr>
        <w:tc>
          <w:tcPr>
            <w:tcW w:w="4860" w:type="dxa"/>
            <w:vAlign w:val="bottom"/>
          </w:tcPr>
          <w:p>
            <w:pPr>
              <w:spacing w:after="0"/>
              <w:rPr>
                <w:sz w:val="20"/>
                <w:szCs w:val="20"/>
                <w:color w:val="auto"/>
              </w:rPr>
            </w:pPr>
            <w:r>
              <w:rPr>
                <w:rFonts w:ascii="Courier New" w:cs="Courier New" w:eastAsia="Courier New" w:hAnsi="Courier New"/>
                <w:sz w:val="18"/>
                <w:szCs w:val="18"/>
                <w:b w:val="1"/>
                <w:bCs w:val="1"/>
                <w:color w:val="auto"/>
              </w:rPr>
              <w:t>Note 4.  Net Income Per Share</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40" w:type="dxa"/>
            <w:vAlign w:val="bottom"/>
            <w:gridSpan w:val="2"/>
          </w:tcPr>
          <w:p>
            <w:pPr>
              <w:ind w:left="4540"/>
              <w:spacing w:after="0"/>
              <w:rPr>
                <w:sz w:val="20"/>
                <w:szCs w:val="20"/>
                <w:color w:val="auto"/>
              </w:rPr>
            </w:pPr>
            <w:r>
              <w:rPr>
                <w:rFonts w:ascii="Courier New" w:cs="Courier New" w:eastAsia="Courier New" w:hAnsi="Courier New"/>
                <w:sz w:val="18"/>
                <w:szCs w:val="18"/>
                <w:b w:val="1"/>
                <w:bCs w:val="1"/>
                <w:color w:val="auto"/>
              </w:rPr>
              <w:t>Three Months Ended</w:t>
            </w:r>
          </w:p>
        </w:tc>
        <w:tc>
          <w:tcPr>
            <w:tcW w:w="2860" w:type="dxa"/>
            <w:vAlign w:val="bottom"/>
            <w:gridSpan w:val="2"/>
          </w:tcPr>
          <w:p>
            <w:pPr>
              <w:jc w:val="right"/>
              <w:ind w:right="232"/>
              <w:spacing w:after="0"/>
              <w:rPr>
                <w:sz w:val="20"/>
                <w:szCs w:val="20"/>
                <w:color w:val="auto"/>
              </w:rPr>
            </w:pPr>
            <w:r>
              <w:rPr>
                <w:rFonts w:ascii="Courier New" w:cs="Courier New" w:eastAsia="Courier New" w:hAnsi="Courier New"/>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860" w:type="dxa"/>
            <w:vAlign w:val="bottom"/>
            <w:vMerge w:val="restart"/>
          </w:tcPr>
          <w:p>
            <w:pPr>
              <w:ind w:left="4440"/>
              <w:spacing w:after="0"/>
              <w:rPr>
                <w:sz w:val="20"/>
                <w:szCs w:val="20"/>
                <w:color w:val="auto"/>
              </w:rPr>
            </w:pPr>
            <w:r>
              <w:rPr>
                <w:rFonts w:ascii="Courier New" w:cs="Courier New" w:eastAsia="Courier New" w:hAnsi="Courier New"/>
                <w:sz w:val="18"/>
                <w:szCs w:val="18"/>
                <w:b w:val="1"/>
                <w:bCs w:val="1"/>
                <w:color w:val="auto"/>
                <w:w w:val="92"/>
              </w:rPr>
              <w:t>2001</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w w:val="95"/>
              </w:rPr>
              <w:t>September 30,</w:t>
            </w:r>
          </w:p>
        </w:tc>
        <w:tc>
          <w:tcPr>
            <w:tcW w:w="2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b w:val="1"/>
                <w:bCs w:val="1"/>
                <w:color w:val="auto"/>
              </w:rPr>
              <w:t>September 30,</w:t>
            </w:r>
          </w:p>
        </w:tc>
        <w:tc>
          <w:tcPr>
            <w:tcW w:w="0" w:type="dxa"/>
            <w:vAlign w:val="bottom"/>
          </w:tcPr>
          <w:p>
            <w:pPr>
              <w:spacing w:after="0"/>
              <w:rPr>
                <w:sz w:val="1"/>
                <w:szCs w:val="1"/>
                <w:color w:val="auto"/>
              </w:rPr>
            </w:pPr>
          </w:p>
        </w:tc>
      </w:tr>
      <w:tr>
        <w:trPr>
          <w:trHeight w:val="338"/>
        </w:trPr>
        <w:tc>
          <w:tcPr>
            <w:tcW w:w="4860" w:type="dxa"/>
            <w:vAlign w:val="bottom"/>
            <w:vMerge w:val="continue"/>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2000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b w:val="1"/>
                <w:bCs w:val="1"/>
                <w:color w:val="auto"/>
                <w:w w:val="97"/>
              </w:rPr>
              <w:t>2001</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b w:val="1"/>
                <w:bCs w:val="1"/>
                <w:color w:val="auto"/>
              </w:rPr>
              <w:t>2000</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tabs>
          <w:tab w:leader="none" w:pos="1460" w:val="left"/>
          <w:tab w:leader="none" w:pos="3260" w:val="left"/>
        </w:tabs>
        <w:rPr>
          <w:sz w:val="20"/>
          <w:szCs w:val="20"/>
          <w:color w:val="auto"/>
        </w:rPr>
      </w:pPr>
      <w:r>
        <w:rPr>
          <w:rFonts w:ascii="Courier New" w:cs="Courier New" w:eastAsia="Courier New" w:hAnsi="Courier New"/>
          <w:sz w:val="18"/>
          <w:szCs w:val="18"/>
          <w:b w:val="1"/>
          <w:bCs w:val="1"/>
          <w:color w:val="auto"/>
        </w:rPr>
        <w:t>Thousands of</w:t>
        <w:tab/>
        <w:t>Dollars, Except</w:t>
      </w:r>
      <w:r>
        <w:rPr>
          <w:sz w:val="20"/>
          <w:szCs w:val="20"/>
          <w:color w:val="auto"/>
        </w:rPr>
        <w:tab/>
      </w:r>
      <w:r>
        <w:rPr>
          <w:rFonts w:ascii="Courier New" w:cs="Courier New" w:eastAsia="Courier New" w:hAnsi="Courier New"/>
          <w:sz w:val="16"/>
          <w:szCs w:val="16"/>
          <w:b w:val="1"/>
          <w:bCs w:val="1"/>
          <w:color w:val="auto"/>
        </w:rPr>
        <w:t>Share and Per Share Data</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 ---------------------------------------------------------------------------------------------</w:t>
      </w: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line="192"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$ 744</w:t>
            </w:r>
          </w:p>
        </w:tc>
        <w:tc>
          <w:tcPr>
            <w:tcW w:w="152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$ 2,443</w:t>
            </w:r>
          </w:p>
        </w:tc>
        <w:tc>
          <w:tcPr>
            <w:tcW w:w="1540" w:type="dxa"/>
            <w:vAlign w:val="bottom"/>
            <w:gridSpan w:val="2"/>
          </w:tcPr>
          <w:p>
            <w:pPr>
              <w:jc w:val="right"/>
              <w:ind w:right="232"/>
              <w:spacing w:after="0" w:line="192" w:lineRule="exact"/>
              <w:rPr>
                <w:sz w:val="20"/>
                <w:szCs w:val="20"/>
                <w:color w:val="auto"/>
              </w:rPr>
            </w:pPr>
            <w:r>
              <w:rPr>
                <w:rFonts w:ascii="Courier New" w:cs="Courier New" w:eastAsia="Courier New" w:hAnsi="Courier New"/>
                <w:sz w:val="18"/>
                <w:szCs w:val="18"/>
                <w:color w:val="auto"/>
              </w:rPr>
              <w:t>$ 5,698</w:t>
            </w:r>
          </w:p>
        </w:tc>
        <w:tc>
          <w:tcPr>
            <w:tcW w:w="68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6,795</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net income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$ 744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$ 2,443</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$ 5,698</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$ 6,795</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514"/>
        </w:trPr>
        <w:tc>
          <w:tcPr>
            <w:tcW w:w="3700" w:type="dxa"/>
            <w:vAlign w:val="bottom"/>
          </w:tcPr>
          <w:p>
            <w:pPr>
              <w:spacing w:after="0"/>
              <w:rPr>
                <w:sz w:val="20"/>
                <w:szCs w:val="20"/>
                <w:color w:val="auto"/>
              </w:rPr>
            </w:pPr>
            <w:r>
              <w:rPr>
                <w:rFonts w:ascii="Courier New" w:cs="Courier New" w:eastAsia="Courier New" w:hAnsi="Courier New"/>
                <w:sz w:val="18"/>
                <w:szCs w:val="18"/>
                <w:color w:val="auto"/>
              </w:rPr>
              <w:t>Weighted average basic shares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15,285,606</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15,245,147</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15,252,869</w:t>
            </w:r>
          </w:p>
        </w:tc>
        <w:tc>
          <w:tcPr>
            <w:tcW w:w="13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15,244,565</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298,870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178,980</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252,545</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188,905</w:t>
            </w:r>
          </w:p>
        </w:tc>
        <w:tc>
          <w:tcPr>
            <w:tcW w:w="0" w:type="dxa"/>
            <w:vAlign w:val="bottom"/>
          </w:tcPr>
          <w:p>
            <w:pPr>
              <w:spacing w:after="0"/>
              <w:rPr>
                <w:sz w:val="1"/>
                <w:szCs w:val="1"/>
                <w:color w:val="auto"/>
              </w:rPr>
            </w:pPr>
          </w:p>
        </w:tc>
      </w:tr>
      <w:tr>
        <w:trPr>
          <w:trHeight w:val="203"/>
        </w:trPr>
        <w:tc>
          <w:tcPr>
            <w:tcW w:w="37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dilutive shares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15,584,476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15,424,127</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15,505,414</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15,433,470</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Basic net income per share</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$ 0.05</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$ 0.16</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0.37</w:t>
            </w:r>
          </w:p>
        </w:tc>
        <w:tc>
          <w:tcPr>
            <w:tcW w:w="68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0.45</w:t>
            </w:r>
          </w:p>
        </w:tc>
        <w:tc>
          <w:tcPr>
            <w:tcW w:w="0" w:type="dxa"/>
            <w:vAlign w:val="bottom"/>
          </w:tcPr>
          <w:p>
            <w:pPr>
              <w:spacing w:after="0"/>
              <w:rPr>
                <w:sz w:val="1"/>
                <w:szCs w:val="1"/>
                <w:color w:val="auto"/>
              </w:rPr>
            </w:pPr>
          </w:p>
        </w:tc>
      </w:tr>
      <w:tr>
        <w:trPr>
          <w:trHeight w:val="203"/>
        </w:trPr>
        <w:tc>
          <w:tcPr>
            <w:tcW w:w="3700" w:type="dxa"/>
            <w:vAlign w:val="bottom"/>
            <w:vMerge w:val="restart"/>
          </w:tcPr>
          <w:p>
            <w:pPr>
              <w:spacing w:after="0"/>
              <w:rPr>
                <w:sz w:val="20"/>
                <w:szCs w:val="20"/>
                <w:color w:val="auto"/>
              </w:rPr>
            </w:pPr>
            <w:r>
              <w:rPr>
                <w:rFonts w:ascii="Courier New" w:cs="Courier New" w:eastAsia="Courier New" w:hAnsi="Courier New"/>
                <w:sz w:val="18"/>
                <w:szCs w:val="18"/>
                <w:color w:val="auto"/>
              </w:rPr>
              <w:t>Diluted net income per share</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$ 0.05</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$ 0.16</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0.37</w:t>
            </w:r>
          </w:p>
        </w:tc>
        <w:tc>
          <w:tcPr>
            <w:tcW w:w="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0.44</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20"/>
        <w:spacing w:after="0" w:line="292" w:lineRule="auto"/>
        <w:rPr>
          <w:sz w:val="20"/>
          <w:szCs w:val="20"/>
          <w:color w:val="auto"/>
        </w:rPr>
      </w:pPr>
      <w:r>
        <w:rPr>
          <w:rFonts w:ascii="Courier New" w:cs="Courier New" w:eastAsia="Courier New" w:hAnsi="Courier New"/>
          <w:sz w:val="18"/>
          <w:szCs w:val="18"/>
          <w:color w:val="auto"/>
        </w:rPr>
        <w:t>Excluded from the shares outstanding for each of the three and nine month periods ended September 30, 2001 and 2000 were 10,750 antidilutive options, which had exercise prices ranging from $9.75 to $11.50.</w:t>
      </w:r>
    </w:p>
    <w:p>
      <w:pPr>
        <w:spacing w:after="0" w:line="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5.</w:t>
      </w:r>
      <w:r>
        <w:rPr>
          <w:sz w:val="20"/>
          <w:szCs w:val="20"/>
          <w:color w:val="auto"/>
        </w:rPr>
        <w:tab/>
      </w:r>
      <w:r>
        <w:rPr>
          <w:rFonts w:ascii="Courier New" w:cs="Courier New" w:eastAsia="Courier New" w:hAnsi="Courier New"/>
          <w:sz w:val="16"/>
          <w:szCs w:val="16"/>
          <w:b w:val="1"/>
          <w:bCs w:val="1"/>
          <w:color w:val="auto"/>
        </w:rPr>
        <w:t>Segment Information</w:t>
      </w:r>
    </w:p>
    <w:p>
      <w:pPr>
        <w:spacing w:after="0" w:line="237" w:lineRule="exact"/>
        <w:rPr>
          <w:sz w:val="20"/>
          <w:szCs w:val="20"/>
          <w:color w:val="auto"/>
        </w:rPr>
      </w:pPr>
    </w:p>
    <w:p>
      <w:pPr>
        <w:ind w:right="1780"/>
        <w:spacing w:after="0" w:line="245" w:lineRule="auto"/>
        <w:rPr>
          <w:sz w:val="20"/>
          <w:szCs w:val="20"/>
          <w:color w:val="auto"/>
        </w:rPr>
      </w:pPr>
      <w:r>
        <w:rPr>
          <w:rFonts w:ascii="Courier New" w:cs="Courier New" w:eastAsia="Courier New" w:hAnsi="Courier New"/>
          <w:sz w:val="18"/>
          <w:szCs w:val="18"/>
          <w:color w:val="auto"/>
        </w:rPr>
        <w:t>During 2001, the Company's reportable segments are based on differences in product lines and geographic locations and are divided between balls and rollers, European operations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comprised of the Industrial Molding Corporation ("IMC") business, located in Lubbock, Texas, which was acquired in July 1999, NN Arte ("Arte") formed on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consumer hardware markets. Delta is engaged in the production of engineered bearing seals and other precision-molded rubber products to original equipment manufacturers.</w:t>
      </w: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780"/>
        <w:spacing w:after="0" w:line="293"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in the December 31, 2000 Form 10-K.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the three month or nine month periods ended September 30, 2001 and 2000.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40" w:type="dxa"/>
            <w:vAlign w:val="bottom"/>
            <w:gridSpan w:val="2"/>
          </w:tcPr>
          <w:p>
            <w:pPr>
              <w:ind w:left="780"/>
              <w:spacing w:after="0"/>
              <w:rPr>
                <w:sz w:val="20"/>
                <w:szCs w:val="20"/>
                <w:color w:val="auto"/>
              </w:rPr>
            </w:pPr>
            <w:r>
              <w:rPr>
                <w:rFonts w:ascii="Courier New" w:cs="Courier New" w:eastAsia="Courier New" w:hAnsi="Courier New"/>
                <w:sz w:val="18"/>
                <w:szCs w:val="18"/>
                <w:b w:val="1"/>
                <w:bCs w:val="1"/>
                <w:color w:val="auto"/>
                <w:w w:val="99"/>
              </w:rPr>
              <w:t>Three Months Ended</w:t>
            </w:r>
          </w:p>
        </w:tc>
        <w:tc>
          <w:tcPr>
            <w:tcW w:w="2160" w:type="dxa"/>
            <w:vAlign w:val="bottom"/>
            <w:gridSpan w:val="2"/>
          </w:tcPr>
          <w:p>
            <w:pPr>
              <w:ind w:left="40"/>
              <w:spacing w:after="0"/>
              <w:rPr>
                <w:sz w:val="20"/>
                <w:szCs w:val="20"/>
                <w:color w:val="auto"/>
              </w:rPr>
            </w:pPr>
            <w:r>
              <w:rPr>
                <w:rFonts w:ascii="Courier New" w:cs="Courier New" w:eastAsia="Courier New" w:hAnsi="Courier New"/>
                <w:sz w:val="18"/>
                <w:szCs w:val="18"/>
                <w:b w:val="1"/>
                <w:bCs w:val="1"/>
                <w:color w:val="auto"/>
              </w:rPr>
              <w:t>September 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1320" w:type="dxa"/>
            <w:vAlign w:val="bottom"/>
            <w:vMerge w:val="restart"/>
          </w:tcPr>
          <w:p>
            <w:pPr>
              <w:jc w:val="center"/>
              <w:ind w:left="72"/>
              <w:spacing w:after="0"/>
              <w:rPr>
                <w:sz w:val="20"/>
                <w:szCs w:val="20"/>
                <w:color w:val="auto"/>
              </w:rPr>
            </w:pPr>
            <w:r>
              <w:rPr>
                <w:rFonts w:ascii="Courier New" w:cs="Courier New" w:eastAsia="Courier New" w:hAnsi="Courier New"/>
                <w:sz w:val="18"/>
                <w:szCs w:val="18"/>
                <w:b w:val="1"/>
                <w:bCs w:val="1"/>
                <w:color w:val="auto"/>
                <w:w w:val="98"/>
              </w:rPr>
              <w:t>Ball &amp;</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2001</w:t>
            </w:r>
          </w:p>
        </w:tc>
        <w:tc>
          <w:tcPr>
            <w:tcW w:w="1320" w:type="dxa"/>
            <w:vAlign w:val="bottom"/>
          </w:tcPr>
          <w:p>
            <w:pPr>
              <w:spacing w:after="0"/>
              <w:rPr>
                <w:sz w:val="24"/>
                <w:szCs w:val="24"/>
                <w:color w:val="auto"/>
              </w:rPr>
            </w:pP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b w:val="1"/>
                <w:bCs w:val="1"/>
                <w:color w:val="auto"/>
              </w:rPr>
              <w:t>Ball &amp;</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2000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64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1320" w:type="dxa"/>
            <w:vAlign w:val="bottom"/>
            <w:vMerge w:val="continue"/>
          </w:tcPr>
          <w:p>
            <w:pPr>
              <w:spacing w:after="0"/>
              <w:rPr>
                <w:sz w:val="5"/>
                <w:szCs w:val="5"/>
                <w:color w:val="auto"/>
              </w:rPr>
            </w:pPr>
          </w:p>
        </w:tc>
        <w:tc>
          <w:tcPr>
            <w:tcW w:w="1420" w:type="dxa"/>
            <w:vAlign w:val="bottom"/>
            <w:vMerge w:val="restart"/>
          </w:tcPr>
          <w:p>
            <w:pPr>
              <w:ind w:left="160"/>
              <w:spacing w:after="0"/>
              <w:rPr>
                <w:sz w:val="20"/>
                <w:szCs w:val="20"/>
                <w:color w:val="auto"/>
              </w:rPr>
            </w:pPr>
            <w:r>
              <w:rPr>
                <w:rFonts w:ascii="Courier New" w:cs="Courier New" w:eastAsia="Courier New" w:hAnsi="Courier New"/>
                <w:sz w:val="18"/>
                <w:szCs w:val="18"/>
                <w:b w:val="1"/>
                <w:bCs w:val="1"/>
                <w:color w:val="auto"/>
              </w:rPr>
              <w:t>Euroball</w:t>
            </w:r>
          </w:p>
        </w:tc>
        <w:tc>
          <w:tcPr>
            <w:tcW w:w="132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Plastics</w:t>
            </w:r>
          </w:p>
        </w:tc>
        <w:tc>
          <w:tcPr>
            <w:tcW w:w="1000" w:type="dxa"/>
            <w:vAlign w:val="bottom"/>
            <w:vMerge w:val="continue"/>
          </w:tcPr>
          <w:p>
            <w:pPr>
              <w:spacing w:after="0"/>
              <w:rPr>
                <w:sz w:val="5"/>
                <w:szCs w:val="5"/>
                <w:color w:val="auto"/>
              </w:rPr>
            </w:pPr>
          </w:p>
        </w:tc>
        <w:tc>
          <w:tcPr>
            <w:tcW w:w="1160" w:type="dxa"/>
            <w:vAlign w:val="bottom"/>
            <w:vMerge w:val="restart"/>
          </w:tcPr>
          <w:p>
            <w:pPr>
              <w:jc w:val="center"/>
              <w:ind w:right="32"/>
              <w:spacing w:after="0"/>
              <w:rPr>
                <w:sz w:val="20"/>
                <w:szCs w:val="20"/>
                <w:color w:val="auto"/>
              </w:rPr>
            </w:pPr>
            <w:r>
              <w:rPr>
                <w:rFonts w:ascii="Courier New" w:cs="Courier New" w:eastAsia="Courier New" w:hAnsi="Courier New"/>
                <w:sz w:val="18"/>
                <w:szCs w:val="18"/>
                <w:b w:val="1"/>
                <w:bCs w:val="1"/>
                <w:color w:val="auto"/>
                <w:w w:val="97"/>
              </w:rPr>
              <w:t>Euroball</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b w:val="1"/>
                <w:bCs w:val="1"/>
                <w:color w:val="auto"/>
              </w:rPr>
              <w:t>Plastics</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3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b w:val="1"/>
                <w:bCs w:val="1"/>
                <w:color w:val="auto"/>
                <w:w w:val="98"/>
              </w:rPr>
              <w:t>Roller</w:t>
            </w:r>
          </w:p>
        </w:tc>
        <w:tc>
          <w:tcPr>
            <w:tcW w:w="1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b w:val="1"/>
                <w:bCs w:val="1"/>
                <w:color w:val="auto"/>
              </w:rPr>
              <w:t>Roller</w:t>
            </w:r>
          </w:p>
        </w:tc>
        <w:tc>
          <w:tcPr>
            <w:tcW w:w="1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8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w w:val="97"/>
              </w:rPr>
              <w:t>- --------------------------- --------- -----------</w:t>
            </w:r>
          </w:p>
        </w:tc>
        <w:tc>
          <w:tcPr>
            <w:tcW w:w="1320" w:type="dxa"/>
            <w:vAlign w:val="bottom"/>
          </w:tcPr>
          <w:p>
            <w:pPr>
              <w:ind w:left="100"/>
              <w:spacing w:after="0"/>
              <w:rPr>
                <w:sz w:val="20"/>
                <w:szCs w:val="20"/>
                <w:color w:val="auto"/>
              </w:rPr>
            </w:pPr>
            <w:r>
              <w:rPr>
                <w:rFonts w:ascii="Courier New" w:cs="Courier New" w:eastAsia="Courier New" w:hAnsi="Courier New"/>
                <w:sz w:val="18"/>
                <w:szCs w:val="18"/>
                <w:b w:val="1"/>
                <w:bCs w:val="1"/>
                <w:color w:val="auto"/>
              </w:rPr>
              <w:t>-----------</w:t>
            </w:r>
          </w:p>
        </w:tc>
        <w:tc>
          <w:tcPr>
            <w:tcW w:w="3520" w:type="dxa"/>
            <w:vAlign w:val="bottom"/>
            <w:gridSpan w:val="3"/>
          </w:tcPr>
          <w:p>
            <w:pPr>
              <w:ind w:left="40"/>
              <w:spacing w:after="0"/>
              <w:rPr>
                <w:sz w:val="20"/>
                <w:szCs w:val="20"/>
                <w:color w:val="auto"/>
              </w:rPr>
            </w:pPr>
            <w:r>
              <w:rPr>
                <w:rFonts w:ascii="Courier New" w:cs="Courier New" w:eastAsia="Courier New" w:hAnsi="Courier New"/>
                <w:sz w:val="18"/>
                <w:szCs w:val="18"/>
                <w:b w:val="1"/>
                <w:bCs w:val="1"/>
                <w:color w:val="auto"/>
                <w:w w:val="97"/>
              </w:rPr>
              <w:t>----------- ---------- ----------</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 from external</w:t>
            </w:r>
          </w:p>
        </w:tc>
        <w:tc>
          <w:tcPr>
            <w:tcW w:w="13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$ 11,884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$ 19,541</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$ 11,151</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$ 16,203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$ 13,040</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$ 7,832</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customers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108" w:right="14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Segment pretax profit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1,714</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1,056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1,618</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699</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61,162</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82,200</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58,243</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60,819</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87,368</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30,855</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2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00" w:type="dxa"/>
            <w:vAlign w:val="bottom"/>
            <w:gridSpan w:val="4"/>
          </w:tcPr>
          <w:p>
            <w:pPr>
              <w:jc w:val="right"/>
              <w:ind w:right="752"/>
              <w:spacing w:after="0"/>
              <w:rPr>
                <w:sz w:val="20"/>
                <w:szCs w:val="20"/>
                <w:color w:val="auto"/>
              </w:rPr>
            </w:pPr>
            <w:r>
              <w:rPr>
                <w:rFonts w:ascii="Courier New" w:cs="Courier New" w:eastAsia="Courier New" w:hAnsi="Courier New"/>
                <w:sz w:val="18"/>
                <w:szCs w:val="18"/>
                <w:b w:val="1"/>
                <w:bCs w:val="1"/>
                <w:color w:val="auto"/>
              </w:rPr>
              <w:t>Nine Months Ended 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b w:val="1"/>
                <w:bCs w:val="1"/>
                <w:color w:val="auto"/>
              </w:rPr>
              <w:t>Ball &amp;</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2001</w:t>
            </w:r>
          </w:p>
        </w:tc>
        <w:tc>
          <w:tcPr>
            <w:tcW w:w="1160" w:type="dxa"/>
            <w:vAlign w:val="bottom"/>
          </w:tcPr>
          <w:p>
            <w:pPr>
              <w:spacing w:after="0"/>
              <w:rPr>
                <w:sz w:val="24"/>
                <w:szCs w:val="24"/>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b w:val="1"/>
                <w:bCs w:val="1"/>
                <w:color w:val="auto"/>
              </w:rPr>
              <w:t>Ball &amp;</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2000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64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1320" w:type="dxa"/>
            <w:vAlign w:val="bottom"/>
            <w:vMerge w:val="continue"/>
          </w:tcPr>
          <w:p>
            <w:pPr>
              <w:spacing w:after="0"/>
              <w:rPr>
                <w:sz w:val="5"/>
                <w:szCs w:val="5"/>
                <w:color w:val="auto"/>
              </w:rPr>
            </w:pPr>
          </w:p>
        </w:tc>
        <w:tc>
          <w:tcPr>
            <w:tcW w:w="1420" w:type="dxa"/>
            <w:vAlign w:val="bottom"/>
            <w:vMerge w:val="restart"/>
          </w:tcPr>
          <w:p>
            <w:pPr>
              <w:jc w:val="right"/>
              <w:ind w:right="332"/>
              <w:spacing w:after="0"/>
              <w:rPr>
                <w:sz w:val="20"/>
                <w:szCs w:val="20"/>
                <w:color w:val="auto"/>
              </w:rPr>
            </w:pPr>
            <w:r>
              <w:rPr>
                <w:rFonts w:ascii="Courier New" w:cs="Courier New" w:eastAsia="Courier New" w:hAnsi="Courier New"/>
                <w:sz w:val="18"/>
                <w:szCs w:val="18"/>
                <w:b w:val="1"/>
                <w:bCs w:val="1"/>
                <w:color w:val="auto"/>
              </w:rPr>
              <w:t>Euroball</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b w:val="1"/>
                <w:bCs w:val="1"/>
                <w:color w:val="auto"/>
                <w:w w:val="94"/>
              </w:rPr>
              <w:t>Plastics</w:t>
            </w:r>
          </w:p>
        </w:tc>
        <w:tc>
          <w:tcPr>
            <w:tcW w:w="1160" w:type="dxa"/>
            <w:vAlign w:val="bottom"/>
            <w:vMerge w:val="continue"/>
          </w:tcPr>
          <w:p>
            <w:pPr>
              <w:spacing w:after="0"/>
              <w:rPr>
                <w:sz w:val="5"/>
                <w:szCs w:val="5"/>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b w:val="1"/>
                <w:bCs w:val="1"/>
                <w:color w:val="auto"/>
              </w:rPr>
              <w:t>Euroball</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b w:val="1"/>
                <w:bCs w:val="1"/>
                <w:color w:val="auto"/>
              </w:rPr>
              <w:t>Plastics</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b w:val="1"/>
                <w:bCs w:val="1"/>
                <w:color w:val="auto"/>
              </w:rPr>
              <w:t>Roller</w:t>
            </w: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Roller</w:t>
            </w:r>
          </w:p>
        </w:tc>
        <w:tc>
          <w:tcPr>
            <w:tcW w:w="1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8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w w:val="97"/>
              </w:rPr>
              <w:t>- --------------------------- --------- -----------</w:t>
            </w:r>
          </w:p>
        </w:tc>
        <w:tc>
          <w:tcPr>
            <w:tcW w:w="4840" w:type="dxa"/>
            <w:vAlign w:val="bottom"/>
            <w:gridSpan w:val="4"/>
          </w:tcPr>
          <w:p>
            <w:pPr>
              <w:jc w:val="right"/>
              <w:spacing w:after="0"/>
              <w:rPr>
                <w:sz w:val="20"/>
                <w:szCs w:val="20"/>
                <w:color w:val="auto"/>
              </w:rPr>
            </w:pPr>
            <w:r>
              <w:rPr>
                <w:rFonts w:ascii="Courier New" w:cs="Courier New" w:eastAsia="Courier New" w:hAnsi="Courier New"/>
                <w:sz w:val="18"/>
                <w:szCs w:val="18"/>
                <w:b w:val="1"/>
                <w:bCs w:val="1"/>
                <w:color w:val="auto"/>
                <w:w w:val="99"/>
              </w:rPr>
              <w:t>----------- ----------- ---------- ----------</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 from external</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$ 41,897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$ 67,398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$ 30,858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$ 53,624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$ 13,040</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$ 24,056</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customers</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7,699</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5,975</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(1,720)</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7,808</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1,618</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1,630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pretax profit</w:t>
            </w: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61,162</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82,200</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58,243</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60,819</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87,368</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30,855</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2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6.</w:t>
      </w:r>
      <w:r>
        <w:rPr>
          <w:sz w:val="20"/>
          <w:szCs w:val="20"/>
          <w:color w:val="auto"/>
        </w:rPr>
        <w:tab/>
      </w:r>
      <w:r>
        <w:rPr>
          <w:rFonts w:ascii="Courier New" w:cs="Courier New" w:eastAsia="Courier New" w:hAnsi="Courier New"/>
          <w:sz w:val="16"/>
          <w:szCs w:val="16"/>
          <w:b w:val="1"/>
          <w:bCs w:val="1"/>
          <w:color w:val="auto"/>
        </w:rPr>
        <w:t>Acquisitions and Joint Ventures</w:t>
      </w:r>
    </w:p>
    <w:p>
      <w:pPr>
        <w:spacing w:after="0" w:line="237" w:lineRule="exact"/>
        <w:rPr>
          <w:sz w:val="20"/>
          <w:szCs w:val="20"/>
          <w:color w:val="auto"/>
        </w:rPr>
      </w:pPr>
    </w:p>
    <w:p>
      <w:pPr>
        <w:ind w:right="2000"/>
        <w:spacing w:after="0" w:line="253" w:lineRule="auto"/>
        <w:rPr>
          <w:sz w:val="20"/>
          <w:szCs w:val="20"/>
          <w:color w:val="auto"/>
        </w:rPr>
      </w:pPr>
      <w:r>
        <w:rPr>
          <w:rFonts w:ascii="Courier New" w:cs="Courier New" w:eastAsia="Courier New" w:hAnsi="Courier New"/>
          <w:sz w:val="18"/>
          <w:szCs w:val="18"/>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AmSouth Bank provided financing for the transaction.</w:t>
      </w:r>
    </w:p>
    <w:p>
      <w:pPr>
        <w:spacing w:after="0" w:line="104" w:lineRule="exact"/>
        <w:rPr>
          <w:sz w:val="20"/>
          <w:szCs w:val="20"/>
          <w:color w:val="auto"/>
        </w:rPr>
      </w:pPr>
    </w:p>
    <w:p>
      <w:pPr>
        <w:ind w:right="1780"/>
        <w:spacing w:after="0" w:line="256" w:lineRule="auto"/>
        <w:rPr>
          <w:sz w:val="20"/>
          <w:szCs w:val="20"/>
          <w:color w:val="auto"/>
        </w:rPr>
      </w:pPr>
      <w:r>
        <w:rPr>
          <w:rFonts w:ascii="Courier New" w:cs="Courier New" w:eastAsia="Courier New" w:hAnsi="Courier New"/>
          <w:sz w:val="18"/>
          <w:szCs w:val="18"/>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and $0.1 million of equity. Jiangsu Steel Ball Factory owns the remaining 40% of the Chinese company.</w:t>
      </w:r>
    </w:p>
    <w:p>
      <w:pPr>
        <w:spacing w:after="0" w:line="98" w:lineRule="exact"/>
        <w:rPr>
          <w:sz w:val="20"/>
          <w:szCs w:val="20"/>
          <w:color w:val="auto"/>
        </w:rPr>
      </w:pPr>
    </w:p>
    <w:p>
      <w:pPr>
        <w:ind w:right="1780"/>
        <w:spacing w:after="0" w:line="246" w:lineRule="auto"/>
        <w:rPr>
          <w:sz w:val="20"/>
          <w:szCs w:val="20"/>
          <w:color w:val="auto"/>
        </w:rPr>
      </w:pPr>
      <w:r>
        <w:rPr>
          <w:rFonts w:ascii="Courier New" w:cs="Courier New" w:eastAsia="Courier New" w:hAnsi="Courier New"/>
          <w:sz w:val="18"/>
          <w:szCs w:val="18"/>
          <w:color w:val="auto"/>
        </w:rPr>
        <w:t>On July 31, 2000, the Company formed a majority owned stand-alone company in Europe, NN Euroball ApS ("Euroball"), for the manufacture and sale of chrome steel balls used for ball bearings and other products. The Company owns 54% of Euroball. AB SKF ("SKF") and FAG Kugelfisher Georg Shafer AG ("FAG") each own 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 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113" w:lineRule="exact"/>
        <w:rPr>
          <w:sz w:val="20"/>
          <w:szCs w:val="20"/>
          <w:color w:val="auto"/>
        </w:rPr>
      </w:pPr>
    </w:p>
    <w:p>
      <w:pPr>
        <w:ind w:right="1880"/>
        <w:spacing w:after="0" w:line="318" w:lineRule="auto"/>
        <w:rPr>
          <w:sz w:val="20"/>
          <w:szCs w:val="20"/>
          <w:color w:val="auto"/>
        </w:rPr>
      </w:pPr>
      <w:r>
        <w:rPr>
          <w:rFonts w:ascii="Courier New" w:cs="Courier New" w:eastAsia="Courier New" w:hAnsi="Courier New"/>
          <w:sz w:val="16"/>
          <w:szCs w:val="16"/>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780"/>
        <w:spacing w:after="0" w:line="260" w:lineRule="auto"/>
        <w:rPr>
          <w:sz w:val="20"/>
          <w:szCs w:val="20"/>
          <w:color w:val="auto"/>
        </w:rPr>
      </w:pPr>
      <w:r>
        <w:rPr>
          <w:rFonts w:ascii="Courier New" w:cs="Courier New" w:eastAsia="Courier New" w:hAnsi="Courier New"/>
          <w:sz w:val="18"/>
          <w:szCs w:val="18"/>
          <w:color w:val="auto"/>
        </w:rPr>
        <w:t>ownership of NN Mexico, the Company made an initial contribution of $879,000, an additional contribution of $671,000, and is obligated to provide additional funding of $600,000 payable upon certain performance conditions at NN Arte. The Company is required to consolidate NN Mexico due to its ability to exercise control over NN Arte's operations and has accounted for this acquisition using the purchase method of accounting.</w:t>
      </w:r>
    </w:p>
    <w:p>
      <w:pPr>
        <w:spacing w:after="0" w:line="5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7.</w:t>
      </w:r>
      <w:r>
        <w:rPr>
          <w:sz w:val="20"/>
          <w:szCs w:val="20"/>
          <w:color w:val="auto"/>
        </w:rPr>
        <w:tab/>
      </w:r>
      <w:r>
        <w:rPr>
          <w:rFonts w:ascii="Courier New" w:cs="Courier New" w:eastAsia="Courier New" w:hAnsi="Courier New"/>
          <w:sz w:val="16"/>
          <w:szCs w:val="16"/>
          <w:b w:val="1"/>
          <w:bCs w:val="1"/>
          <w:color w:val="auto"/>
        </w:rPr>
        <w:t>Fire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March 12, 2000, the Company experienced a fire at its Erwin, Tennessee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 The fire was contained to approximately 30% of the production area and</w:t>
      </w:r>
    </w:p>
    <w:p>
      <w:pPr>
        <w:spacing w:after="0" w:line="238" w:lineRule="auto"/>
        <w:rPr>
          <w:sz w:val="20"/>
          <w:szCs w:val="20"/>
          <w:color w:val="auto"/>
        </w:rPr>
      </w:pPr>
      <w:r>
        <w:rPr>
          <w:rFonts w:ascii="Courier New" w:cs="Courier New" w:eastAsia="Courier New" w:hAnsi="Courier New"/>
          <w:sz w:val="18"/>
          <w:szCs w:val="18"/>
          <w:color w:val="auto"/>
        </w:rPr>
        <w:t>did not result in serious injury to any employee. Effected production was</w:t>
      </w:r>
    </w:p>
    <w:p>
      <w:pPr>
        <w:spacing w:after="0"/>
        <w:rPr>
          <w:sz w:val="20"/>
          <w:szCs w:val="20"/>
          <w:color w:val="auto"/>
        </w:rPr>
      </w:pPr>
      <w:r>
        <w:rPr>
          <w:rFonts w:ascii="Courier New" w:cs="Courier New" w:eastAsia="Courier New" w:hAnsi="Courier New"/>
          <w:sz w:val="18"/>
          <w:szCs w:val="18"/>
          <w:color w:val="auto"/>
        </w:rPr>
        <w:t>shifted to the Company's other facilities as possible as well as the use of</w:t>
      </w:r>
    </w:p>
    <w:p>
      <w:pPr>
        <w:spacing w:after="0" w:line="238" w:lineRule="auto"/>
        <w:rPr>
          <w:sz w:val="20"/>
          <w:szCs w:val="20"/>
          <w:color w:val="auto"/>
        </w:rPr>
      </w:pPr>
      <w:r>
        <w:rPr>
          <w:rFonts w:ascii="Courier New" w:cs="Courier New" w:eastAsia="Courier New" w:hAnsi="Courier New"/>
          <w:sz w:val="18"/>
          <w:szCs w:val="18"/>
          <w:color w:val="auto"/>
        </w:rPr>
        <w:t>other suppliers to protect product supply to customers. Insurance coverage</w:t>
      </w:r>
    </w:p>
    <w:p>
      <w:pPr>
        <w:spacing w:after="0"/>
        <w:rPr>
          <w:sz w:val="20"/>
          <w:szCs w:val="20"/>
          <w:color w:val="auto"/>
        </w:rPr>
      </w:pPr>
      <w:r>
        <w:rPr>
          <w:rFonts w:ascii="Courier New" w:cs="Courier New" w:eastAsia="Courier New" w:hAnsi="Courier New"/>
          <w:sz w:val="18"/>
          <w:szCs w:val="18"/>
          <w:color w:val="auto"/>
        </w:rPr>
        <w:t>provides for the reimbursement of replacement value of property and equipment</w:t>
      </w:r>
    </w:p>
    <w:p>
      <w:pPr>
        <w:spacing w:after="0" w:line="238" w:lineRule="auto"/>
        <w:rPr>
          <w:sz w:val="20"/>
          <w:szCs w:val="20"/>
          <w:color w:val="auto"/>
        </w:rPr>
      </w:pPr>
      <w:r>
        <w:rPr>
          <w:rFonts w:ascii="Courier New" w:cs="Courier New" w:eastAsia="Courier New" w:hAnsi="Courier New"/>
          <w:sz w:val="18"/>
          <w:szCs w:val="18"/>
          <w:color w:val="auto"/>
        </w:rPr>
        <w:t>damaged in the fire. During September 2001, after receiving reimbursement for</w:t>
      </w:r>
    </w:p>
    <w:p>
      <w:pPr>
        <w:spacing w:after="0"/>
        <w:rPr>
          <w:sz w:val="20"/>
          <w:szCs w:val="20"/>
          <w:color w:val="auto"/>
        </w:rPr>
      </w:pPr>
      <w:r>
        <w:rPr>
          <w:rFonts w:ascii="Courier New" w:cs="Courier New" w:eastAsia="Courier New" w:hAnsi="Courier New"/>
          <w:sz w:val="18"/>
          <w:szCs w:val="18"/>
          <w:color w:val="auto"/>
        </w:rPr>
        <w:t>all property damaged in the fire, the Company reached a final settlement with</w:t>
      </w:r>
    </w:p>
    <w:p>
      <w:pPr>
        <w:spacing w:after="0" w:line="238" w:lineRule="auto"/>
        <w:rPr>
          <w:sz w:val="20"/>
          <w:szCs w:val="20"/>
          <w:color w:val="auto"/>
        </w:rPr>
      </w:pPr>
      <w:r>
        <w:rPr>
          <w:rFonts w:ascii="Courier New" w:cs="Courier New" w:eastAsia="Courier New" w:hAnsi="Courier New"/>
          <w:sz w:val="18"/>
          <w:szCs w:val="18"/>
          <w:color w:val="auto"/>
        </w:rPr>
        <w:t>the insurance company and anticipates no further proceeds from them. A gain of</w:t>
      </w:r>
    </w:p>
    <w:p>
      <w:pPr>
        <w:spacing w:after="0"/>
        <w:rPr>
          <w:sz w:val="20"/>
          <w:szCs w:val="20"/>
          <w:color w:val="auto"/>
        </w:rPr>
      </w:pPr>
      <w:r>
        <w:rPr>
          <w:rFonts w:ascii="Courier New" w:cs="Courier New" w:eastAsia="Courier New" w:hAnsi="Courier New"/>
          <w:sz w:val="18"/>
          <w:szCs w:val="18"/>
          <w:color w:val="auto"/>
        </w:rPr>
        <w:t>$1.4 million was recorded during the quarter ended September 30, 2001 and a gain</w:t>
      </w:r>
    </w:p>
    <w:p>
      <w:pPr>
        <w:spacing w:after="0"/>
        <w:rPr>
          <w:sz w:val="20"/>
          <w:szCs w:val="20"/>
          <w:color w:val="auto"/>
        </w:rPr>
      </w:pPr>
      <w:r>
        <w:rPr>
          <w:rFonts w:ascii="Courier New" w:cs="Courier New" w:eastAsia="Courier New" w:hAnsi="Courier New"/>
          <w:sz w:val="18"/>
          <w:szCs w:val="18"/>
          <w:color w:val="auto"/>
        </w:rPr>
        <w:t>of $3.9 million was recorded during the nine months ended September 30, 2001.</w:t>
      </w:r>
    </w:p>
    <w:p>
      <w:pPr>
        <w:sectPr>
          <w:pgSz w:w="11900" w:h="16838" w:orient="portrait"/>
          <w:cols w:equalWidth="0" w:num="1">
            <w:col w:w="10220"/>
          </w:cols>
          <w:pgMar w:left="240" w:top="108" w:right="1439" w:bottom="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8.</w:t>
      </w:r>
      <w:r>
        <w:rPr>
          <w:sz w:val="20"/>
          <w:szCs w:val="20"/>
          <w:color w:val="auto"/>
        </w:rPr>
        <w:tab/>
      </w:r>
      <w:r>
        <w:rPr>
          <w:rFonts w:ascii="Courier New" w:cs="Courier New" w:eastAsia="Courier New" w:hAnsi="Courier New"/>
          <w:sz w:val="16"/>
          <w:szCs w:val="16"/>
          <w:b w:val="1"/>
          <w:bCs w:val="1"/>
          <w:color w:val="auto"/>
        </w:rPr>
        <w:t>Plant Closing</w:t>
      </w:r>
    </w:p>
    <w:p>
      <w:pPr>
        <w:spacing w:after="0" w:line="237"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In September of 2001, the Company announced that it would close its Walterboro, South Carolina ball manufacturing facility as part of its ongoing strategy to locate manufacturing capacity in closer proximity to customers. The Euroball joint venture concluded in August of 2000 was a part of this strategy of redistributing global manufacturing capacity beyond North America. In addition to its three European ball manufacturing facilities operating under Euroball, the Company will continue to operate two domestic facilities in Erwin, Tennessee and Mountain City, Tennessee. Transfer of production from the Walterboro facility will continue through the fourth quarter and conclude prior to year-end. Management plans to relocate the machinery and equipment located at the Walterboro facility to its other global manufacturing facilities. Current plans are to sell the land and building. The plant closing will result in the termination of approximately 80 full time hourly and salaried employees prior to the end of the year. The Company recorded a restructuring charge of $750,000 in the third quarter of 2001 pertaining to severance pay to the terminated employees. Accrued restructuring charges of $750,000 are included in other current liabilities at September 30, 2001. Expenses for moving machinery and equipment and other costs associated with closing the facility will be charged in the period they are incurred.</w:t>
      </w:r>
    </w:p>
    <w:p>
      <w:pPr>
        <w:spacing w:after="0" w:line="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9.</w:t>
      </w:r>
      <w:r>
        <w:rPr>
          <w:sz w:val="20"/>
          <w:szCs w:val="20"/>
          <w:color w:val="auto"/>
        </w:rPr>
        <w:tab/>
      </w:r>
      <w:r>
        <w:rPr>
          <w:rFonts w:ascii="Courier New" w:cs="Courier New" w:eastAsia="Courier New" w:hAnsi="Courier New"/>
          <w:sz w:val="16"/>
          <w:szCs w:val="16"/>
          <w:b w:val="1"/>
          <w:bCs w:val="1"/>
          <w:color w:val="auto"/>
        </w:rPr>
        <w:t>New Accounting Pronouncements</w:t>
      </w:r>
    </w:p>
    <w:p>
      <w:pPr>
        <w:spacing w:after="0" w:line="237"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In July 2001, the FASB issued Statement of Financial Accounting Standards No. 141, "Business Combinations"(Statement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will require that goodwill and intangible assets with indefinite useful lives no longer be amortized, but instead tested for impairment. The effective date of Statement No. 142 is January 1, 2002. As of the date of adoption, the Company expects to have unamortized goodwill of approximately $42.0 million, which will be subject to the provisions of Statement No. 142. Amortization expense related to goodwill was $0.9 million and $1.8 million for the year ended December 31, 2000 and the nine months ending September 30, 2001, respectively. The Company is currently evaluating the impact of adoption of Statement No. 142.</w:t>
      </w:r>
    </w:p>
    <w:p>
      <w:pPr>
        <w:spacing w:after="0" w:line="113"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currently evaluating the impact of adoption of Statement No. 143.</w:t>
      </w:r>
    </w:p>
    <w:p>
      <w:pPr>
        <w:spacing w:after="0" w:line="9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 October 2001, The FASB issued Statement of Financial Accounting Standards No. 144, "Accounting</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adoption of Statement No. 144.</w:t>
      </w:r>
    </w:p>
    <w:p>
      <w:pPr>
        <w:spacing w:after="0" w:line="3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Note 10.</w:t>
      </w:r>
      <w:r>
        <w:rPr>
          <w:sz w:val="20"/>
          <w:szCs w:val="20"/>
          <w:color w:val="auto"/>
        </w:rPr>
        <w:tab/>
      </w:r>
      <w:r>
        <w:rPr>
          <w:rFonts w:ascii="Courier New" w:cs="Courier New" w:eastAsia="Courier New" w:hAnsi="Courier New"/>
          <w:sz w:val="16"/>
          <w:szCs w:val="16"/>
          <w:b w:val="1"/>
          <w:bCs w:val="1"/>
          <w:color w:val="auto"/>
        </w:rPr>
        <w:t>Long-Term Debt</w:t>
      </w:r>
    </w:p>
    <w:p>
      <w:pPr>
        <w:spacing w:after="0" w:line="237"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plus an applicable margin of 0.75% to 2.00% based upon calculated financial ratios. The loan agreement contains customary financial and non-financial covenants. The Company, as of September 30, 2001 was in compliance with all such covenants.</w:t>
      </w:r>
    </w:p>
    <w:p>
      <w:pPr>
        <w:spacing w:after="0" w:line="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Note 11.</w:t>
      </w:r>
      <w:r>
        <w:rPr>
          <w:sz w:val="20"/>
          <w:szCs w:val="20"/>
          <w:color w:val="auto"/>
        </w:rPr>
        <w:tab/>
      </w:r>
      <w:r>
        <w:rPr>
          <w:rFonts w:ascii="Courier New" w:cs="Courier New" w:eastAsia="Courier New" w:hAnsi="Courier New"/>
          <w:sz w:val="16"/>
          <w:szCs w:val="16"/>
          <w:b w:val="1"/>
          <w:bCs w:val="1"/>
          <w:color w:val="auto"/>
        </w:rPr>
        <w:t>Subsequent Event</w:t>
      </w:r>
    </w:p>
    <w:p>
      <w:pPr>
        <w:sectPr>
          <w:pgSz w:w="11900" w:h="16838" w:orient="portrait"/>
          <w:cols w:equalWidth="0" w:num="1">
            <w:col w:w="10219"/>
          </w:cols>
          <w:pgMar w:left="240" w:top="276" w:right="1440" w:bottom="19" w:gutter="0" w:footer="0" w:header="0"/>
        </w:sectPr>
      </w:pPr>
    </w:p>
    <w:bookmarkStart w:id="8" w:name="page9"/>
    <w:bookmarkEnd w:id="8"/>
    <w:p>
      <w:pPr>
        <w:ind w:right="1779"/>
        <w:spacing w:after="0" w:line="253" w:lineRule="auto"/>
        <w:rPr>
          <w:sz w:val="20"/>
          <w:szCs w:val="20"/>
          <w:color w:val="auto"/>
        </w:rPr>
      </w:pPr>
      <w:r>
        <w:rPr>
          <w:rFonts w:ascii="Courier New" w:cs="Courier New" w:eastAsia="Courier New" w:hAnsi="Courier New"/>
          <w:sz w:val="18"/>
          <w:szCs w:val="18"/>
          <w:color w:val="auto"/>
        </w:rPr>
        <w:t>On November 6, 2001, a customer of IMC filed for voluntary Chapter 7 bankruptcy. As of September 30, 2001 the Company had a trade accounts receivable balance of approximately $1.0 million with this customer, which has subsequently been reduced to approximately $0.8 million. For the nine-month period ended September 30, 2001, the Company recorded sales of approximately $1.8 million to this customer. As of September 30, 2001, the Company has increased its allowance for doubtful accounts by approximately $0.4 million as a result of this bankruptcy filing.</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Results of Operations</w:t>
      </w:r>
    </w:p>
    <w:p>
      <w:pPr>
        <w:spacing w:after="0" w:line="201" w:lineRule="exact"/>
        <w:rPr>
          <w:sz w:val="20"/>
          <w:szCs w:val="20"/>
          <w:color w:val="auto"/>
        </w:rPr>
      </w:pPr>
    </w:p>
    <w:p>
      <w:pPr>
        <w:ind w:right="2619"/>
        <w:spacing w:after="0" w:line="396" w:lineRule="auto"/>
        <w:rPr>
          <w:sz w:val="20"/>
          <w:szCs w:val="20"/>
          <w:color w:val="auto"/>
        </w:rPr>
      </w:pPr>
      <w:r>
        <w:rPr>
          <w:rFonts w:ascii="Courier New" w:cs="Courier New" w:eastAsia="Courier New" w:hAnsi="Courier New"/>
          <w:sz w:val="18"/>
          <w:szCs w:val="18"/>
          <w:b w:val="1"/>
          <w:bCs w:val="1"/>
          <w:color w:val="auto"/>
        </w:rPr>
        <w:t>Three Months Ended September 30, 2001 Compared to the Three Months Ended September 30, 2000</w:t>
      </w:r>
    </w:p>
    <w:p>
      <w:pPr>
        <w:spacing w:after="0" w:line="173"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i w:val="1"/>
          <w:iCs w:val="1"/>
          <w:color w:val="auto"/>
        </w:rPr>
        <w:t xml:space="preserve">Net Sales. </w:t>
      </w:r>
      <w:r>
        <w:rPr>
          <w:rFonts w:ascii="Courier New" w:cs="Courier New" w:eastAsia="Courier New" w:hAnsi="Courier New"/>
          <w:sz w:val="18"/>
          <w:szCs w:val="18"/>
          <w:color w:val="auto"/>
        </w:rPr>
        <w:t>Net sales increased by approximately $5.5 million, or 14.8%,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$37.1 million for the third quarter of 2000 to $42.6 million for the third quarter of 2001. The formation of Euroball in July of 2000 contributed $5.8 million of the increase, including the third quarter net sales of the Ireland facility, which was consolidated into the results of the Company prior to the formation of Euroball. The Company's acquisition of Delta on February 16, 2001 contributed an additional $3.6 million to the increase. Offsetting these increases were decreased sales of $3.4 million and $0.5 million for the Company's domestic ball and roller and plastics divisions, respectively. These decreases were due mainly to decreased demand for the Company's products in the U. S. related to the soft domestic economy.</w:t>
      </w:r>
    </w:p>
    <w:p>
      <w:pPr>
        <w:spacing w:after="0" w:line="104"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i w:val="1"/>
          <w:iCs w:val="1"/>
          <w:color w:val="auto"/>
        </w:rPr>
        <w:t xml:space="preserve">Gross Profit. </w:t>
      </w:r>
      <w:r>
        <w:rPr>
          <w:rFonts w:ascii="Courier New" w:cs="Courier New" w:eastAsia="Courier New" w:hAnsi="Courier New"/>
          <w:sz w:val="18"/>
          <w:szCs w:val="18"/>
          <w:color w:val="auto"/>
        </w:rPr>
        <w:t>Gross profit decreased approximately $1.3 million or 11.7%,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$11.0 million for the third quarter of 2000 to $9.7 million for the third quarter of 2000. This decrease was due to decreased gross profits at the domestic ball and roller and plastics divisions of $1.7 million and $0.9 million respectively primarily due to decreased revenues. Offsetting these decreases were contributions from Euroball of $0.5 million. The acquisition of Delta accounted for $0.8 million of increase. As a percentage of net sales, gross profit decreased from 29.6% in the third quarter of 2000 to 22.8% for the same period in 2001. This decrease in gross profit as a percentage of net sales was due primarily to decreased levels of revenue volumes at the domestic divisions and the resulting de-leverage of margins as compared to the same period in the prior year.</w:t>
      </w:r>
    </w:p>
    <w:p>
      <w:pPr>
        <w:spacing w:after="0" w:line="105" w:lineRule="exact"/>
        <w:rPr>
          <w:sz w:val="20"/>
          <w:szCs w:val="20"/>
          <w:color w:val="auto"/>
        </w:rPr>
      </w:pPr>
    </w:p>
    <w:p>
      <w:pPr>
        <w:ind w:right="1879"/>
        <w:spacing w:after="0" w:line="283" w:lineRule="auto"/>
        <w:rPr>
          <w:sz w:val="20"/>
          <w:szCs w:val="20"/>
          <w:color w:val="auto"/>
        </w:rPr>
      </w:pPr>
      <w:r>
        <w:rPr>
          <w:rFonts w:ascii="Courier New" w:cs="Courier New" w:eastAsia="Courier New" w:hAnsi="Courier New"/>
          <w:sz w:val="16"/>
          <w:szCs w:val="16"/>
          <w:i w:val="1"/>
          <w:iCs w:val="1"/>
          <w:color w:val="auto"/>
        </w:rPr>
        <w:t xml:space="preserve">Selling, General and Administrative. </w:t>
      </w:r>
      <w:r>
        <w:rPr>
          <w:rFonts w:ascii="Courier New" w:cs="Courier New" w:eastAsia="Courier New" w:hAnsi="Courier New"/>
          <w:sz w:val="16"/>
          <w:szCs w:val="16"/>
          <w:color w:val="auto"/>
        </w:rPr>
        <w:t>Selling, general and administrative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expenses increased by approximately $0.9 million or 28.2% from $3.2 million in the third quarter of 2001 to $4.1 million in the third quarter of 2001. The formation of Euroball contributed $0.6 million of the increase. The acquisition of Delta contributed $0.4 million of the increase. Additionally, the recording of a reserve for doubtful accounts related to a plastics customer declaring bankruptcy contributed $0.4 million of the increase. Primarily offsetting these increases were decreases for the plastic and the ball and roller division due primarily to planned administrative reductions. As a percentage of net sales, selling, general and administrative expenses increased from 8.7% for the third quarter of 2000 to 9.7% for the same period in 2001.</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 xml:space="preserve">Depreciation and Amortization. </w:t>
      </w:r>
      <w:r>
        <w:rPr>
          <w:rFonts w:ascii="Courier New" w:cs="Courier New" w:eastAsia="Courier New" w:hAnsi="Courier New"/>
          <w:sz w:val="18"/>
          <w:szCs w:val="18"/>
          <w:color w:val="auto"/>
        </w:rPr>
        <w:t>Depreciation and amortization expense</w:t>
      </w:r>
    </w:p>
    <w:p>
      <w:pPr>
        <w:spacing w:after="0" w:line="3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increased by approximately $1.0 million or 37.0% from $2.5 million for the third quarter of 2000 to $3.5 million for the same period in 2001. Euroball contributed $0.4 million to the increase. The acquisition of Delta accounted for $0.4 million of the increase. The remainder of the increase is due to an increase in the amortization of loan costs of the Company's new credit facility and the amortization of goodwill related to Euroball joint venture and the Delta acquisition. As a percentage of net sales, depreciation and amortization expense increased from 6.8% in the third quarter of 2000 to 8.2% in the third quarter of 2001.</w:t>
      </w:r>
    </w:p>
    <w:p>
      <w:pPr>
        <w:spacing w:after="0" w:line="105"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Restructuring costs. </w:t>
      </w:r>
      <w:r>
        <w:rPr>
          <w:rFonts w:ascii="Courier New" w:cs="Courier New" w:eastAsia="Courier New" w:hAnsi="Courier New"/>
          <w:sz w:val="18"/>
          <w:szCs w:val="18"/>
          <w:color w:val="auto"/>
        </w:rPr>
        <w:t>The Company recorded a restructuring charge of $0.7 million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 the third quarter of 2001. The restructuring costs pertain to the Company's decision and announcement to close the Walterboro, South Carolina ball facility in December of the current year. The $0.7 million charge represents the accrual of severance costs for the approximately 80 people that will be terminated as a result of the closing. As a percentage, restructuring costs represent 1.8% of net sales in the third quarter of 2001.</w:t>
      </w:r>
    </w:p>
    <w:p>
      <w:pPr>
        <w:sectPr>
          <w:pgSz w:w="11900" w:h="16838" w:orient="portrait"/>
          <w:cols w:equalWidth="0" w:num="1">
            <w:col w:w="10219"/>
          </w:cols>
          <w:pgMar w:left="240" w:top="110" w:right="1440" w:bottom="0" w:gutter="0" w:footer="0" w:header="0"/>
        </w:sectPr>
      </w:pPr>
    </w:p>
    <w:bookmarkStart w:id="9" w:name="page10"/>
    <w:bookmarkEnd w:id="9"/>
    <w:p>
      <w:pPr>
        <w:ind w:right="1779"/>
        <w:spacing w:after="0" w:line="252" w:lineRule="auto"/>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net increased by approximately $0.2 million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from $0.7 million in the third quarter of 2000 to $0.9 million during the same period in 2001. The increase was due to interest expense incurred by the Company to finance the Delta acquisition. In February 2001, the Company borrowed $22.5 million under its credit facility for the purchase of Delta. This increase was partially offset by decreased interest rates on the Company's credit facility as well as decreased amounts outstanding on the Euroball debt. As a percentage of net sales, interest expense, net increased from 1.8% in the third quarter of 2000 to 2.2% for the same period in 2001.</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Equity in (Earnings) Loss of Unconsolidated Affiliates. </w:t>
      </w:r>
      <w:r>
        <w:rPr>
          <w:rFonts w:ascii="Courier New" w:cs="Courier New" w:eastAsia="Courier New" w:hAnsi="Courier New"/>
          <w:sz w:val="18"/>
          <w:szCs w:val="18"/>
          <w:color w:val="auto"/>
        </w:rPr>
        <w:t>Equity in (earnings)</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loss of unconsolidated affiliates changed from a gain of $39,000 in the third quarter of 2000 to a loss of $13,000 during the same period of 2001. The decrease is due to the Company's share of earnings from the NN General joint venture with General Bearing Corporation. Earnings from this venture were offset by losses incurred from the start-up of NN Asia, a joint venture formed to market products produced by NN General.</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The Company recognized a net gain 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involuntary conversion of $1.4 million in the third quarter of 2001. The gain is due to insurance proceeds received from the insurance company related to the excess of insurance proceeds over the net book value of assets destroyed in the March 12, 2000 fire at the Erwin, Tennessee facility.</w:t>
      </w:r>
    </w:p>
    <w:p>
      <w:pPr>
        <w:spacing w:after="0" w:line="9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Subsidiaries. </w:t>
      </w:r>
      <w:r>
        <w:rPr>
          <w:rFonts w:ascii="Courier New" w:cs="Courier New" w:eastAsia="Courier New" w:hAnsi="Courier New"/>
          <w:sz w:val="18"/>
          <w:szCs w:val="18"/>
          <w:color w:val="auto"/>
        </w:rPr>
        <w:t>Minority interest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consolidated subsidiaries decreased $0.2 million from $0.4 million for the third quarter of 2000 to $0.2 million for the third quarter of 2001. This decrease is due to decreased earnings at the Company's Euroball and Arte joint ventures, which began operations in the third quarter and fourth quarter of 2000, respectively. The Company is required to consolidate these joint ventures due to its ability to exercise control over its operations. The Company owns 54% of the shares of Euroball and 51% of the shares of Arte. Minority interest of consolidated subsidiary represents the combined interest of the minority partners of Euroball at 46% and Arte at 49%, respectively.</w:t>
      </w:r>
    </w:p>
    <w:p>
      <w:pPr>
        <w:spacing w:after="0" w:line="104"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i w:val="1"/>
          <w:iCs w:val="1"/>
          <w:color w:val="auto"/>
        </w:rPr>
        <w:t xml:space="preserve">Net Income. </w:t>
      </w:r>
      <w:r>
        <w:rPr>
          <w:rFonts w:ascii="Courier New" w:cs="Courier New" w:eastAsia="Courier New" w:hAnsi="Courier New"/>
          <w:sz w:val="18"/>
          <w:szCs w:val="18"/>
          <w:color w:val="auto"/>
        </w:rPr>
        <w:t>Net income decreased by $1.7 million or 69.5%, from $2.4 million for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the third quarter of 2000 to $0.7 million for the same period in 2001. As a percentage of net sales, net income decreased from 6.6% in the third quarter of 2000 to 1.7% for the third quarter of 2001.</w:t>
      </w:r>
    </w:p>
    <w:p>
      <w:pPr>
        <w:spacing w:after="0" w:line="248" w:lineRule="exact"/>
        <w:rPr>
          <w:sz w:val="20"/>
          <w:szCs w:val="20"/>
          <w:color w:val="auto"/>
        </w:rPr>
      </w:pPr>
    </w:p>
    <w:p>
      <w:pPr>
        <w:ind w:right="1779"/>
        <w:spacing w:after="0" w:line="378" w:lineRule="auto"/>
        <w:rPr>
          <w:sz w:val="20"/>
          <w:szCs w:val="20"/>
          <w:color w:val="auto"/>
        </w:rPr>
      </w:pPr>
      <w:r>
        <w:rPr>
          <w:rFonts w:ascii="Courier New" w:cs="Courier New" w:eastAsia="Courier New" w:hAnsi="Courier New"/>
          <w:sz w:val="18"/>
          <w:szCs w:val="18"/>
          <w:b w:val="1"/>
          <w:bCs w:val="1"/>
          <w:color w:val="auto"/>
        </w:rPr>
        <w:t>Nine Months Ended September 30, 2001 Compared to the Nine Months Ended September 30, 2000</w:t>
      </w:r>
    </w:p>
    <w:p>
      <w:pPr>
        <w:spacing w:after="0" w:line="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i w:val="1"/>
          <w:iCs w:val="1"/>
          <w:color w:val="auto"/>
        </w:rPr>
        <w:t xml:space="preserve">Net Sales. </w:t>
      </w:r>
      <w:r>
        <w:rPr>
          <w:rFonts w:ascii="Courier New" w:cs="Courier New" w:eastAsia="Courier New" w:hAnsi="Courier New"/>
          <w:sz w:val="18"/>
          <w:szCs w:val="18"/>
          <w:color w:val="auto"/>
        </w:rPr>
        <w:t>Net sales increased by approximately $49.4 million, or 54.5%,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$90.7 million for the first nine months of 2000 to $140.2 million for the same period in 2001. The formation of Euroball in July of 2000 contributed $48.7 million of the increase and the Company's acquisition of Delta on February 16, 2001 contributed an additional $10.3 million of the increase. Offsetting these increases were decreased sales of $6.1 million and $3.5 million from the Company's ball and roller division and IMC, respectively. These decreases were due mainly to domestic economic conditions and resulting reduced demand for the Company's products for the first half of 2001.</w:t>
      </w:r>
    </w:p>
    <w:p>
      <w:pPr>
        <w:spacing w:after="0" w:line="99"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i w:val="1"/>
          <w:iCs w:val="1"/>
          <w:color w:val="auto"/>
        </w:rPr>
        <w:t xml:space="preserve">Gross Profit. </w:t>
      </w:r>
      <w:r>
        <w:rPr>
          <w:rFonts w:ascii="Courier New" w:cs="Courier New" w:eastAsia="Courier New" w:hAnsi="Courier New"/>
          <w:sz w:val="16"/>
          <w:szCs w:val="16"/>
          <w:color w:val="auto"/>
        </w:rPr>
        <w:t>Gross profit increased by approximately $7.5 million, or 28.3%,</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from $26.3 million for the first nine months of 2000 to $33.8 million for the same period in 2001. The formation of Euroball in July 2000 contributed $11.0 million of the increase. The acquisition of Delta, in February of 2001, contributed an additional $2.6 million of the increase. Offsetting these increases were decreased gross profits of $3.1 million and $3.0 million at the domestic ball and roller division and plastics divisions respectively primarily due to decreased revenues at the domestic ball and roller and plastics division. As a percentage of net sales, gross profit decreased from 29.0% in the first nine months of 2000 to 24.1% in the same period of 2001. This decrease in gross profit as a percentage of net sales was due primarily to decreased levels of revenue volumes at the domestic divisions and the resulting de-leverage of margins as compared to the same period in the prior year.</w:t>
      </w:r>
    </w:p>
    <w:p>
      <w:pPr>
        <w:spacing w:after="0" w:line="290" w:lineRule="exact"/>
        <w:rPr>
          <w:sz w:val="20"/>
          <w:szCs w:val="20"/>
          <w:color w:val="auto"/>
        </w:rPr>
      </w:pPr>
    </w:p>
    <w:p>
      <w:pPr>
        <w:ind w:right="1259"/>
        <w:spacing w:after="0" w:line="253" w:lineRule="auto"/>
        <w:rPr>
          <w:sz w:val="20"/>
          <w:szCs w:val="20"/>
          <w:color w:val="auto"/>
        </w:rPr>
      </w:pPr>
      <w:r>
        <w:rPr>
          <w:rFonts w:ascii="Courier New" w:cs="Courier New" w:eastAsia="Courier New" w:hAnsi="Courier New"/>
          <w:sz w:val="18"/>
          <w:szCs w:val="18"/>
          <w:i w:val="1"/>
          <w:iCs w:val="1"/>
          <w:color w:val="auto"/>
        </w:rPr>
        <w:t>Selling, General and Administrative.</w:t>
      </w:r>
      <w:r>
        <w:rPr>
          <w:rFonts w:ascii="Courier New" w:cs="Courier New" w:eastAsia="Courier New" w:hAnsi="Courier New"/>
          <w:sz w:val="18"/>
          <w:szCs w:val="18"/>
          <w:color w:val="auto"/>
        </w:rPr>
        <w:t>Selling, general and administrative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expenses increased by approximately $4.0 million, or 50.3%, from $8.0 million in the first nine months of 2000 to $12.0 million in the same period in 2001. The formation of Euroball in July 2000 contributed $3.6 million of the increase. The Company's acquisition of Delta in February 2001 contributed $0.8 million of the increase. Additionally, the recording of a reserve for doubtful accounts related to a plastics customer declaring bankruptcy contributed $0.4 million of the increase. Offsetting this increase were decreases related to planned administrative</w:t>
      </w:r>
    </w:p>
    <w:p>
      <w:pPr>
        <w:sectPr>
          <w:pgSz w:w="11900" w:h="16838" w:orient="portrait"/>
          <w:cols w:equalWidth="0" w:num="1">
            <w:col w:w="10219"/>
          </w:cols>
          <w:pgMar w:left="240" w:top="312" w:right="1440" w:bottom="0" w:gutter="0" w:footer="0" w:header="0"/>
        </w:sectPr>
      </w:pPr>
    </w:p>
    <w:bookmarkStart w:id="10" w:name="page11"/>
    <w:bookmarkEnd w:id="10"/>
    <w:p>
      <w:pPr>
        <w:ind w:right="1999"/>
        <w:spacing w:after="0" w:line="292" w:lineRule="auto"/>
        <w:rPr>
          <w:sz w:val="20"/>
          <w:szCs w:val="20"/>
          <w:color w:val="auto"/>
        </w:rPr>
      </w:pPr>
      <w:r>
        <w:rPr>
          <w:rFonts w:ascii="Courier New" w:cs="Courier New" w:eastAsia="Courier New" w:hAnsi="Courier New"/>
          <w:sz w:val="18"/>
          <w:szCs w:val="18"/>
          <w:color w:val="auto"/>
        </w:rPr>
        <w:t>reductions mainly at the Company's plastic division.. As a percentage of net sales, selling, general and administrative expenses decreased from 8.8% in the first nine months of 2000 to 8.6% for the same period in 2001.</w:t>
      </w:r>
    </w:p>
    <w:p>
      <w:pPr>
        <w:spacing w:after="0" w:line="66"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i w:val="1"/>
          <w:iCs w:val="1"/>
          <w:color w:val="auto"/>
        </w:rPr>
        <w:t xml:space="preserve">Depreciation and Amortization. </w:t>
      </w:r>
      <w:r>
        <w:rPr>
          <w:rFonts w:ascii="Courier New" w:cs="Courier New" w:eastAsia="Courier New" w:hAnsi="Courier New"/>
          <w:sz w:val="18"/>
          <w:szCs w:val="18"/>
          <w:color w:val="auto"/>
        </w:rPr>
        <w:t>Depreciation and amortization expense increased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approximately $4.1</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from $6.1 million for the first nine months of 2000 to $10.2 million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same period in 2001. The formation of Euroball in July 2000 contributed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million. The Company's acquisition of Delta in February 2001 contributed</w:t>
      </w:r>
    </w:p>
    <w:p>
      <w:pPr>
        <w:spacing w:after="0"/>
        <w:rPr>
          <w:sz w:val="20"/>
          <w:szCs w:val="20"/>
          <w:color w:val="auto"/>
        </w:rPr>
      </w:pPr>
      <w:r>
        <w:rPr>
          <w:rFonts w:ascii="Courier New" w:cs="Courier New" w:eastAsia="Courier New" w:hAnsi="Courier New"/>
          <w:sz w:val="16"/>
          <w:szCs w:val="16"/>
          <w:color w:val="auto"/>
        </w:rPr>
        <w:t>$0.9 million of the increase. The remainder of the increase was due to purchases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capital equipment at the Company's domestic ball and roller and IMC</w:t>
      </w:r>
    </w:p>
    <w:p>
      <w:pPr>
        <w:spacing w:after="0" w:line="238" w:lineRule="auto"/>
        <w:rPr>
          <w:sz w:val="20"/>
          <w:szCs w:val="20"/>
          <w:color w:val="auto"/>
        </w:rPr>
      </w:pPr>
      <w:r>
        <w:rPr>
          <w:rFonts w:ascii="Courier New" w:cs="Courier New" w:eastAsia="Courier New" w:hAnsi="Courier New"/>
          <w:sz w:val="18"/>
          <w:szCs w:val="18"/>
          <w:color w:val="auto"/>
        </w:rPr>
        <w:t>facilities as well as the amortization of loan costs related to the Company's</w:t>
      </w:r>
    </w:p>
    <w:p>
      <w:pPr>
        <w:spacing w:after="0"/>
        <w:rPr>
          <w:sz w:val="20"/>
          <w:szCs w:val="20"/>
          <w:color w:val="auto"/>
        </w:rPr>
      </w:pPr>
      <w:r>
        <w:rPr>
          <w:rFonts w:ascii="Courier New" w:cs="Courier New" w:eastAsia="Courier New" w:hAnsi="Courier New"/>
          <w:sz w:val="16"/>
          <w:szCs w:val="16"/>
          <w:color w:val="auto"/>
        </w:rPr>
        <w:t>new credit facility. As a percentage of net sales, depreciation and amortization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 increased from 6.7% for the first nine months of 2000 to 7.2% for the</w:t>
      </w:r>
    </w:p>
    <w:p>
      <w:pPr>
        <w:spacing w:after="0"/>
        <w:rPr>
          <w:sz w:val="20"/>
          <w:szCs w:val="20"/>
          <w:color w:val="auto"/>
        </w:rPr>
      </w:pPr>
      <w:r>
        <w:rPr>
          <w:rFonts w:ascii="Courier New" w:cs="Courier New" w:eastAsia="Courier New" w:hAnsi="Courier New"/>
          <w:sz w:val="18"/>
          <w:szCs w:val="18"/>
          <w:color w:val="auto"/>
        </w:rPr>
        <w:t>same period in 2001.</w:t>
      </w:r>
    </w:p>
    <w:p>
      <w:pPr>
        <w:spacing w:after="0" w:line="16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Restructuring costs. </w:t>
      </w:r>
      <w:r>
        <w:rPr>
          <w:rFonts w:ascii="Courier New" w:cs="Courier New" w:eastAsia="Courier New" w:hAnsi="Courier New"/>
          <w:sz w:val="18"/>
          <w:szCs w:val="18"/>
          <w:color w:val="auto"/>
        </w:rPr>
        <w:t>The Company recorded a restructuring charge of $0.7 million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 the third quarter of 2001. The restructuring costs pertain to the Company's decision and announcement to close the Walterboro, South Carolina ball facility in December of the current year. The $0.7 million charge represents the accrual of severance costs for the approximately 80 people that will be terminated as a result of the closing. As a percentage, restructuring costs represent 0.5% of net sales for the first nine months of 2001.</w:t>
      </w:r>
    </w:p>
    <w:p>
      <w:pPr>
        <w:spacing w:after="0" w:line="98"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i w:val="1"/>
          <w:iCs w:val="1"/>
          <w:color w:val="auto"/>
        </w:rPr>
        <w:t xml:space="preserve">Interest Expense. </w:t>
      </w:r>
      <w:r>
        <w:rPr>
          <w:rFonts w:ascii="Courier New" w:cs="Courier New" w:eastAsia="Courier New" w:hAnsi="Courier New"/>
          <w:sz w:val="16"/>
          <w:szCs w:val="16"/>
          <w:color w:val="auto"/>
        </w:rPr>
        <w:t>Interest expense, net increased by approximately $2.0 million</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from $1.2 in the first nine months of 2000 to $3.2 million during the same period in 2001. Interest expense incurred by Euroball to finance the joint venture transaction accounted for $1.0 million of the increase. The remainder of the increase was due to amounts outstanding under the Company's credit facility in the first nine months of 2001. In February 2001, the Company borrowed $22.5 million under the credit facility for the purchase of the Delta Rubber Company. As a percentage of net sales, interest expense, net increased from 1.3% in the first nine months of 2000 to 2.3% for the same period in 2001.</w:t>
      </w:r>
    </w:p>
    <w:p>
      <w:pPr>
        <w:spacing w:after="0" w:line="75"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Equity in Earnings of Unconsolidated Affiliates. </w:t>
      </w:r>
      <w:r>
        <w:rPr>
          <w:rFonts w:ascii="Courier New" w:cs="Courier New" w:eastAsia="Courier New" w:hAnsi="Courier New"/>
          <w:sz w:val="18"/>
          <w:szCs w:val="18"/>
          <w:color w:val="auto"/>
        </w:rPr>
        <w:t>Equity in earnings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unconsolidated affiliates changed from a gain of $105,000 in the first nine months of 2000 to a gain of $13,000 during the same period of 2001. The decrease is due to the Company's share of earnings from the NN General joint venture with General Bearing Corporation. Earnings from this venture were offset by losses incurred from the start-up of NN Asia, a joint venture formed to market products produced by NN General.</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The Company recognized a net gain 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involuntary conversion of $3.9 million in the first nine months of 2001. The gain is due to insurance proceeds received from the insurance company related to the excess of insurance proceeds over the net book value of assets destroyed in the March 12, 2000 fire at the Erwin, Tennessee facility.</w:t>
      </w:r>
    </w:p>
    <w:p>
      <w:pPr>
        <w:spacing w:after="0" w:line="9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Subsidiary. </w:t>
      </w:r>
      <w:r>
        <w:rPr>
          <w:rFonts w:ascii="Courier New" w:cs="Courier New" w:eastAsia="Courier New" w:hAnsi="Courier New"/>
          <w:sz w:val="18"/>
          <w:szCs w:val="18"/>
          <w:color w:val="auto"/>
        </w:rPr>
        <w:t>Minority interest of consolidated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subsidiary increased $0.9 million from $0.4 million for the first nine months of 2000 to $1.3 million for the first nine months of 2001. This change is due to the Company's Euroball and Arte joint ventures, which began operations in the third and fourth quarters in 2000, respectively. The Company is required to consolidate these joint ventures due to its ability to exercise control over its operations. The Company owns 54% of the shares of Euroball and 51% of the shares of Arte. Minority interest of consolidated subsidiary represents the combined interest of the minority partners of Euroball at 46% and Arte at 49% respectively.</w:t>
      </w:r>
    </w:p>
    <w:p>
      <w:pPr>
        <w:spacing w:after="0" w:line="104" w:lineRule="exact"/>
        <w:rPr>
          <w:sz w:val="20"/>
          <w:szCs w:val="20"/>
          <w:color w:val="auto"/>
        </w:rPr>
      </w:pPr>
    </w:p>
    <w:p>
      <w:pPr>
        <w:ind w:right="1999"/>
        <w:spacing w:after="0" w:line="318" w:lineRule="auto"/>
        <w:rPr>
          <w:sz w:val="20"/>
          <w:szCs w:val="20"/>
          <w:color w:val="auto"/>
        </w:rPr>
      </w:pPr>
      <w:r>
        <w:rPr>
          <w:rFonts w:ascii="Courier New" w:cs="Courier New" w:eastAsia="Courier New" w:hAnsi="Courier New"/>
          <w:sz w:val="16"/>
          <w:szCs w:val="16"/>
          <w:i w:val="1"/>
          <w:iCs w:val="1"/>
          <w:color w:val="auto"/>
        </w:rPr>
        <w:t xml:space="preserve">Net Income. </w:t>
      </w:r>
      <w:r>
        <w:rPr>
          <w:rFonts w:ascii="Courier New" w:cs="Courier New" w:eastAsia="Courier New" w:hAnsi="Courier New"/>
          <w:sz w:val="16"/>
          <w:szCs w:val="16"/>
          <w:color w:val="auto"/>
        </w:rPr>
        <w:t>Net income decreased by approximately $1.1 million, or 16.1%, from</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$6.8 million for the first nine months of 2000 to $5.7 million for the same period for 2001. As a percentage of net sales, net income decreased from 7.5% for the first nine months of 2000 to 4.1% for the same period for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Liquidity and Capital Resources</w:t>
      </w:r>
    </w:p>
    <w:p>
      <w:pPr>
        <w:spacing w:after="0" w:line="237"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plus an applicable margin of 0.75% to</w:t>
      </w:r>
    </w:p>
    <w:p>
      <w:pPr>
        <w:sectPr>
          <w:pgSz w:w="11900" w:h="16838" w:orient="portrait"/>
          <w:cols w:equalWidth="0" w:num="1">
            <w:col w:w="10219"/>
          </w:cols>
          <w:pgMar w:left="240" w:top="110" w:right="1440" w:bottom="0" w:gutter="0" w:footer="0" w:header="0"/>
        </w:sectPr>
      </w:pPr>
    </w:p>
    <w:bookmarkStart w:id="11" w:name="page12"/>
    <w:bookmarkEnd w:id="11"/>
    <w:p>
      <w:pPr>
        <w:ind w:right="2099"/>
        <w:spacing w:after="0" w:line="292" w:lineRule="auto"/>
        <w:rPr>
          <w:sz w:val="20"/>
          <w:szCs w:val="20"/>
          <w:color w:val="auto"/>
        </w:rPr>
      </w:pPr>
      <w:r>
        <w:rPr>
          <w:rFonts w:ascii="Courier New" w:cs="Courier New" w:eastAsia="Courier New" w:hAnsi="Courier New"/>
          <w:sz w:val="18"/>
          <w:szCs w:val="18"/>
          <w:color w:val="auto"/>
        </w:rPr>
        <w:t>2.00% based upon calculated financial ratios. The loan agreement contains customary financial and non-financial covenants. The Company, as of September 30, 2001 was in compliance with all such covenants.</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1.50% to 2.25% based upon calculated financial ratios. The loan agreement contains various restrictive financial and non-financial covenants. The Company, as of September 30, 2001 was in compliance with all such covenants.</w:t>
      </w:r>
    </w:p>
    <w:p>
      <w:pPr>
        <w:spacing w:after="0" w:line="108"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customer uses the product. The Company's net sales historically have not been of a seasonal nature. However, seasonality has become a factor for the foreign ball and roller sales in that many foreign customers cease production during the month of August. The Company also experiences seasonal fluctuations through its plastics division, which provides several lines of Christmas seasonal hardware.</w:t>
      </w:r>
    </w:p>
    <w:p>
      <w:pPr>
        <w:spacing w:after="0" w:line="29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77"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Working capital, which consists principally of accounts receivable and inventories, was $22.3 million at September 30, 2001 as compared to $28.2 million at December 31, 2000. The ratio of current assets to current liabilities decreased from 1.79:1 at December 31, 2000 to 1.51:1 at September 30, 2001. Cash flow from operations increased from $14.7 million during the nine months of 2000 to $19.2 million during the first nine months of 2001.</w:t>
      </w:r>
    </w:p>
    <w:p>
      <w:pPr>
        <w:spacing w:after="0" w:line="9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During 2001, the Company plans to spend approximately $7.2 million on capital expenditures (of which approximately $5.0 million has been spent through September 30, 2001) including the purchase of additional machinery and equipment for all of the Company's domestic facilities as well as the three European facilities. The Company intends to finance these activities with cash generated from operations and funds available under the credit facilities described above. The Company believes that funds generated from operations and borrowings from the credit facilities will be sufficient to finance the Company's working capital needs and projected capital expenditure requirements through December 2001.</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The Euro</w:t>
      </w:r>
    </w:p>
    <w:p>
      <w:pPr>
        <w:spacing w:after="0" w:line="23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treaty on European Union provides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04"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Company currently has operations in Italy, Germany and Ireland, all of which are Euro participating</w:t>
      </w:r>
    </w:p>
    <w:p>
      <w:pPr>
        <w:sectPr>
          <w:pgSz w:w="11900" w:h="16838" w:orient="portrait"/>
          <w:cols w:equalWidth="0" w:num="1">
            <w:col w:w="10219"/>
          </w:cols>
          <w:pgMar w:left="240" w:top="110" w:right="1440" w:bottom="0" w:gutter="0" w:footer="0" w:header="0"/>
        </w:sectPr>
      </w:pP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0219"/>
          </w:cols>
          <w:pgMar w:left="240" w:top="110" w:right="144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21590"/>
                    </a:xfrm>
                    <a:prstGeom prst="rect">
                      <a:avLst/>
                    </a:prstGeom>
                    <a:noFill/>
                  </pic:spPr>
                </pic:pic>
              </a:graphicData>
            </a:graphic>
          </wp:anchor>
        </w:drawing>
      </w:r>
    </w:p>
    <w:p>
      <w:pPr>
        <w:ind w:right="2619"/>
        <w:spacing w:after="0" w:line="292" w:lineRule="auto"/>
        <w:rPr>
          <w:sz w:val="20"/>
          <w:szCs w:val="20"/>
          <w:color w:val="auto"/>
        </w:rPr>
      </w:pPr>
      <w:r>
        <w:rPr>
          <w:rFonts w:ascii="Courier New" w:cs="Courier New" w:eastAsia="Courier New" w:hAnsi="Courier New"/>
          <w:sz w:val="18"/>
          <w:szCs w:val="18"/>
          <w:color w:val="auto"/>
        </w:rPr>
        <w:t>countries, and sells product to customers in many of the participating countries. The Euro has been adopted as the functional currency at these locations.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Seasonality and Fluctuation in Quarterly Results</w:t>
      </w:r>
    </w:p>
    <w:p>
      <w:pPr>
        <w:spacing w:after="0" w:line="237"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Company's net sales historically have been of a seasonal nature. However, as foreign sales have increased as a percentage of total sales, seasonality has become a factor for the Company in that many foreign customers cease production during the month of August.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Inflation and Changes in Prices</w:t>
      </w:r>
    </w:p>
    <w:p>
      <w:pPr>
        <w:spacing w:after="0" w:line="237"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Other Information</w:t>
      </w:r>
    </w:p>
    <w:p>
      <w:pPr>
        <w:spacing w:after="0" w:line="197"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On September 5, 2001 the Company's board of directors named Roderick R. Baty as Chairman and Chief Executive Officer effectively immediately. Mr. Baty has served as the Company's President and Chief Executive Officer since 1997. Mr. Baty replaces Richard D. Ennen who has served as Chairman for the past 21 years. Mr. Ennen will continue to serve on the Company's board.</w:t>
      </w:r>
    </w:p>
    <w:p>
      <w:pPr>
        <w:spacing w:after="0" w:line="54" w:lineRule="exact"/>
        <w:rPr>
          <w:sz w:val="20"/>
          <w:szCs w:val="20"/>
          <w:color w:val="auto"/>
        </w:rPr>
      </w:pPr>
    </w:p>
    <w:p>
      <w:pPr>
        <w:ind w:right="2519"/>
        <w:spacing w:after="0" w:line="378" w:lineRule="auto"/>
        <w:rPr>
          <w:sz w:val="20"/>
          <w:szCs w:val="20"/>
          <w:color w:val="auto"/>
        </w:rPr>
      </w:pPr>
      <w:r>
        <w:rPr>
          <w:rFonts w:ascii="Courier New" w:cs="Courier New" w:eastAsia="Courier New" w:hAnsi="Courier New"/>
          <w:sz w:val="18"/>
          <w:szCs w:val="18"/>
          <w:b w:val="1"/>
          <w:bCs w:val="1"/>
          <w:color w:val="auto"/>
        </w:rPr>
        <w:t>Cautionary Statements for Purposes of the "Safe Harbor" Provisions of the Private Securities Litigation Reform Act of 1995</w:t>
      </w:r>
    </w:p>
    <w:p>
      <w:pPr>
        <w:spacing w:after="0" w:line="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72"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9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i w:val="1"/>
          <w:iCs w:val="1"/>
          <w:color w:val="auto"/>
        </w:rPr>
        <w:t xml:space="preserve">Industry Risks. </w:t>
      </w:r>
      <w:r>
        <w:rPr>
          <w:rFonts w:ascii="Courier New" w:cs="Courier New" w:eastAsia="Courier New" w:hAnsi="Courier New"/>
          <w:sz w:val="18"/>
          <w:szCs w:val="18"/>
          <w:color w:val="auto"/>
        </w:rPr>
        <w:t>Both the precision ball &amp; roller and precision plastics</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9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i w:val="1"/>
          <w:iCs w:val="1"/>
          <w:color w:val="auto"/>
        </w:rPr>
        <w:t xml:space="preserve">Competition. </w:t>
      </w:r>
      <w:r>
        <w:rPr>
          <w:rFonts w:ascii="Courier New" w:cs="Courier New" w:eastAsia="Courier New" w:hAnsi="Courier New"/>
          <w:sz w:val="18"/>
          <w:szCs w:val="18"/>
          <w:color w:val="auto"/>
        </w:rPr>
        <w:t>The precision ball &amp; roller market and the precision plastics</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markets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1879"/>
        <w:spacing w:after="0" w:line="372" w:lineRule="auto"/>
        <w:rPr>
          <w:sz w:val="20"/>
          <w:szCs w:val="20"/>
          <w:color w:val="auto"/>
        </w:rPr>
      </w:pPr>
      <w:r>
        <w:rPr>
          <w:rFonts w:ascii="Courier New" w:cs="Courier New" w:eastAsia="Courier New" w:hAnsi="Courier New"/>
          <w:sz w:val="16"/>
          <w:szCs w:val="16"/>
          <w:color w:val="auto"/>
        </w:rPr>
        <w:t>third parties. The Company faces a risk that its customers will decide to produce balls and rollers internally rather than outsourcing their needs to the</w:t>
      </w:r>
    </w:p>
    <w:p>
      <w:pPr>
        <w:sectPr>
          <w:pgSz w:w="11900" w:h="17038" w:orient="portrait"/>
          <w:cols w:equalWidth="0" w:num="1">
            <w:col w:w="10219"/>
          </w:cols>
          <w:pgMar w:left="240" w:top="501" w:right="1440" w:bottom="0" w:gutter="0" w:footer="0" w:header="0"/>
        </w:sectPr>
      </w:pPr>
    </w:p>
    <w:bookmarkStart w:id="13" w:name="page14"/>
    <w:bookmarkEnd w:id="13"/>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i w:val="1"/>
          <w:iCs w:val="1"/>
          <w:color w:val="auto"/>
        </w:rPr>
        <w:t xml:space="preserve">Rapid Growth. </w:t>
      </w:r>
      <w:r>
        <w:rPr>
          <w:rFonts w:ascii="Courier New" w:cs="Courier New" w:eastAsia="Courier New" w:hAnsi="Courier New"/>
          <w:sz w:val="18"/>
          <w:szCs w:val="18"/>
          <w:color w:val="auto"/>
        </w:rPr>
        <w:t>The Company has significantly expanded its ball and roller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production facilities and capacity over the last several years, and during the third quarter of 2000 started a jointly owned stand-alone company in Europe for the manufacture and sale of precision chrome steel balls. Although the Company's Ball &amp; Roller division is currently operating at near full capacity, downturns in the economy and other factors could result in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99"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i w:val="1"/>
          <w:iCs w:val="1"/>
          <w:color w:val="auto"/>
        </w:rPr>
        <w:t xml:space="preserve">Raw Material Shortages. </w:t>
      </w:r>
      <w:r>
        <w:rPr>
          <w:rFonts w:ascii="Courier New" w:cs="Courier New" w:eastAsia="Courier New" w:hAnsi="Courier New"/>
          <w:sz w:val="18"/>
          <w:szCs w:val="18"/>
          <w:color w:val="auto"/>
        </w:rPr>
        <w:t>Because the balls and rollers manufactured by the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93" w:lineRule="exact"/>
        <w:rPr>
          <w:sz w:val="20"/>
          <w:szCs w:val="20"/>
          <w:color w:val="auto"/>
        </w:rPr>
      </w:pPr>
    </w:p>
    <w:p>
      <w:pPr>
        <w:ind w:right="1999"/>
        <w:spacing w:after="0" w:line="278" w:lineRule="auto"/>
        <w:rPr>
          <w:sz w:val="20"/>
          <w:szCs w:val="20"/>
          <w:color w:val="auto"/>
        </w:rPr>
      </w:pPr>
      <w:r>
        <w:rPr>
          <w:rFonts w:ascii="Courier New" w:cs="Courier New" w:eastAsia="Courier New" w:hAnsi="Courier New"/>
          <w:sz w:val="16"/>
          <w:szCs w:val="16"/>
          <w:i w:val="1"/>
          <w:iCs w:val="1"/>
          <w:color w:val="auto"/>
        </w:rPr>
        <w:t xml:space="preserve">Risks Associated with International Trade. </w:t>
      </w:r>
      <w:r>
        <w:rPr>
          <w:rFonts w:ascii="Courier New" w:cs="Courier New" w:eastAsia="Courier New" w:hAnsi="Courier New"/>
          <w:sz w:val="16"/>
          <w:szCs w:val="16"/>
          <w:color w:val="auto"/>
        </w:rPr>
        <w:t>Because the Company obtains a</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majority of its raw materials for the manufacture of balls and rollers from overseas suppliers and sells to a large number of international customers, the Company faces risks associated with (i) adverse foreign currency fluctuations,</w:t>
      </w:r>
    </w:p>
    <w:p>
      <w:pPr>
        <w:spacing w:after="0" w:line="3" w:lineRule="exact"/>
        <w:rPr>
          <w:sz w:val="20"/>
          <w:szCs w:val="20"/>
          <w:color w:val="auto"/>
        </w:rPr>
      </w:pPr>
    </w:p>
    <w:p>
      <w:pPr>
        <w:ind w:right="1779" w:firstLine="8"/>
        <w:spacing w:after="0" w:line="248"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06"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i w:val="1"/>
          <w:iCs w:val="1"/>
          <w:color w:val="auto"/>
        </w:rPr>
        <w:t xml:space="preserve">Dependence on Major Customers. </w:t>
      </w:r>
      <w:r>
        <w:rPr>
          <w:rFonts w:ascii="Courier New" w:cs="Courier New" w:eastAsia="Courier New" w:hAnsi="Courier New"/>
          <w:sz w:val="18"/>
          <w:szCs w:val="18"/>
          <w:color w:val="auto"/>
        </w:rPr>
        <w:t>During 2000, the Company's ten largest customers</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10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i w:val="1"/>
          <w:iCs w:val="1"/>
          <w:color w:val="auto"/>
        </w:rPr>
        <w:t xml:space="preserve">Acquisitions. </w:t>
      </w:r>
      <w:r>
        <w:rPr>
          <w:rFonts w:ascii="Courier New" w:cs="Courier New" w:eastAsia="Courier New" w:hAnsi="Courier New"/>
          <w:sz w:val="16"/>
          <w:szCs w:val="16"/>
          <w:color w:val="auto"/>
        </w:rPr>
        <w:t>The Company's growth strategy includes growth through</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acquisitions. In 1999, the Company acquired the IMC businesses as part of that strategy. In 2000, the Company formed the NN Euroball joint venture with SKF and FAG and began operating two new ball manufacturing facilities. In February of 2001, the Company continued to implement this strategy through the acquisition of Delta.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25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b w:val="1"/>
          <w:bCs w:val="1"/>
          <w:color w:val="auto"/>
        </w:rPr>
        <w:t>Item 3.</w:t>
      </w:r>
      <w:r>
        <w:rPr>
          <w:sz w:val="20"/>
          <w:szCs w:val="20"/>
          <w:color w:val="auto"/>
        </w:rPr>
        <w:tab/>
      </w:r>
      <w:r>
        <w:rPr>
          <w:rFonts w:ascii="Courier New" w:cs="Courier New" w:eastAsia="Courier New" w:hAnsi="Courier New"/>
          <w:sz w:val="16"/>
          <w:szCs w:val="16"/>
          <w:b w:val="1"/>
          <w:bCs w:val="1"/>
          <w:color w:val="auto"/>
        </w:rPr>
        <w:t>Quantitative and Qualitative Disclosures About Market Risk</w:t>
      </w:r>
    </w:p>
    <w:p>
      <w:pPr>
        <w:spacing w:after="0" w:line="237"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60"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The Company is exposed to changes in interest rates primarily as a result of its borrowing activities, which include a $25.0 million floating rate revolving credit facility which is used to maintain liquidity and fund its business operations as well as a $35.0 million floating rate term loan. Additionally, Euroball has a 5.0 million Euro floating rate revolving credit facility and a</w:t>
      </w:r>
    </w:p>
    <w:p>
      <w:pPr>
        <w:spacing w:after="0" w:line="3"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36.0 million Euro floating rate secured term loan. Additionally, the Company has an interest rate swap that fixes the interest rate for 12.5 million Euros</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outstanding under the facilities. The interest rate swap expires in July 2006. At September 30, 2001, the Company had $46.7 million outstanding under the domestic revolving credit facility and term loan and Euroball had $17.5 million</w:t>
      </w:r>
    </w:p>
    <w:p>
      <w:pPr>
        <w:sectPr>
          <w:pgSz w:w="11900" w:h="16864" w:orient="portrait"/>
          <w:cols w:equalWidth="0" w:num="1">
            <w:col w:w="10219"/>
          </w:cols>
          <w:pgMar w:left="240" w:top="110" w:right="1440" w:bottom="0" w:gutter="0" w:footer="0" w:header="0"/>
        </w:sectPr>
      </w:pPr>
    </w:p>
    <w:bookmarkStart w:id="14" w:name="page15"/>
    <w:bookmarkEnd w:id="14"/>
    <w:p>
      <w:pPr>
        <w:ind w:right="1879"/>
        <w:spacing w:after="0" w:line="260" w:lineRule="auto"/>
        <w:rPr>
          <w:sz w:val="20"/>
          <w:szCs w:val="20"/>
          <w:color w:val="auto"/>
        </w:rPr>
      </w:pPr>
      <w:r>
        <w:rPr>
          <w:rFonts w:ascii="Courier New" w:cs="Courier New" w:eastAsia="Courier New" w:hAnsi="Courier New"/>
          <w:sz w:val="18"/>
          <w:szCs w:val="18"/>
          <w:color w:val="auto"/>
        </w:rPr>
        <w:t>outstanding under the Euroball revolving credit facility and term loan. A one-percent increase in the interest rate charged on the Company's outstanding borrowings under the revolving credit facility and term loans would result in interest expense increasing by approximately $517,000. The nature and amount of the Company's borrowings may vary as a result of future business requirements, market conditions and other factors.</w:t>
      </w:r>
    </w:p>
    <w:p>
      <w:pPr>
        <w:spacing w:after="0" w:line="93"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related to foreign exchange rates. The Company did not hold a position in any foreign currency instruments as of September 30, 2001.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b w:val="1"/>
          <w:bCs w:val="1"/>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6. Exhibits and Reports on Form 8-K.</w:t>
      </w:r>
    </w:p>
    <w:p>
      <w:pPr>
        <w:spacing w:after="0" w:line="23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Required by Item 601 of Regulation S-K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ind w:left="540" w:right="20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5, 2001, the Company filed a Report on Form 8-K to announce the naming of Roderick R. Baty to Chairman of the Board.</w:t>
      </w:r>
    </w:p>
    <w:p>
      <w:pPr>
        <w:spacing w:after="0" w:line="18" w:lineRule="exact"/>
        <w:rPr>
          <w:rFonts w:ascii="Courier New" w:cs="Courier New" w:eastAsia="Courier New" w:hAnsi="Courier New"/>
          <w:sz w:val="18"/>
          <w:szCs w:val="18"/>
          <w:color w:val="auto"/>
        </w:rPr>
      </w:pPr>
    </w:p>
    <w:p>
      <w:pPr>
        <w:ind w:left="540"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11, 2001, the Company filed a Report on Form 8-K to announce the closing of its Walterboro, South Carolina ball facility.</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(Registrant)</w:t>
      </w:r>
    </w:p>
    <w:p>
      <w:pPr>
        <w:spacing w:after="0" w:line="372" w:lineRule="exact"/>
        <w:rPr>
          <w:sz w:val="20"/>
          <w:szCs w:val="20"/>
          <w:color w:val="auto"/>
        </w:rPr>
      </w:pPr>
    </w:p>
    <w:p>
      <w:pPr>
        <w:spacing w:after="0"/>
        <w:tabs>
          <w:tab w:leader="none" w:pos="840" w:val="left"/>
          <w:tab w:leader="none" w:pos="5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14, 2001</w:t>
      </w:r>
      <w:r>
        <w:rPr>
          <w:sz w:val="20"/>
          <w:szCs w:val="20"/>
          <w:color w:val="auto"/>
        </w:rPr>
        <w:tab/>
      </w:r>
      <w:r>
        <w:rPr>
          <w:rFonts w:ascii="Courier New" w:cs="Courier New" w:eastAsia="Courier New" w:hAnsi="Courier New"/>
          <w:sz w:val="16"/>
          <w:szCs w:val="16"/>
          <w:color w:val="auto"/>
        </w:rPr>
        <w:t>/s/ Roderick R. Baty</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Roderick R. Baty,</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President and Chief Executive</w:t>
      </w:r>
    </w:p>
    <w:p>
      <w:pPr>
        <w:ind w:left="6220"/>
        <w:spacing w:after="0" w:line="238" w:lineRule="auto"/>
        <w:rPr>
          <w:sz w:val="20"/>
          <w:szCs w:val="20"/>
          <w:color w:val="auto"/>
        </w:rPr>
      </w:pPr>
      <w:r>
        <w:rPr>
          <w:rFonts w:ascii="Courier New" w:cs="Courier New" w:eastAsia="Courier New" w:hAnsi="Courier New"/>
          <w:sz w:val="18"/>
          <w:szCs w:val="18"/>
          <w:color w:val="auto"/>
        </w:rPr>
        <w:t>Officer</w:t>
      </w:r>
    </w:p>
    <w:p>
      <w:pPr>
        <w:ind w:left="5480"/>
        <w:spacing w:after="0"/>
        <w:rPr>
          <w:sz w:val="20"/>
          <w:szCs w:val="20"/>
          <w:color w:val="auto"/>
        </w:rPr>
      </w:pPr>
      <w:r>
        <w:rPr>
          <w:rFonts w:ascii="Courier New" w:cs="Courier New" w:eastAsia="Courier New" w:hAnsi="Courier New"/>
          <w:sz w:val="18"/>
          <w:szCs w:val="18"/>
          <w:color w:val="auto"/>
        </w:rPr>
        <w:t>(Duly Authorized Officer)</w:t>
      </w:r>
    </w:p>
    <w:p>
      <w:pPr>
        <w:spacing w:after="0" w:line="372" w:lineRule="exact"/>
        <w:rPr>
          <w:sz w:val="20"/>
          <w:szCs w:val="20"/>
          <w:color w:val="auto"/>
        </w:rPr>
      </w:pPr>
    </w:p>
    <w:p>
      <w:pPr>
        <w:spacing w:after="0"/>
        <w:tabs>
          <w:tab w:leader="none" w:pos="840" w:val="left"/>
          <w:tab w:leader="none" w:pos="5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14, 2001</w:t>
      </w:r>
      <w:r>
        <w:rPr>
          <w:sz w:val="20"/>
          <w:szCs w:val="20"/>
          <w:color w:val="auto"/>
        </w:rPr>
        <w:tab/>
      </w:r>
      <w:r>
        <w:rPr>
          <w:rFonts w:ascii="Courier New" w:cs="Courier New" w:eastAsia="Courier New" w:hAnsi="Courier New"/>
          <w:sz w:val="16"/>
          <w:szCs w:val="16"/>
          <w:color w:val="auto"/>
        </w:rPr>
        <w:t>/s/ David Dyckman</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David Dyckman</w:t>
      </w:r>
    </w:p>
    <w:p>
      <w:pPr>
        <w:spacing w:after="0" w:line="29"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Chief Financial Officer</w:t>
      </w:r>
    </w:p>
    <w:p>
      <w:pPr>
        <w:jc w:val="both"/>
        <w:ind w:left="5280"/>
        <w:spacing w:after="0" w:line="238" w:lineRule="auto"/>
        <w:tabs>
          <w:tab w:leader="none" w:pos="6520" w:val="left"/>
        </w:tabs>
        <w:rPr>
          <w:sz w:val="20"/>
          <w:szCs w:val="20"/>
          <w:color w:val="auto"/>
        </w:rPr>
      </w:pPr>
      <w:r>
        <w:rPr>
          <w:rFonts w:ascii="Courier New" w:cs="Courier New" w:eastAsia="Courier New" w:hAnsi="Courier New"/>
          <w:sz w:val="18"/>
          <w:szCs w:val="18"/>
          <w:color w:val="auto"/>
        </w:rPr>
        <w:t>(Principal</w:t>
        <w:tab/>
        <w:t>Financial Officer)</w:t>
      </w:r>
    </w:p>
    <w:p>
      <w:pPr>
        <w:ind w:left="5600"/>
        <w:spacing w:after="0"/>
        <w:rPr>
          <w:sz w:val="20"/>
          <w:szCs w:val="20"/>
          <w:color w:val="auto"/>
        </w:rPr>
      </w:pPr>
      <w:r>
        <w:rPr>
          <w:rFonts w:ascii="Courier New" w:cs="Courier New" w:eastAsia="Courier New" w:hAnsi="Courier New"/>
          <w:sz w:val="18"/>
          <w:szCs w:val="18"/>
          <w:color w:val="auto"/>
        </w:rPr>
        <w:t>(Duly Authorized Officer)</w:t>
      </w:r>
    </w:p>
    <w:p>
      <w:pPr>
        <w:spacing w:after="0" w:line="372" w:lineRule="exact"/>
        <w:rPr>
          <w:sz w:val="20"/>
          <w:szCs w:val="20"/>
          <w:color w:val="auto"/>
        </w:rPr>
      </w:pPr>
    </w:p>
    <w:p>
      <w:pPr>
        <w:spacing w:after="0"/>
        <w:tabs>
          <w:tab w:leader="none" w:pos="840" w:val="left"/>
          <w:tab w:leader="none" w:pos="5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14, 2001</w:t>
      </w:r>
      <w:r>
        <w:rPr>
          <w:sz w:val="20"/>
          <w:szCs w:val="20"/>
          <w:color w:val="auto"/>
        </w:rPr>
        <w:tab/>
      </w:r>
      <w:r>
        <w:rPr>
          <w:rFonts w:ascii="Courier New" w:cs="Courier New" w:eastAsia="Courier New" w:hAnsi="Courier New"/>
          <w:sz w:val="16"/>
          <w:szCs w:val="16"/>
          <w:color w:val="auto"/>
        </w:rPr>
        <w:t>/s/ William C. Kelly, Jr.</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William C. Kelly, Jr.,</w:t>
      </w:r>
    </w:p>
    <w:p>
      <w:pPr>
        <w:spacing w:after="0" w:line="2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Treasurer, Secretary and</w:t>
      </w:r>
    </w:p>
    <w:p>
      <w:pPr>
        <w:ind w:left="5600"/>
        <w:spacing w:after="0" w:line="238" w:lineRule="auto"/>
        <w:rPr>
          <w:sz w:val="20"/>
          <w:szCs w:val="20"/>
          <w:color w:val="auto"/>
        </w:rPr>
      </w:pPr>
      <w:r>
        <w:rPr>
          <w:rFonts w:ascii="Courier New" w:cs="Courier New" w:eastAsia="Courier New" w:hAnsi="Courier New"/>
          <w:sz w:val="18"/>
          <w:szCs w:val="18"/>
          <w:color w:val="auto"/>
        </w:rPr>
        <w:t>Chief Accounting Officer</w:t>
      </w:r>
    </w:p>
    <w:p>
      <w:pPr>
        <w:ind w:left="5160"/>
        <w:spacing w:after="0"/>
        <w:rPr>
          <w:sz w:val="20"/>
          <w:szCs w:val="20"/>
          <w:color w:val="auto"/>
        </w:rPr>
      </w:pPr>
      <w:r>
        <w:rPr>
          <w:rFonts w:ascii="Courier New" w:cs="Courier New" w:eastAsia="Courier New" w:hAnsi="Courier New"/>
          <w:sz w:val="18"/>
          <w:szCs w:val="18"/>
          <w:color w:val="auto"/>
        </w:rPr>
        <w:t>(Principal Accounting Officer)</w:t>
      </w:r>
    </w:p>
    <w:p>
      <w:pPr>
        <w:ind w:left="5380"/>
        <w:spacing w:after="0"/>
        <w:rPr>
          <w:sz w:val="20"/>
          <w:szCs w:val="20"/>
          <w:color w:val="auto"/>
        </w:rPr>
      </w:pPr>
      <w:r>
        <w:rPr>
          <w:rFonts w:ascii="Courier New" w:cs="Courier New" w:eastAsia="Courier New" w:hAnsi="Courier New"/>
          <w:sz w:val="18"/>
          <w:szCs w:val="18"/>
          <w:color w:val="auto"/>
        </w:rPr>
        <w:t>(Duly Authorized Officer)</w:t>
      </w:r>
    </w:p>
    <w:p>
      <w:pPr>
        <w:sectPr>
          <w:pgSz w:w="11900" w:h="16838" w:orient="portrait"/>
          <w:cols w:equalWidth="0" w:num="1">
            <w:col w:w="10219"/>
          </w:cols>
          <w:pgMar w:left="240" w:top="110" w:right="1440" w:bottom="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2019-12-14T03:09:47Z</dcterms:created>
  <dcterms:modified xsi:type="dcterms:W3CDTF">2019-12-14T03:09:47Z</dcterms:modified>
</cp:coreProperties>
</file>