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2015</w:t>
      </w:r>
    </w:p>
    <w:p>
      <w:pPr>
        <w:spacing w:after="0" w:line="4" w:lineRule="exact"/>
        <w:rPr>
          <w:sz w:val="24"/>
          <w:szCs w:val="24"/>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(Date of event which requires filing of this statement) Check the appropriate box to designate the rule pursuant to which this schedule is filed:</w:t>
      </w:r>
    </w:p>
    <w:p>
      <w:pPr>
        <w:spacing w:after="0" w:line="10"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NN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0" w:lineRule="exact"/>
        <w:rPr>
          <w:sz w:val="24"/>
          <w:szCs w:val="24"/>
          <w:color w:val="auto"/>
        </w:rPr>
      </w:pPr>
    </w:p>
    <w:p>
      <w:pPr>
        <w:spacing w:after="0" w:line="209"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629337106</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12" w:lineRule="exact"/>
        <w:rPr>
          <w:sz w:val="24"/>
          <w:szCs w:val="24"/>
          <w:color w:val="auto"/>
        </w:rPr>
      </w:pPr>
    </w:p>
    <w:p>
      <w:pPr>
        <w:ind w:left="120" w:right="6939" w:hanging="112"/>
        <w:spacing w:after="0" w:line="235" w:lineRule="auto"/>
        <w:tabs>
          <w:tab w:leader="none" w:pos="33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2,812,217 shares</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ectPr>
          <w:pgSz w:w="11900" w:h="16838" w:orient="portrait"/>
          <w:cols w:equalWidth="0" w:num="1">
            <w:col w:w="10219"/>
          </w:cols>
          <w:pgMar w:left="240" w:top="244" w:right="1440" w:bottom="0" w:gutter="0" w:footer="0" w:header="0"/>
        </w:sectPr>
      </w:pPr>
    </w:p>
    <w:bookmarkStart w:id="1" w:name="page2"/>
    <w:bookmarkEnd w:id="1"/>
    <w:p>
      <w:pPr>
        <w:spacing w:after="0" w:line="148"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2,826,584 shares</w:t>
      </w:r>
    </w:p>
    <w:p>
      <w:pPr>
        <w:spacing w:after="0" w:line="206" w:lineRule="exact"/>
        <w:rPr>
          <w:rFonts w:ascii="Courier New" w:cs="Courier New" w:eastAsia="Courier New" w:hAnsi="Courier New"/>
          <w:sz w:val="18"/>
          <w:szCs w:val="18"/>
          <w:color w:val="auto"/>
        </w:rPr>
      </w:pPr>
    </w:p>
    <w:p>
      <w:pPr>
        <w:ind w:right="431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2,826,584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Mockingbird Lane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7"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Item 2(a) Name of Person Filing: Jennison Associates LLC Item 2(b) Address of Principal Business Office or Residence:</w:t>
      </w:r>
    </w:p>
    <w:p>
      <w:pPr>
        <w:spacing w:after="0" w:line="234" w:lineRule="auto"/>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629337106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ind w:left="420" w:hanging="412"/>
        <w:spacing w:after="0" w:line="234"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7" w:lineRule="exact"/>
        <w:rPr>
          <w:sz w:val="20"/>
          <w:szCs w:val="20"/>
          <w:color w:val="auto"/>
        </w:rPr>
      </w:pPr>
    </w:p>
    <w:p>
      <w:pPr>
        <w:ind w:right="3899" w:firstLine="8"/>
        <w:spacing w:after="0" w:line="474"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9"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pacing w:after="0" w:line="11" w:lineRule="exact"/>
        <w:rPr>
          <w:rFonts w:ascii="Courier New" w:cs="Courier New" w:eastAsia="Courier New" w:hAnsi="Courier New"/>
          <w:sz w:val="18"/>
          <w:szCs w:val="18"/>
          <w:color w:val="auto"/>
        </w:rPr>
      </w:pPr>
    </w:p>
    <w:p>
      <w:pPr>
        <w:ind w:right="315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pacing w:after="0" w:line="9" w:lineRule="exact"/>
        <w:rPr>
          <w:rFonts w:ascii="Courier New" w:cs="Courier New" w:eastAsia="Courier New" w:hAnsi="Courier New"/>
          <w:sz w:val="18"/>
          <w:szCs w:val="18"/>
          <w:color w:val="auto"/>
        </w:rPr>
      </w:pPr>
    </w:p>
    <w:p>
      <w:pPr>
        <w:ind w:right="3159"/>
        <w:spacing w:after="0" w:line="55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 ) Group, in accordance with Section 240.13d-1(b) (1) (ii) (J). If this statement is filed pursuant to Section 240.13d-1(c), check</w:t>
      </w:r>
    </w:p>
    <w:p>
      <w:pPr>
        <w:sectPr>
          <w:pgSz w:w="11900" w:h="16986"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this box.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2,826,584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2,812,217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2,826,584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9"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679"/>
        <w:spacing w:after="0" w:line="4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securities, check the following ( ).</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securities that are subject to this report are owned by and held for</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the Managed Portfolios.</w:t>
      </w:r>
      <w:r>
        <w:rPr>
          <w:sz w:val="20"/>
          <w:szCs w:val="20"/>
          <w:color w:val="auto"/>
        </w:rPr>
        <w:tab/>
      </w:r>
      <w:r>
        <w:rPr>
          <w:rFonts w:ascii="Courier New" w:cs="Courier New" w:eastAsia="Courier New" w:hAnsi="Courier New"/>
          <w:sz w:val="16"/>
          <w:szCs w:val="16"/>
          <w:color w:val="auto"/>
        </w:rPr>
        <w:t>Any dividends received from such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the proceeds of any sale of such securities, are for the benefit of,</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are held for Managed Portfolios. One such Managed Portfolio, Prudential</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Jennison Small Company Fund, Inc., owns more than 5% of the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of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00" w:lineRule="exact"/>
        <w:rPr>
          <w:sz w:val="20"/>
          <w:szCs w:val="20"/>
          <w:color w:val="auto"/>
        </w:rPr>
      </w:pPr>
    </w:p>
    <w:p>
      <w:pPr>
        <w:spacing w:after="0" w:line="215"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7, 2015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Janet Early</w:t>
      </w:r>
    </w:p>
    <w:p>
      <w:pPr>
        <w:spacing w:after="0" w:line="238" w:lineRule="auto"/>
        <w:rPr>
          <w:sz w:val="20"/>
          <w:szCs w:val="20"/>
          <w:color w:val="auto"/>
        </w:rPr>
      </w:pPr>
      <w:r>
        <w:rPr>
          <w:rFonts w:ascii="Courier New" w:cs="Courier New" w:eastAsia="Courier New" w:hAnsi="Courier New"/>
          <w:sz w:val="18"/>
          <w:szCs w:val="18"/>
          <w:color w:val="auto"/>
        </w:rPr>
        <w:t>Janet Early</w:t>
      </w:r>
    </w:p>
    <w:p>
      <w:pPr>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13d-1(k)(1)(iii) Agreement</w:t>
      </w:r>
    </w:p>
    <w:p>
      <w:pPr>
        <w:spacing w:after="0" w:line="207" w:lineRule="exact"/>
        <w:rPr>
          <w:sz w:val="20"/>
          <w:szCs w:val="20"/>
          <w:color w:val="auto"/>
        </w:rPr>
      </w:pPr>
    </w:p>
    <w:p>
      <w:pPr>
        <w:ind w:right="3159"/>
        <w:spacing w:after="0" w:line="558" w:lineRule="auto"/>
        <w:rPr>
          <w:sz w:val="20"/>
          <w:szCs w:val="20"/>
          <w:color w:val="auto"/>
        </w:rPr>
      </w:pPr>
      <w:r>
        <w:rPr>
          <w:rFonts w:ascii="Courier New" w:cs="Courier New" w:eastAsia="Courier New" w:hAnsi="Courier New"/>
          <w:sz w:val="16"/>
          <w:szCs w:val="16"/>
          <w:color w:val="auto"/>
        </w:rPr>
        <w:t>Each of the undersigned hereby agrees and consents to the execution and joint filing on its behalf by Jennison Associates LLC</w:t>
      </w:r>
    </w:p>
    <w:p>
      <w:pPr>
        <w:sectPr>
          <w:pgSz w:w="11900" w:h="16838" w:orient="portrait"/>
          <w:cols w:equalWidth="0" w:num="1">
            <w:col w:w="10219"/>
          </w:cols>
          <w:pgMar w:left="240" w:top="339" w:right="1440" w:bottom="0" w:gutter="0" w:footer="0" w:header="0"/>
        </w:sectPr>
      </w:pPr>
    </w:p>
    <w:bookmarkStart w:id="4" w:name="page5"/>
    <w:bookmarkEnd w:id="4"/>
    <w:p>
      <w:pPr>
        <w:ind w:right="3039"/>
        <w:spacing w:after="0" w:line="536" w:lineRule="auto"/>
        <w:rPr>
          <w:sz w:val="20"/>
          <w:szCs w:val="20"/>
          <w:color w:val="auto"/>
        </w:rPr>
      </w:pPr>
      <w:r>
        <w:rPr>
          <w:rFonts w:ascii="Courier New" w:cs="Courier New" w:eastAsia="Courier New" w:hAnsi="Courier New"/>
          <w:sz w:val="16"/>
          <w:szCs w:val="16"/>
          <w:color w:val="auto"/>
        </w:rPr>
        <w:t>of this Schedule 13G respecting the beneficial ownership of the securities which are the subject of this schedule at August 7, 2015.</w:t>
      </w:r>
    </w:p>
    <w:p>
      <w:pPr>
        <w:jc w:val="right"/>
        <w:ind w:right="5999"/>
        <w:spacing w:after="0" w:line="234" w:lineRule="auto"/>
        <w:rPr>
          <w:sz w:val="20"/>
          <w:szCs w:val="20"/>
          <w:color w:val="auto"/>
        </w:rPr>
      </w:pPr>
      <w:r>
        <w:rPr>
          <w:rFonts w:ascii="Courier New" w:cs="Courier New" w:eastAsia="Courier New" w:hAnsi="Courier New"/>
          <w:sz w:val="18"/>
          <w:szCs w:val="18"/>
          <w:color w:val="auto"/>
        </w:rPr>
        <w:t>Dated this 7th day of August, 2015.</w:t>
      </w:r>
    </w:p>
    <w:p>
      <w:pPr>
        <w:spacing w:after="0" w:line="201"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Jennison Associates LLC</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By: /s/ Janet Early</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Janet Early</w:t>
      </w:r>
    </w:p>
    <w:p>
      <w:pPr>
        <w:ind w:left="21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Prudential Jennison Small Company Fund, Inc.</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By: /s/ Jonathan D. Shain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Jonathan D. Shain,</w:t>
      </w:r>
    </w:p>
    <w:p>
      <w:pPr>
        <w:ind w:left="2120"/>
        <w:spacing w:after="0" w:line="238" w:lineRule="auto"/>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2019-12-16T01:08:57Z</dcterms:created>
  <dcterms:modified xsi:type="dcterms:W3CDTF">2019-12-16T01:08:57Z</dcterms:modified>
</cp:coreProperties>
</file>