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UNITED STATES SECURITIES AND EXCHANGE COMMISSION</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37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10-Q</w:t>
      </w:r>
    </w:p>
    <w:p>
      <w:pPr>
        <w:spacing w:after="0" w:line="200" w:lineRule="exact"/>
        <w:rPr>
          <w:sz w:val="24"/>
          <w:szCs w:val="24"/>
          <w:color w:val="auto"/>
        </w:rPr>
      </w:pPr>
    </w:p>
    <w:p>
      <w:pPr>
        <w:spacing w:after="0" w:line="204" w:lineRule="exact"/>
        <w:rPr>
          <w:sz w:val="24"/>
          <w:szCs w:val="24"/>
          <w:color w:val="auto"/>
        </w:rPr>
      </w:pPr>
    </w:p>
    <w:p>
      <w:pPr>
        <w:ind w:right="1999"/>
        <w:spacing w:after="0" w:line="347" w:lineRule="auto"/>
        <w:rPr>
          <w:sz w:val="20"/>
          <w:szCs w:val="20"/>
          <w:color w:val="auto"/>
        </w:rPr>
      </w:pPr>
      <w:r>
        <w:rPr>
          <w:rFonts w:ascii="Courier New" w:cs="Courier New" w:eastAsia="Courier New" w:hAnsi="Courier New"/>
          <w:sz w:val="18"/>
          <w:szCs w:val="18"/>
          <w:color w:val="auto"/>
        </w:rPr>
        <w:t>|X| QUARTERLY REPORT PURSUANT TO SECTION 13 OR 15(d)OF THE SECURITIES EXCHANGE ACT OF 1934</w:t>
      </w:r>
    </w:p>
    <w:p>
      <w:pPr>
        <w:spacing w:after="0" w:line="18"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For the quarterly period ended March 31, 1998</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4"/>
          <w:szCs w:val="24"/>
          <w:color w:val="auto"/>
        </w:rPr>
      </w:pPr>
    </w:p>
    <w:p>
      <w:pPr>
        <w:ind w:right="1779"/>
        <w:spacing w:after="0" w:line="347" w:lineRule="auto"/>
        <w:rPr>
          <w:sz w:val="20"/>
          <w:szCs w:val="20"/>
          <w:color w:val="auto"/>
        </w:rPr>
      </w:pPr>
      <w:r>
        <w:rPr>
          <w:rFonts w:ascii="Courier New" w:cs="Courier New" w:eastAsia="Courier New" w:hAnsi="Courier New"/>
          <w:sz w:val="18"/>
          <w:szCs w:val="18"/>
          <w:color w:val="auto"/>
        </w:rPr>
        <w:t>|_| TRANSITION REPORT PURSUANT TO SECTION 13 OR 15(d) OF THE SECURITIES EXCHANGE ACT OF 1934</w:t>
      </w:r>
    </w:p>
    <w:p>
      <w:pPr>
        <w:sectPr>
          <w:pgSz w:w="11900" w:h="16838" w:orient="portrait"/>
          <w:cols w:equalWidth="0" w:num="1">
            <w:col w:w="10219"/>
          </w:cols>
          <w:pgMar w:left="240" w:top="420" w:right="1440" w:bottom="0" w:gutter="0" w:footer="0" w:header="0"/>
        </w:sectPr>
      </w:pPr>
    </w:p>
    <w:p>
      <w:pPr>
        <w:spacing w:after="0" w:line="18"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to</w:t>
      </w:r>
    </w:p>
    <w:p>
      <w:pPr>
        <w:spacing w:after="0" w:line="115" w:lineRule="exact"/>
        <w:rPr>
          <w:sz w:val="24"/>
          <w:szCs w:val="24"/>
          <w:color w:val="auto"/>
        </w:rPr>
      </w:pPr>
    </w:p>
    <w:p>
      <w:pPr>
        <w:sectPr>
          <w:pgSz w:w="11900" w:h="16838" w:orient="portrait"/>
          <w:cols w:equalWidth="0" w:num="2">
            <w:col w:w="4880" w:space="720"/>
            <w:col w:w="4619"/>
          </w:cols>
          <w:pgMar w:left="240" w:top="420" w:right="1440" w:bottom="0" w:gutter="0" w:footer="0" w:header="0"/>
          <w:type w:val="continuous"/>
        </w:sect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30" w:lineRule="exact"/>
        <w:rPr>
          <w:sz w:val="24"/>
          <w:szCs w:val="24"/>
          <w:color w:val="auto"/>
        </w:rPr>
      </w:pPr>
    </w:p>
    <w:p>
      <w:pPr>
        <w:sectPr>
          <w:pgSz w:w="11900" w:h="16838" w:orient="portrait"/>
          <w:cols w:equalWidth="0" w:num="2">
            <w:col w:w="5600" w:space="420"/>
            <w:col w:w="4199"/>
          </w:cols>
          <w:pgMar w:left="240" w:top="420" w:right="1440" w:bottom="0" w:gutter="0" w:footer="0" w:header="0"/>
          <w:type w:val="continuous"/>
        </w:sectPr>
      </w:pPr>
    </w:p>
    <w:p>
      <w:pPr>
        <w:jc w:val="center"/>
        <w:ind w:right="1779"/>
        <w:spacing w:after="0"/>
        <w:rPr>
          <w:sz w:val="20"/>
          <w:szCs w:val="20"/>
          <w:color w:val="auto"/>
        </w:rPr>
      </w:pPr>
      <w:r>
        <w:rPr>
          <w:rFonts w:ascii="Courier New" w:cs="Courier New" w:eastAsia="Courier New" w:hAnsi="Courier New"/>
          <w:sz w:val="18"/>
          <w:szCs w:val="18"/>
          <w:color w:val="auto"/>
        </w:rPr>
        <w:t>Commission file number 0-23486</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NN Ball &amp; Roller, Inc.</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420" w:right="1440" w:bottom="0" w:gutter="0" w:footer="0" w:header="0"/>
          <w:type w:val="continuous"/>
        </w:sectPr>
      </w:pPr>
    </w:p>
    <w:p>
      <w:pPr>
        <w:spacing w:after="0" w:line="192"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Delaware</w:t>
      </w:r>
    </w:p>
    <w:p>
      <w:pPr>
        <w:spacing w:after="0" w:line="31" w:lineRule="exact"/>
        <w:rPr>
          <w:sz w:val="24"/>
          <w:szCs w:val="24"/>
          <w:color w:val="auto"/>
        </w:rPr>
      </w:pPr>
    </w:p>
    <w:p>
      <w:pPr>
        <w:ind w:left="1380"/>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ind w:left="440"/>
        <w:spacing w:after="0"/>
        <w:rPr>
          <w:sz w:val="20"/>
          <w:szCs w:val="20"/>
          <w:color w:val="auto"/>
        </w:rPr>
      </w:pPr>
      <w:r>
        <w:rPr>
          <w:rFonts w:ascii="Courier New" w:cs="Courier New" w:eastAsia="Courier New" w:hAnsi="Courier New"/>
          <w:sz w:val="18"/>
          <w:szCs w:val="18"/>
          <w:color w:val="auto"/>
        </w:rPr>
        <w:t>62-1096725</w:t>
      </w:r>
    </w:p>
    <w:p>
      <w:pPr>
        <w:spacing w:after="0" w:line="2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(I.R.S. Employer</w:t>
      </w:r>
    </w:p>
    <w:p>
      <w:pPr>
        <w:spacing w:after="0"/>
        <w:rPr>
          <w:sz w:val="20"/>
          <w:szCs w:val="20"/>
          <w:color w:val="auto"/>
        </w:rPr>
      </w:pPr>
      <w:r>
        <w:rPr>
          <w:rFonts w:ascii="Courier New" w:cs="Courier New" w:eastAsia="Courier New" w:hAnsi="Courier New"/>
          <w:sz w:val="16"/>
          <w:szCs w:val="16"/>
          <w:color w:val="auto"/>
        </w:rPr>
        <w:t>Identification No.)</w:t>
      </w:r>
    </w:p>
    <w:p>
      <w:pPr>
        <w:spacing w:after="0" w:line="191" w:lineRule="exact"/>
        <w:rPr>
          <w:sz w:val="24"/>
          <w:szCs w:val="24"/>
          <w:color w:val="auto"/>
        </w:rPr>
      </w:pPr>
    </w:p>
    <w:p>
      <w:pPr>
        <w:sectPr>
          <w:pgSz w:w="11900" w:h="16838" w:orient="portrait"/>
          <w:cols w:equalWidth="0" w:num="2">
            <w:col w:w="4640" w:space="520"/>
            <w:col w:w="5059"/>
          </w:cols>
          <w:pgMar w:left="240" w:top="420" w:right="1440" w:bottom="0" w:gutter="0" w:footer="0" w:header="0"/>
          <w:type w:val="continuous"/>
        </w:sectPr>
      </w:pPr>
    </w:p>
    <w:p>
      <w:pPr>
        <w:ind w:left="3280"/>
        <w:spacing w:after="0"/>
        <w:rPr>
          <w:sz w:val="20"/>
          <w:szCs w:val="20"/>
          <w:color w:val="auto"/>
        </w:rPr>
      </w:pPr>
      <w:r>
        <w:rPr>
          <w:rFonts w:ascii="Courier New" w:cs="Courier New" w:eastAsia="Courier New" w:hAnsi="Courier New"/>
          <w:sz w:val="18"/>
          <w:szCs w:val="18"/>
          <w:color w:val="auto"/>
        </w:rPr>
        <w:t>800 Tennessee Road</w:t>
      </w:r>
    </w:p>
    <w:p>
      <w:pPr>
        <w:spacing w:after="0" w:line="29"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Erwin, Tennesee 37650</w:t>
      </w:r>
    </w:p>
    <w:p>
      <w:pPr>
        <w:ind w:left="1160"/>
        <w:spacing w:after="0"/>
        <w:rPr>
          <w:sz w:val="20"/>
          <w:szCs w:val="20"/>
          <w:color w:val="auto"/>
        </w:rPr>
      </w:pPr>
      <w:r>
        <w:rPr>
          <w:rFonts w:ascii="Courier New" w:cs="Courier New" w:eastAsia="Courier New" w:hAnsi="Courier New"/>
          <w:sz w:val="18"/>
          <w:szCs w:val="18"/>
          <w:color w:val="auto"/>
        </w:rPr>
        <w:t>(Address of principal executive offices, including Zip Code)</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(423) 743-9151</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169" w:lineRule="exact"/>
        <w:rPr>
          <w:sz w:val="24"/>
          <w:szCs w:val="24"/>
          <w:color w:val="auto"/>
        </w:rPr>
      </w:pPr>
    </w:p>
    <w:p>
      <w:pPr>
        <w:ind w:right="1779"/>
        <w:spacing w:after="0" w:line="278"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3" w:lineRule="exact"/>
        <w:rPr>
          <w:sz w:val="24"/>
          <w:szCs w:val="24"/>
          <w:color w:val="auto"/>
        </w:rPr>
      </w:pPr>
    </w:p>
    <w:p>
      <w:pPr>
        <w:spacing w:after="0"/>
        <w:tabs>
          <w:tab w:leader="none" w:pos="4000" w:val="left"/>
          <w:tab w:leader="none" w:pos="4940" w:val="left"/>
        </w:tabs>
        <w:rPr>
          <w:sz w:val="20"/>
          <w:szCs w:val="20"/>
          <w:color w:val="auto"/>
        </w:rPr>
      </w:pPr>
      <w:r>
        <w:rPr>
          <w:rFonts w:ascii="Courier New" w:cs="Courier New" w:eastAsia="Courier New" w:hAnsi="Courier New"/>
          <w:sz w:val="18"/>
          <w:szCs w:val="18"/>
          <w:color w:val="auto"/>
        </w:rPr>
        <w:t>requirements for the past 90 days.</w:t>
      </w:r>
      <w:r>
        <w:rPr>
          <w:sz w:val="20"/>
          <w:szCs w:val="20"/>
          <w:color w:val="auto"/>
        </w:rPr>
        <w:tab/>
      </w:r>
      <w:r>
        <w:rPr>
          <w:rFonts w:ascii="Courier New" w:cs="Courier New" w:eastAsia="Courier New" w:hAnsi="Courier New"/>
          <w:sz w:val="18"/>
          <w:szCs w:val="18"/>
          <w:color w:val="auto"/>
        </w:rPr>
        <w:t>Yes |X|</w:t>
      </w:r>
      <w:r>
        <w:rPr>
          <w:sz w:val="20"/>
          <w:szCs w:val="20"/>
          <w:color w:val="auto"/>
        </w:rPr>
        <w:tab/>
      </w:r>
      <w:r>
        <w:rPr>
          <w:rFonts w:ascii="Courier New" w:cs="Courier New" w:eastAsia="Courier New" w:hAnsi="Courier New"/>
          <w:sz w:val="16"/>
          <w:szCs w:val="16"/>
          <w:color w:val="auto"/>
        </w:rPr>
        <w:t>No |_|</w:t>
      </w:r>
    </w:p>
    <w:p>
      <w:pPr>
        <w:spacing w:after="0" w:line="169" w:lineRule="exact"/>
        <w:rPr>
          <w:sz w:val="24"/>
          <w:szCs w:val="24"/>
          <w:color w:val="auto"/>
        </w:rPr>
      </w:pPr>
    </w:p>
    <w:p>
      <w:pPr>
        <w:ind w:right="2319"/>
        <w:spacing w:after="0" w:line="347" w:lineRule="auto"/>
        <w:rPr>
          <w:sz w:val="20"/>
          <w:szCs w:val="20"/>
          <w:color w:val="auto"/>
        </w:rPr>
      </w:pPr>
      <w:r>
        <w:rPr>
          <w:rFonts w:ascii="Courier New" w:cs="Courier New" w:eastAsia="Courier New" w:hAnsi="Courier New"/>
          <w:sz w:val="18"/>
          <w:szCs w:val="18"/>
          <w:color w:val="auto"/>
        </w:rPr>
        <w:t>As of May 13, 1998, there were 14,804,271 shares of the registrant's common stock, par value $0.01 per share, outstanding.</w:t>
      </w:r>
    </w:p>
    <w:p>
      <w:pPr>
        <w:spacing w:after="0" w:line="1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ind w:left="3380" w:hanging="317"/>
        <w:spacing w:after="0"/>
        <w:tabs>
          <w:tab w:leader="none" w:pos="33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Ball &amp; Roller, Inc.</w:t>
      </w:r>
    </w:p>
    <w:p>
      <w:pPr>
        <w:spacing w:after="0" w:line="201" w:lineRule="exact"/>
        <w:rPr>
          <w:rFonts w:ascii="Courier New" w:cs="Courier New" w:eastAsia="Courier New" w:hAnsi="Courier New"/>
          <w:sz w:val="18"/>
          <w:szCs w:val="18"/>
          <w:color w:val="auto"/>
        </w:rPr>
      </w:pPr>
    </w:p>
    <w:p>
      <w:pPr>
        <w:ind w:left="40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INDEX</w:t>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54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Page No.</w:t>
            </w:r>
          </w:p>
        </w:tc>
        <w:tc>
          <w:tcPr>
            <w:tcW w:w="0" w:type="dxa"/>
            <w:vAlign w:val="bottom"/>
          </w:tcPr>
          <w:p>
            <w:pPr>
              <w:spacing w:after="0"/>
              <w:rPr>
                <w:sz w:val="1"/>
                <w:szCs w:val="1"/>
                <w:color w:val="auto"/>
              </w:rPr>
            </w:pPr>
          </w:p>
        </w:tc>
      </w:tr>
      <w:tr>
        <w:trPr>
          <w:trHeight w:val="296"/>
        </w:trPr>
        <w:tc>
          <w:tcPr>
            <w:tcW w:w="35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3540" w:type="dxa"/>
            <w:vAlign w:val="bottom"/>
          </w:tcPr>
          <w:p>
            <w:pPr>
              <w:spacing w:after="0"/>
              <w:rPr>
                <w:sz w:val="20"/>
                <w:szCs w:val="20"/>
                <w:color w:val="auto"/>
              </w:rPr>
            </w:pPr>
            <w:r>
              <w:rPr>
                <w:rFonts w:ascii="Courier New" w:cs="Courier New" w:eastAsia="Courier New" w:hAnsi="Courier New"/>
                <w:sz w:val="18"/>
                <w:szCs w:val="18"/>
                <w:color w:val="auto"/>
              </w:rPr>
              <w:t>Part I. Financial Information</w:t>
            </w:r>
          </w:p>
        </w:tc>
        <w:tc>
          <w:tcPr>
            <w:tcW w:w="3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540" w:type="dxa"/>
            <w:vAlign w:val="bottom"/>
          </w:tcPr>
          <w:p>
            <w:pPr>
              <w:spacing w:after="0"/>
              <w:rPr>
                <w:sz w:val="20"/>
                <w:szCs w:val="20"/>
                <w:color w:val="auto"/>
              </w:rPr>
            </w:pPr>
            <w:r>
              <w:rPr>
                <w:rFonts w:ascii="Courier New" w:cs="Courier New" w:eastAsia="Courier New" w:hAnsi="Courier New"/>
                <w:sz w:val="18"/>
                <w:szCs w:val="18"/>
                <w:color w:val="auto"/>
              </w:rPr>
              <w:t>Item 1.   Financial Statements:</w:t>
            </w:r>
          </w:p>
        </w:tc>
        <w:tc>
          <w:tcPr>
            <w:tcW w:w="3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540" w:type="dxa"/>
            <w:vAlign w:val="bottom"/>
          </w:tcPr>
          <w:p>
            <w:pPr>
              <w:jc w:val="right"/>
              <w:spacing w:after="0"/>
              <w:rPr>
                <w:sz w:val="20"/>
                <w:szCs w:val="20"/>
                <w:color w:val="auto"/>
              </w:rPr>
            </w:pPr>
            <w:r>
              <w:rPr>
                <w:rFonts w:ascii="Courier New" w:cs="Courier New" w:eastAsia="Courier New" w:hAnsi="Courier New"/>
                <w:sz w:val="18"/>
                <w:szCs w:val="18"/>
                <w:color w:val="auto"/>
              </w:rPr>
              <w:t>Condensed Statements of</w:t>
            </w:r>
          </w:p>
        </w:tc>
        <w:tc>
          <w:tcPr>
            <w:tcW w:w="3640" w:type="dxa"/>
            <w:vAlign w:val="bottom"/>
          </w:tcPr>
          <w:p>
            <w:pPr>
              <w:ind w:left="40"/>
              <w:spacing w:after="0"/>
              <w:rPr>
                <w:sz w:val="20"/>
                <w:szCs w:val="20"/>
                <w:color w:val="auto"/>
              </w:rPr>
            </w:pPr>
            <w:r>
              <w:rPr>
                <w:rFonts w:ascii="Courier New" w:cs="Courier New" w:eastAsia="Courier New" w:hAnsi="Courier New"/>
                <w:sz w:val="18"/>
                <w:szCs w:val="18"/>
                <w:color w:val="auto"/>
              </w:rPr>
              <w:t>Income and Comprehensive Income</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180" w:type="dxa"/>
            <w:vAlign w:val="bottom"/>
            <w:gridSpan w:val="2"/>
          </w:tcPr>
          <w:p>
            <w:pPr>
              <w:ind w:left="1280"/>
              <w:spacing w:after="0" w:line="203" w:lineRule="exact"/>
              <w:rPr>
                <w:sz w:val="20"/>
                <w:szCs w:val="20"/>
                <w:color w:val="auto"/>
              </w:rPr>
            </w:pPr>
            <w:r>
              <w:rPr>
                <w:rFonts w:ascii="Courier New" w:cs="Courier New" w:eastAsia="Courier New" w:hAnsi="Courier New"/>
                <w:sz w:val="18"/>
                <w:szCs w:val="18"/>
                <w:color w:val="auto"/>
              </w:rPr>
              <w:t>for the three Months ended March 31,</w:t>
            </w:r>
          </w:p>
        </w:tc>
        <w:tc>
          <w:tcPr>
            <w:tcW w:w="1160" w:type="dxa"/>
            <w:vAlign w:val="bottom"/>
            <w:vMerge w:val="restart"/>
          </w:tcPr>
          <w:p>
            <w:pPr>
              <w:jc w:val="right"/>
              <w:ind w:right="352"/>
              <w:spacing w:after="0"/>
              <w:rPr>
                <w:sz w:val="20"/>
                <w:szCs w:val="20"/>
                <w:color w:val="auto"/>
              </w:rPr>
            </w:pPr>
            <w:r>
              <w:rPr>
                <w:rFonts w:ascii="Courier New" w:cs="Courier New" w:eastAsia="Courier New" w:hAnsi="Courier New"/>
                <w:sz w:val="18"/>
                <w:szCs w:val="18"/>
                <w:color w:val="auto"/>
              </w:rPr>
              <w:t>2</w:t>
            </w:r>
          </w:p>
        </w:tc>
        <w:tc>
          <w:tcPr>
            <w:tcW w:w="0" w:type="dxa"/>
            <w:vAlign w:val="bottom"/>
          </w:tcPr>
          <w:p>
            <w:pPr>
              <w:spacing w:after="0"/>
              <w:rPr>
                <w:sz w:val="1"/>
                <w:szCs w:val="1"/>
                <w:color w:val="auto"/>
              </w:rPr>
            </w:pPr>
          </w:p>
        </w:tc>
      </w:tr>
      <w:tr>
        <w:trPr>
          <w:trHeight w:val="296"/>
        </w:trPr>
        <w:tc>
          <w:tcPr>
            <w:tcW w:w="3540" w:type="dxa"/>
            <w:vAlign w:val="bottom"/>
          </w:tcPr>
          <w:p>
            <w:pPr>
              <w:ind w:left="1280"/>
              <w:spacing w:after="0"/>
              <w:rPr>
                <w:sz w:val="20"/>
                <w:szCs w:val="20"/>
                <w:color w:val="auto"/>
              </w:rPr>
            </w:pPr>
            <w:r>
              <w:rPr>
                <w:rFonts w:ascii="Courier New" w:cs="Courier New" w:eastAsia="Courier New" w:hAnsi="Courier New"/>
                <w:sz w:val="18"/>
                <w:szCs w:val="18"/>
                <w:color w:val="auto"/>
              </w:rPr>
              <w:t>1998 and 1997</w:t>
            </w:r>
          </w:p>
        </w:tc>
        <w:tc>
          <w:tcPr>
            <w:tcW w:w="364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180" w:type="dxa"/>
            <w:vAlign w:val="bottom"/>
            <w:gridSpan w:val="2"/>
          </w:tcPr>
          <w:p>
            <w:pPr>
              <w:ind w:left="1060"/>
              <w:spacing w:after="0"/>
              <w:rPr>
                <w:sz w:val="20"/>
                <w:szCs w:val="20"/>
                <w:color w:val="auto"/>
              </w:rPr>
            </w:pPr>
            <w:r>
              <w:rPr>
                <w:rFonts w:ascii="Courier New" w:cs="Courier New" w:eastAsia="Courier New" w:hAnsi="Courier New"/>
                <w:sz w:val="18"/>
                <w:szCs w:val="18"/>
                <w:color w:val="auto"/>
              </w:rPr>
              <w:t>Condensed Balance Sheets at March 31, 1998</w:t>
            </w:r>
          </w:p>
        </w:tc>
        <w:tc>
          <w:tcPr>
            <w:tcW w:w="1160" w:type="dxa"/>
            <w:vAlign w:val="bottom"/>
            <w:vMerge w:val="restart"/>
          </w:tcPr>
          <w:p>
            <w:pPr>
              <w:jc w:val="right"/>
              <w:ind w:right="352"/>
              <w:spacing w:after="0"/>
              <w:rPr>
                <w:sz w:val="20"/>
                <w:szCs w:val="20"/>
                <w:color w:val="auto"/>
              </w:rPr>
            </w:pPr>
            <w:r>
              <w:rPr>
                <w:rFonts w:ascii="Courier New" w:cs="Courier New" w:eastAsia="Courier New" w:hAnsi="Courier New"/>
                <w:sz w:val="18"/>
                <w:szCs w:val="18"/>
                <w:color w:val="auto"/>
              </w:rPr>
              <w:t>3</w:t>
            </w:r>
          </w:p>
        </w:tc>
        <w:tc>
          <w:tcPr>
            <w:tcW w:w="0" w:type="dxa"/>
            <w:vAlign w:val="bottom"/>
          </w:tcPr>
          <w:p>
            <w:pPr>
              <w:spacing w:after="0"/>
              <w:rPr>
                <w:sz w:val="1"/>
                <w:szCs w:val="1"/>
                <w:color w:val="auto"/>
              </w:rPr>
            </w:pPr>
          </w:p>
        </w:tc>
      </w:tr>
      <w:tr>
        <w:trPr>
          <w:trHeight w:val="296"/>
        </w:trPr>
        <w:tc>
          <w:tcPr>
            <w:tcW w:w="3540" w:type="dxa"/>
            <w:vAlign w:val="bottom"/>
          </w:tcPr>
          <w:p>
            <w:pPr>
              <w:jc w:val="right"/>
              <w:spacing w:after="0"/>
              <w:rPr>
                <w:sz w:val="20"/>
                <w:szCs w:val="20"/>
                <w:color w:val="auto"/>
              </w:rPr>
            </w:pPr>
            <w:r>
              <w:rPr>
                <w:rFonts w:ascii="Courier New" w:cs="Courier New" w:eastAsia="Courier New" w:hAnsi="Courier New"/>
                <w:sz w:val="18"/>
                <w:szCs w:val="18"/>
                <w:color w:val="auto"/>
              </w:rPr>
              <w:t>and December 31, 1997</w:t>
            </w:r>
          </w:p>
        </w:tc>
        <w:tc>
          <w:tcPr>
            <w:tcW w:w="364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540" w:type="dxa"/>
            <w:vAlign w:val="bottom"/>
          </w:tcPr>
          <w:p>
            <w:pPr>
              <w:jc w:val="right"/>
              <w:spacing w:after="0"/>
              <w:rPr>
                <w:sz w:val="20"/>
                <w:szCs w:val="20"/>
                <w:color w:val="auto"/>
              </w:rPr>
            </w:pPr>
            <w:r>
              <w:rPr>
                <w:rFonts w:ascii="Courier New" w:cs="Courier New" w:eastAsia="Courier New" w:hAnsi="Courier New"/>
                <w:sz w:val="18"/>
                <w:szCs w:val="18"/>
                <w:color w:val="auto"/>
              </w:rPr>
              <w:t>Condensed Statements of</w:t>
            </w:r>
          </w:p>
        </w:tc>
        <w:tc>
          <w:tcPr>
            <w:tcW w:w="3640" w:type="dxa"/>
            <w:vAlign w:val="bottom"/>
          </w:tcPr>
          <w:p>
            <w:pPr>
              <w:ind w:left="40"/>
              <w:spacing w:after="0"/>
              <w:rPr>
                <w:sz w:val="20"/>
                <w:szCs w:val="20"/>
                <w:color w:val="auto"/>
              </w:rPr>
            </w:pPr>
            <w:r>
              <w:rPr>
                <w:rFonts w:ascii="Courier New" w:cs="Courier New" w:eastAsia="Courier New" w:hAnsi="Courier New"/>
                <w:sz w:val="18"/>
                <w:szCs w:val="18"/>
                <w:color w:val="auto"/>
              </w:rPr>
              <w:t>Changes in Stockholders' Equity</w:t>
            </w:r>
          </w:p>
        </w:tc>
        <w:tc>
          <w:tcPr>
            <w:tcW w:w="1160" w:type="dxa"/>
            <w:vAlign w:val="bottom"/>
            <w:vMerge w:val="restart"/>
          </w:tcPr>
          <w:p>
            <w:pPr>
              <w:jc w:val="right"/>
              <w:ind w:right="352"/>
              <w:spacing w:after="0"/>
              <w:rPr>
                <w:sz w:val="20"/>
                <w:szCs w:val="20"/>
                <w:color w:val="auto"/>
              </w:rPr>
            </w:pPr>
            <w:r>
              <w:rPr>
                <w:rFonts w:ascii="Courier New" w:cs="Courier New" w:eastAsia="Courier New" w:hAnsi="Courier New"/>
                <w:sz w:val="18"/>
                <w:szCs w:val="18"/>
                <w:color w:val="auto"/>
              </w:rPr>
              <w:t>4</w:t>
            </w:r>
          </w:p>
        </w:tc>
        <w:tc>
          <w:tcPr>
            <w:tcW w:w="0" w:type="dxa"/>
            <w:vAlign w:val="bottom"/>
          </w:tcPr>
          <w:p>
            <w:pPr>
              <w:spacing w:after="0"/>
              <w:rPr>
                <w:sz w:val="1"/>
                <w:szCs w:val="1"/>
                <w:color w:val="auto"/>
              </w:rPr>
            </w:pPr>
          </w:p>
        </w:tc>
      </w:tr>
      <w:tr>
        <w:trPr>
          <w:trHeight w:val="296"/>
        </w:trPr>
        <w:tc>
          <w:tcPr>
            <w:tcW w:w="7180" w:type="dxa"/>
            <w:vAlign w:val="bottom"/>
            <w:gridSpan w:val="2"/>
          </w:tcPr>
          <w:p>
            <w:pPr>
              <w:ind w:left="1280"/>
              <w:spacing w:after="0"/>
              <w:rPr>
                <w:sz w:val="20"/>
                <w:szCs w:val="20"/>
                <w:color w:val="auto"/>
              </w:rPr>
            </w:pPr>
            <w:r>
              <w:rPr>
                <w:rFonts w:ascii="Courier New" w:cs="Courier New" w:eastAsia="Courier New" w:hAnsi="Courier New"/>
                <w:sz w:val="18"/>
                <w:szCs w:val="18"/>
                <w:color w:val="auto"/>
              </w:rPr>
              <w:t>for the three months ended March 31, 1998 and 1997</w:t>
            </w: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540" w:type="dxa"/>
            <w:vAlign w:val="bottom"/>
          </w:tcPr>
          <w:p>
            <w:pPr>
              <w:jc w:val="right"/>
              <w:spacing w:after="0"/>
              <w:rPr>
                <w:sz w:val="20"/>
                <w:szCs w:val="20"/>
                <w:color w:val="auto"/>
              </w:rPr>
            </w:pPr>
            <w:r>
              <w:rPr>
                <w:rFonts w:ascii="Courier New" w:cs="Courier New" w:eastAsia="Courier New" w:hAnsi="Courier New"/>
                <w:sz w:val="18"/>
                <w:szCs w:val="18"/>
                <w:color w:val="auto"/>
              </w:rPr>
              <w:t>Condensed Statements of</w:t>
            </w:r>
          </w:p>
        </w:tc>
        <w:tc>
          <w:tcPr>
            <w:tcW w:w="3640" w:type="dxa"/>
            <w:vAlign w:val="bottom"/>
          </w:tcPr>
          <w:p>
            <w:pPr>
              <w:ind w:left="40"/>
              <w:spacing w:after="0"/>
              <w:rPr>
                <w:sz w:val="20"/>
                <w:szCs w:val="20"/>
                <w:color w:val="auto"/>
              </w:rPr>
            </w:pPr>
            <w:r>
              <w:rPr>
                <w:rFonts w:ascii="Courier New" w:cs="Courier New" w:eastAsia="Courier New" w:hAnsi="Courier New"/>
                <w:sz w:val="18"/>
                <w:szCs w:val="18"/>
                <w:color w:val="auto"/>
              </w:rPr>
              <w:t>Cash Flows for the three months</w:t>
            </w:r>
          </w:p>
        </w:tc>
        <w:tc>
          <w:tcPr>
            <w:tcW w:w="1160" w:type="dxa"/>
            <w:vAlign w:val="bottom"/>
            <w:vMerge w:val="restart"/>
          </w:tcPr>
          <w:p>
            <w:pPr>
              <w:jc w:val="right"/>
              <w:ind w:right="352"/>
              <w:spacing w:after="0"/>
              <w:rPr>
                <w:sz w:val="20"/>
                <w:szCs w:val="20"/>
                <w:color w:val="auto"/>
              </w:rPr>
            </w:pPr>
            <w:r>
              <w:rPr>
                <w:rFonts w:ascii="Courier New" w:cs="Courier New" w:eastAsia="Courier New" w:hAnsi="Courier New"/>
                <w:sz w:val="18"/>
                <w:szCs w:val="18"/>
                <w:color w:val="auto"/>
              </w:rPr>
              <w:t>5</w:t>
            </w:r>
          </w:p>
        </w:tc>
        <w:tc>
          <w:tcPr>
            <w:tcW w:w="0" w:type="dxa"/>
            <w:vAlign w:val="bottom"/>
          </w:tcPr>
          <w:p>
            <w:pPr>
              <w:spacing w:after="0"/>
              <w:rPr>
                <w:sz w:val="1"/>
                <w:szCs w:val="1"/>
                <w:color w:val="auto"/>
              </w:rPr>
            </w:pPr>
          </w:p>
        </w:tc>
      </w:tr>
      <w:tr>
        <w:trPr>
          <w:trHeight w:val="296"/>
        </w:trPr>
        <w:tc>
          <w:tcPr>
            <w:tcW w:w="7180" w:type="dxa"/>
            <w:vAlign w:val="bottom"/>
            <w:gridSpan w:val="2"/>
          </w:tcPr>
          <w:p>
            <w:pPr>
              <w:ind w:left="1280"/>
              <w:spacing w:after="0"/>
              <w:rPr>
                <w:sz w:val="20"/>
                <w:szCs w:val="20"/>
                <w:color w:val="auto"/>
              </w:rPr>
            </w:pPr>
            <w:r>
              <w:rPr>
                <w:rFonts w:ascii="Courier New" w:cs="Courier New" w:eastAsia="Courier New" w:hAnsi="Courier New"/>
                <w:sz w:val="18"/>
                <w:szCs w:val="18"/>
                <w:color w:val="auto"/>
              </w:rPr>
              <w:t>ended March 31, 1998 and 1997</w:t>
            </w: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180" w:type="dxa"/>
            <w:vAlign w:val="bottom"/>
            <w:gridSpan w:val="2"/>
          </w:tcPr>
          <w:p>
            <w:pPr>
              <w:ind w:left="1060"/>
              <w:spacing w:after="0"/>
              <w:rPr>
                <w:sz w:val="20"/>
                <w:szCs w:val="20"/>
                <w:color w:val="auto"/>
              </w:rPr>
            </w:pPr>
            <w:r>
              <w:rPr>
                <w:rFonts w:ascii="Courier New" w:cs="Courier New" w:eastAsia="Courier New" w:hAnsi="Courier New"/>
                <w:sz w:val="18"/>
                <w:szCs w:val="18"/>
                <w:color w:val="auto"/>
              </w:rPr>
              <w:t>Notes to Condensed Financial Statements</w:t>
            </w:r>
          </w:p>
        </w:tc>
        <w:tc>
          <w:tcPr>
            <w:tcW w:w="116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6</w:t>
            </w:r>
          </w:p>
        </w:tc>
        <w:tc>
          <w:tcPr>
            <w:tcW w:w="0" w:type="dxa"/>
            <w:vAlign w:val="bottom"/>
          </w:tcPr>
          <w:p>
            <w:pPr>
              <w:spacing w:after="0"/>
              <w:rPr>
                <w:sz w:val="1"/>
                <w:szCs w:val="1"/>
                <w:color w:val="auto"/>
              </w:rPr>
            </w:pPr>
          </w:p>
        </w:tc>
      </w:tr>
      <w:tr>
        <w:trPr>
          <w:trHeight w:val="311"/>
        </w:trPr>
        <w:tc>
          <w:tcPr>
            <w:tcW w:w="3540" w:type="dxa"/>
            <w:vAlign w:val="bottom"/>
          </w:tcPr>
          <w:p>
            <w:pPr>
              <w:jc w:val="right"/>
              <w:spacing w:after="0"/>
              <w:rPr>
                <w:sz w:val="20"/>
                <w:szCs w:val="20"/>
                <w:color w:val="auto"/>
              </w:rPr>
            </w:pPr>
            <w:r>
              <w:rPr>
                <w:rFonts w:ascii="Courier New" w:cs="Courier New" w:eastAsia="Courier New" w:hAnsi="Courier New"/>
                <w:sz w:val="18"/>
                <w:szCs w:val="18"/>
                <w:color w:val="auto"/>
                <w:w w:val="97"/>
              </w:rPr>
              <w:t>Item 2.   Management's Discussion</w:t>
            </w:r>
          </w:p>
        </w:tc>
        <w:tc>
          <w:tcPr>
            <w:tcW w:w="3640" w:type="dxa"/>
            <w:vAlign w:val="bottom"/>
          </w:tcPr>
          <w:p>
            <w:pPr>
              <w:ind w:left="40"/>
              <w:spacing w:after="0"/>
              <w:rPr>
                <w:sz w:val="20"/>
                <w:szCs w:val="20"/>
                <w:color w:val="auto"/>
              </w:rPr>
            </w:pPr>
            <w:r>
              <w:rPr>
                <w:rFonts w:ascii="Courier New" w:cs="Courier New" w:eastAsia="Courier New" w:hAnsi="Courier New"/>
                <w:sz w:val="18"/>
                <w:szCs w:val="18"/>
                <w:color w:val="auto"/>
              </w:rPr>
              <w:t>and Analysis of Financial</w:t>
            </w:r>
          </w:p>
        </w:tc>
        <w:tc>
          <w:tcPr>
            <w:tcW w:w="1160" w:type="dxa"/>
            <w:vAlign w:val="bottom"/>
            <w:vMerge w:val="restart"/>
          </w:tcPr>
          <w:p>
            <w:pPr>
              <w:jc w:val="right"/>
              <w:ind w:right="352"/>
              <w:spacing w:after="0"/>
              <w:rPr>
                <w:sz w:val="20"/>
                <w:szCs w:val="20"/>
                <w:color w:val="auto"/>
              </w:rPr>
            </w:pPr>
            <w:r>
              <w:rPr>
                <w:rFonts w:ascii="Courier New" w:cs="Courier New" w:eastAsia="Courier New" w:hAnsi="Courier New"/>
                <w:sz w:val="18"/>
                <w:szCs w:val="18"/>
                <w:color w:val="auto"/>
              </w:rPr>
              <w:t>8</w:t>
            </w:r>
          </w:p>
        </w:tc>
        <w:tc>
          <w:tcPr>
            <w:tcW w:w="0" w:type="dxa"/>
            <w:vAlign w:val="bottom"/>
          </w:tcPr>
          <w:p>
            <w:pPr>
              <w:spacing w:after="0"/>
              <w:rPr>
                <w:sz w:val="1"/>
                <w:szCs w:val="1"/>
                <w:color w:val="auto"/>
              </w:rPr>
            </w:pPr>
          </w:p>
        </w:tc>
      </w:tr>
      <w:tr>
        <w:trPr>
          <w:trHeight w:val="296"/>
        </w:trPr>
        <w:tc>
          <w:tcPr>
            <w:tcW w:w="3540" w:type="dxa"/>
            <w:vAlign w:val="bottom"/>
          </w:tcPr>
          <w:p>
            <w:pPr>
              <w:jc w:val="right"/>
              <w:spacing w:after="0"/>
              <w:rPr>
                <w:sz w:val="20"/>
                <w:szCs w:val="20"/>
                <w:color w:val="auto"/>
              </w:rPr>
            </w:pPr>
            <w:r>
              <w:rPr>
                <w:rFonts w:ascii="Courier New" w:cs="Courier New" w:eastAsia="Courier New" w:hAnsi="Courier New"/>
                <w:sz w:val="18"/>
                <w:szCs w:val="18"/>
                <w:color w:val="auto"/>
              </w:rPr>
              <w:t>Condition and Results</w:t>
            </w:r>
          </w:p>
        </w:tc>
        <w:tc>
          <w:tcPr>
            <w:tcW w:w="3640" w:type="dxa"/>
            <w:vAlign w:val="bottom"/>
          </w:tcPr>
          <w:p>
            <w:pPr>
              <w:ind w:left="40"/>
              <w:spacing w:after="0"/>
              <w:rPr>
                <w:sz w:val="20"/>
                <w:szCs w:val="20"/>
                <w:color w:val="auto"/>
              </w:rPr>
            </w:pPr>
            <w:r>
              <w:rPr>
                <w:rFonts w:ascii="Courier New" w:cs="Courier New" w:eastAsia="Courier New" w:hAnsi="Courier New"/>
                <w:sz w:val="18"/>
                <w:szCs w:val="18"/>
                <w:color w:val="auto"/>
              </w:rPr>
              <w:t>of Operations</w:t>
            </w: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20"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480" w:type="dxa"/>
            <w:vAlign w:val="bottom"/>
          </w:tcPr>
          <w:p>
            <w:pPr>
              <w:spacing w:after="0"/>
              <w:rPr>
                <w:sz w:val="20"/>
                <w:szCs w:val="20"/>
                <w:color w:val="auto"/>
              </w:rPr>
            </w:pPr>
            <w:r>
              <w:rPr>
                <w:rFonts w:ascii="Courier New" w:cs="Courier New" w:eastAsia="Courier New" w:hAnsi="Courier New"/>
                <w:sz w:val="18"/>
                <w:szCs w:val="18"/>
                <w:color w:val="auto"/>
              </w:rPr>
              <w:t>Part</w:t>
            </w:r>
          </w:p>
        </w:tc>
        <w:tc>
          <w:tcPr>
            <w:tcW w:w="5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II. Other Information</w:t>
            </w:r>
          </w:p>
        </w:tc>
        <w:tc>
          <w:tcPr>
            <w:tcW w:w="1780" w:type="dxa"/>
            <w:vAlign w:val="bottom"/>
          </w:tcPr>
          <w:p>
            <w:pPr>
              <w:spacing w:after="0"/>
              <w:rPr>
                <w:sz w:val="24"/>
                <w:szCs w:val="24"/>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6.</w:t>
            </w:r>
          </w:p>
        </w:tc>
        <w:tc>
          <w:tcPr>
            <w:tcW w:w="5000" w:type="dxa"/>
            <w:vAlign w:val="bottom"/>
          </w:tcPr>
          <w:p>
            <w:pPr>
              <w:ind w:left="40"/>
              <w:spacing w:after="0"/>
              <w:rPr>
                <w:sz w:val="20"/>
                <w:szCs w:val="20"/>
                <w:color w:val="auto"/>
              </w:rPr>
            </w:pPr>
            <w:r>
              <w:rPr>
                <w:rFonts w:ascii="Courier New" w:cs="Courier New" w:eastAsia="Courier New" w:hAnsi="Courier New"/>
                <w:sz w:val="18"/>
                <w:szCs w:val="18"/>
                <w:color w:val="auto"/>
              </w:rPr>
              <w:t>Exhibits and Reports on Form 8-K</w:t>
            </w:r>
          </w:p>
        </w:tc>
        <w:tc>
          <w:tcPr>
            <w:tcW w:w="1780" w:type="dxa"/>
            <w:vAlign w:val="bottom"/>
          </w:tcPr>
          <w:p>
            <w:pPr>
              <w:jc w:val="right"/>
              <w:spacing w:after="0"/>
              <w:rPr>
                <w:sz w:val="20"/>
                <w:szCs w:val="20"/>
                <w:color w:val="auto"/>
              </w:rPr>
            </w:pPr>
            <w:r>
              <w:rPr>
                <w:rFonts w:ascii="Courier New" w:cs="Courier New" w:eastAsia="Courier New" w:hAnsi="Courier New"/>
                <w:sz w:val="18"/>
                <w:szCs w:val="18"/>
                <w:color w:val="auto"/>
              </w:rPr>
              <w:t>12</w:t>
            </w:r>
          </w:p>
        </w:tc>
      </w:tr>
      <w:tr>
        <w:trPr>
          <w:trHeight w:val="405"/>
        </w:trPr>
        <w:tc>
          <w:tcPr>
            <w:tcW w:w="1120" w:type="dxa"/>
            <w:vAlign w:val="bottom"/>
            <w:gridSpan w:val="2"/>
          </w:tcPr>
          <w:p>
            <w:pPr>
              <w:spacing w:after="0"/>
              <w:rPr>
                <w:sz w:val="20"/>
                <w:szCs w:val="20"/>
                <w:color w:val="auto"/>
              </w:rPr>
            </w:pPr>
            <w:r>
              <w:rPr>
                <w:rFonts w:ascii="Courier New" w:cs="Courier New" w:eastAsia="Courier New" w:hAnsi="Courier New"/>
                <w:sz w:val="18"/>
                <w:szCs w:val="18"/>
                <w:color w:val="auto"/>
              </w:rPr>
              <w:t>Signatures</w:t>
            </w:r>
          </w:p>
        </w:tc>
        <w:tc>
          <w:tcPr>
            <w:tcW w:w="500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Courier New" w:cs="Courier New" w:eastAsia="Courier New" w:hAnsi="Courier New"/>
                <w:sz w:val="18"/>
                <w:szCs w:val="18"/>
                <w:color w:val="auto"/>
              </w:rPr>
              <w:t>13</w:t>
            </w:r>
          </w:p>
        </w:tc>
      </w:tr>
    </w:tbl>
    <w:p>
      <w:pPr>
        <w:sectPr>
          <w:pgSz w:w="11900" w:h="16838" w:orient="portrait"/>
          <w:cols w:equalWidth="0" w:num="1">
            <w:col w:w="10219"/>
          </w:cols>
          <w:pgMar w:left="240" w:top="110" w:right="1440"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7220" w:type="dxa"/>
            <w:vAlign w:val="bottom"/>
            <w:gridSpan w:val="2"/>
          </w:tcPr>
          <w:p>
            <w:pPr>
              <w:jc w:val="center"/>
              <w:ind w:left="1232"/>
              <w:spacing w:after="0"/>
              <w:rPr>
                <w:sz w:val="20"/>
                <w:szCs w:val="20"/>
                <w:color w:val="auto"/>
              </w:rPr>
            </w:pPr>
            <w:r>
              <w:rPr>
                <w:rFonts w:ascii="Courier New" w:cs="Courier New" w:eastAsia="Courier New" w:hAnsi="Courier New"/>
                <w:sz w:val="18"/>
                <w:szCs w:val="18"/>
                <w:color w:val="auto"/>
                <w:w w:val="97"/>
              </w:rPr>
              <w:t>PART I. FINANCIAL INFORMATION</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020" w:type="dxa"/>
            <w:vAlign w:val="bottom"/>
          </w:tcPr>
          <w:p>
            <w:pPr>
              <w:spacing w:after="0"/>
              <w:rPr>
                <w:sz w:val="24"/>
                <w:szCs w:val="24"/>
                <w:color w:val="auto"/>
              </w:rPr>
            </w:pPr>
          </w:p>
        </w:tc>
        <w:tc>
          <w:tcPr>
            <w:tcW w:w="4200" w:type="dxa"/>
            <w:vAlign w:val="bottom"/>
          </w:tcPr>
          <w:p>
            <w:pPr>
              <w:jc w:val="right"/>
              <w:ind w:right="1752"/>
              <w:spacing w:after="0"/>
              <w:rPr>
                <w:sz w:val="20"/>
                <w:szCs w:val="20"/>
                <w:color w:val="auto"/>
              </w:rPr>
            </w:pPr>
            <w:r>
              <w:rPr>
                <w:rFonts w:ascii="Courier New" w:cs="Courier New" w:eastAsia="Courier New" w:hAnsi="Courier New"/>
                <w:sz w:val="18"/>
                <w:szCs w:val="18"/>
                <w:color w:val="auto"/>
                <w:w w:val="98"/>
              </w:rPr>
              <w:t>NN Ball &amp; Roller, Inc.</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220" w:type="dxa"/>
            <w:vAlign w:val="bottom"/>
            <w:gridSpan w:val="2"/>
          </w:tcPr>
          <w:p>
            <w:pPr>
              <w:jc w:val="center"/>
              <w:ind w:left="1252"/>
              <w:spacing w:after="0" w:line="203" w:lineRule="exact"/>
              <w:rPr>
                <w:sz w:val="20"/>
                <w:szCs w:val="20"/>
                <w:color w:val="auto"/>
              </w:rPr>
            </w:pPr>
            <w:r>
              <w:rPr>
                <w:rFonts w:ascii="Courier New" w:cs="Courier New" w:eastAsia="Courier New" w:hAnsi="Courier New"/>
                <w:sz w:val="18"/>
                <w:szCs w:val="18"/>
                <w:color w:val="auto"/>
                <w:w w:val="97"/>
              </w:rPr>
              <w:t>Condensed Statements of Income and Comprehensive Income</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020" w:type="dxa"/>
            <w:vAlign w:val="bottom"/>
          </w:tcPr>
          <w:p>
            <w:pPr>
              <w:spacing w:after="0"/>
              <w:rPr>
                <w:sz w:val="24"/>
                <w:szCs w:val="24"/>
                <w:color w:val="auto"/>
              </w:rPr>
            </w:pPr>
          </w:p>
        </w:tc>
        <w:tc>
          <w:tcPr>
            <w:tcW w:w="4200" w:type="dxa"/>
            <w:vAlign w:val="bottom"/>
          </w:tcPr>
          <w:p>
            <w:pPr>
              <w:jc w:val="center"/>
              <w:ind w:right="1592"/>
              <w:spacing w:after="0"/>
              <w:rPr>
                <w:sz w:val="20"/>
                <w:szCs w:val="20"/>
                <w:color w:val="auto"/>
              </w:rPr>
            </w:pPr>
            <w:r>
              <w:rPr>
                <w:rFonts w:ascii="Courier New" w:cs="Courier New" w:eastAsia="Courier New" w:hAnsi="Courier New"/>
                <w:sz w:val="18"/>
                <w:szCs w:val="18"/>
                <w:color w:val="auto"/>
                <w:w w:val="97"/>
              </w:rPr>
              <w:t>(Unaudited)</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02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7"/>
              </w:rPr>
              <w:t>Thousands of Dollars, Except</w:t>
            </w:r>
          </w:p>
        </w:tc>
        <w:tc>
          <w:tcPr>
            <w:tcW w:w="468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Three Months Ended</w:t>
            </w:r>
          </w:p>
        </w:tc>
        <w:tc>
          <w:tcPr>
            <w:tcW w:w="0" w:type="dxa"/>
            <w:vAlign w:val="bottom"/>
          </w:tcPr>
          <w:p>
            <w:pPr>
              <w:spacing w:after="0"/>
              <w:rPr>
                <w:sz w:val="1"/>
                <w:szCs w:val="1"/>
                <w:color w:val="auto"/>
              </w:rPr>
            </w:pPr>
          </w:p>
        </w:tc>
      </w:tr>
      <w:tr>
        <w:trPr>
          <w:trHeight w:val="203"/>
        </w:trPr>
        <w:tc>
          <w:tcPr>
            <w:tcW w:w="3020" w:type="dxa"/>
            <w:vAlign w:val="bottom"/>
            <w:vMerge w:val="continue"/>
          </w:tcPr>
          <w:p>
            <w:pPr>
              <w:spacing w:after="0"/>
              <w:rPr>
                <w:sz w:val="17"/>
                <w:szCs w:val="17"/>
                <w:color w:val="auto"/>
              </w:rPr>
            </w:pPr>
          </w:p>
        </w:tc>
        <w:tc>
          <w:tcPr>
            <w:tcW w:w="4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March 31,</w:t>
            </w:r>
          </w:p>
        </w:tc>
        <w:tc>
          <w:tcPr>
            <w:tcW w:w="4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1997</w:t>
            </w:r>
          </w:p>
        </w:tc>
        <w:tc>
          <w:tcPr>
            <w:tcW w:w="0" w:type="dxa"/>
            <w:vAlign w:val="bottom"/>
          </w:tcPr>
          <w:p>
            <w:pPr>
              <w:spacing w:after="0"/>
              <w:rPr>
                <w:sz w:val="1"/>
                <w:szCs w:val="1"/>
                <w:color w:val="auto"/>
              </w:rPr>
            </w:pPr>
          </w:p>
        </w:tc>
      </w:tr>
      <w:tr>
        <w:trPr>
          <w:trHeight w:val="235"/>
        </w:trPr>
        <w:tc>
          <w:tcPr>
            <w:tcW w:w="3020" w:type="dxa"/>
            <w:vAlign w:val="bottom"/>
          </w:tcPr>
          <w:p>
            <w:pPr>
              <w:jc w:val="center"/>
              <w:spacing w:after="0"/>
              <w:rPr>
                <w:sz w:val="20"/>
                <w:szCs w:val="20"/>
                <w:color w:val="auto"/>
              </w:rPr>
            </w:pPr>
            <w:r>
              <w:rPr>
                <w:rFonts w:ascii="Courier New" w:cs="Courier New" w:eastAsia="Courier New" w:hAnsi="Courier New"/>
                <w:sz w:val="18"/>
                <w:szCs w:val="18"/>
                <w:color w:val="auto"/>
                <w:w w:val="97"/>
              </w:rPr>
              <w:t>Share and Per Share Data</w:t>
            </w:r>
          </w:p>
        </w:tc>
        <w:tc>
          <w:tcPr>
            <w:tcW w:w="4200" w:type="dxa"/>
            <w:vAlign w:val="bottom"/>
          </w:tcPr>
          <w:p>
            <w:pPr>
              <w:jc w:val="right"/>
              <w:ind w:right="1232"/>
              <w:spacing w:after="0"/>
              <w:rPr>
                <w:sz w:val="20"/>
                <w:szCs w:val="20"/>
                <w:color w:val="auto"/>
              </w:rPr>
            </w:pPr>
            <w:r>
              <w:rPr>
                <w:rFonts w:ascii="Courier New" w:cs="Courier New" w:eastAsia="Courier New" w:hAnsi="Courier New"/>
                <w:sz w:val="18"/>
                <w:szCs w:val="18"/>
                <w:color w:val="auto"/>
              </w:rPr>
              <w:t>1998</w:t>
            </w:r>
          </w:p>
        </w:tc>
        <w:tc>
          <w:tcPr>
            <w:tcW w:w="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tbl>
      <w:tblPr>
        <w:tblLayout w:type="fixed"/>
        <w:tblInd w:w="0" w:type="dxa"/>
        <w:tblCellMar>
          <w:top w:w="0" w:type="dxa"/>
          <w:left w:w="0" w:type="dxa"/>
          <w:bottom w:w="0" w:type="dxa"/>
          <w:right w:w="0" w:type="dxa"/>
        </w:tblCellMar>
      </w:tblPr>
      <w:tr>
        <w:trPr>
          <w:trHeight w:val="192"/>
        </w:trPr>
        <w:tc>
          <w:tcPr>
            <w:tcW w:w="4900" w:type="dxa"/>
            <w:vAlign w:val="bottom"/>
          </w:tcPr>
          <w:p>
            <w:pPr>
              <w:spacing w:after="0" w:line="192" w:lineRule="exact"/>
              <w:rPr>
                <w:sz w:val="20"/>
                <w:szCs w:val="20"/>
                <w:color w:val="auto"/>
              </w:rPr>
            </w:pPr>
            <w:r>
              <w:rPr>
                <w:rFonts w:ascii="Courier New" w:cs="Courier New" w:eastAsia="Courier New" w:hAnsi="Courier New"/>
                <w:sz w:val="18"/>
                <w:szCs w:val="18"/>
                <w:color w:val="auto"/>
              </w:rPr>
              <w:t>Net sales</w:t>
            </w:r>
          </w:p>
        </w:tc>
        <w:tc>
          <w:tcPr>
            <w:tcW w:w="320" w:type="dxa"/>
            <w:vAlign w:val="bottom"/>
          </w:tcPr>
          <w:p>
            <w:pPr>
              <w:jc w:val="right"/>
              <w:spacing w:after="0" w:line="192"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92"/>
              <w:spacing w:after="0" w:line="192" w:lineRule="exact"/>
              <w:rPr>
                <w:sz w:val="20"/>
                <w:szCs w:val="20"/>
                <w:color w:val="auto"/>
              </w:rPr>
            </w:pPr>
            <w:r>
              <w:rPr>
                <w:rFonts w:ascii="Courier New" w:cs="Courier New" w:eastAsia="Courier New" w:hAnsi="Courier New"/>
                <w:sz w:val="18"/>
                <w:szCs w:val="18"/>
                <w:color w:val="auto"/>
              </w:rPr>
              <w:t>20,886</w:t>
            </w:r>
          </w:p>
        </w:tc>
        <w:tc>
          <w:tcPr>
            <w:tcW w:w="300" w:type="dxa"/>
            <w:vAlign w:val="bottom"/>
          </w:tcPr>
          <w:p>
            <w:pPr>
              <w:jc w:val="right"/>
              <w:spacing w:after="0" w:line="192"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192" w:lineRule="exact"/>
              <w:rPr>
                <w:sz w:val="20"/>
                <w:szCs w:val="20"/>
                <w:color w:val="auto"/>
              </w:rPr>
            </w:pPr>
            <w:r>
              <w:rPr>
                <w:rFonts w:ascii="Courier New" w:cs="Courier New" w:eastAsia="Courier New" w:hAnsi="Courier New"/>
                <w:sz w:val="18"/>
                <w:szCs w:val="18"/>
                <w:color w:val="auto"/>
              </w:rPr>
              <w:t>20,319</w:t>
            </w:r>
          </w:p>
        </w:tc>
        <w:tc>
          <w:tcPr>
            <w:tcW w:w="0" w:type="dxa"/>
            <w:vAlign w:val="bottom"/>
          </w:tcPr>
          <w:p>
            <w:pPr>
              <w:spacing w:after="0"/>
              <w:rPr>
                <w:sz w:val="1"/>
                <w:szCs w:val="1"/>
                <w:color w:val="auto"/>
              </w:rPr>
            </w:pP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320" w:type="dxa"/>
            <w:vAlign w:val="bottom"/>
          </w:tcPr>
          <w:p>
            <w:pPr>
              <w:spacing w:after="0"/>
              <w:rPr>
                <w:sz w:val="17"/>
                <w:szCs w:val="17"/>
                <w:color w:val="auto"/>
              </w:rPr>
            </w:pPr>
          </w:p>
        </w:tc>
        <w:tc>
          <w:tcPr>
            <w:tcW w:w="13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14,177</w:t>
            </w:r>
          </w:p>
        </w:tc>
        <w:tc>
          <w:tcPr>
            <w:tcW w:w="30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13,838</w:t>
            </w:r>
          </w:p>
        </w:tc>
        <w:tc>
          <w:tcPr>
            <w:tcW w:w="0" w:type="dxa"/>
            <w:vAlign w:val="bottom"/>
          </w:tcPr>
          <w:p>
            <w:pPr>
              <w:spacing w:after="0"/>
              <w:rPr>
                <w:sz w:val="1"/>
                <w:szCs w:val="1"/>
                <w:color w:val="auto"/>
              </w:rPr>
            </w:pPr>
          </w:p>
        </w:tc>
      </w:tr>
      <w:tr>
        <w:trPr>
          <w:trHeight w:val="203"/>
        </w:trPr>
        <w:tc>
          <w:tcPr>
            <w:tcW w:w="490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Gross profit</w:t>
            </w:r>
          </w:p>
        </w:tc>
        <w:tc>
          <w:tcPr>
            <w:tcW w:w="170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49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6,709</w:t>
            </w: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6,481</w:t>
            </w:r>
          </w:p>
        </w:tc>
        <w:tc>
          <w:tcPr>
            <w:tcW w:w="0" w:type="dxa"/>
            <w:vAlign w:val="bottom"/>
          </w:tcPr>
          <w:p>
            <w:pPr>
              <w:spacing w:after="0"/>
              <w:rPr>
                <w:sz w:val="1"/>
                <w:szCs w:val="1"/>
                <w:color w:val="auto"/>
              </w:rPr>
            </w:pPr>
          </w:p>
        </w:tc>
      </w:tr>
      <w:tr>
        <w:trPr>
          <w:trHeight w:val="311"/>
        </w:trPr>
        <w:tc>
          <w:tcPr>
            <w:tcW w:w="4900" w:type="dxa"/>
            <w:vAlign w:val="bottom"/>
          </w:tcPr>
          <w:p>
            <w:pPr>
              <w:spacing w:after="0"/>
              <w:rPr>
                <w:sz w:val="20"/>
                <w:szCs w:val="20"/>
                <w:color w:val="auto"/>
              </w:rPr>
            </w:pPr>
            <w:r>
              <w:rPr>
                <w:rFonts w:ascii="Courier New" w:cs="Courier New" w:eastAsia="Courier New" w:hAnsi="Courier New"/>
                <w:sz w:val="18"/>
                <w:szCs w:val="18"/>
                <w:color w:val="auto"/>
              </w:rPr>
              <w:t>Selling, general and administrative</w:t>
            </w:r>
          </w:p>
        </w:tc>
        <w:tc>
          <w:tcPr>
            <w:tcW w:w="320" w:type="dxa"/>
            <w:vAlign w:val="bottom"/>
          </w:tcPr>
          <w:p>
            <w:pPr>
              <w:spacing w:after="0"/>
              <w:rPr>
                <w:sz w:val="24"/>
                <w:szCs w:val="24"/>
                <w:color w:val="auto"/>
              </w:rPr>
            </w:pPr>
          </w:p>
        </w:tc>
        <w:tc>
          <w:tcPr>
            <w:tcW w:w="138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1,304</w:t>
            </w: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1,305</w:t>
            </w:r>
          </w:p>
        </w:tc>
        <w:tc>
          <w:tcPr>
            <w:tcW w:w="0" w:type="dxa"/>
            <w:vAlign w:val="bottom"/>
          </w:tcPr>
          <w:p>
            <w:pPr>
              <w:spacing w:after="0"/>
              <w:rPr>
                <w:sz w:val="1"/>
                <w:szCs w:val="1"/>
                <w:color w:val="auto"/>
              </w:rPr>
            </w:pP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w:t>
            </w:r>
          </w:p>
        </w:tc>
        <w:tc>
          <w:tcPr>
            <w:tcW w:w="320" w:type="dxa"/>
            <w:vAlign w:val="bottom"/>
          </w:tcPr>
          <w:p>
            <w:pPr>
              <w:spacing w:after="0"/>
              <w:rPr>
                <w:sz w:val="17"/>
                <w:szCs w:val="17"/>
                <w:color w:val="auto"/>
              </w:rPr>
            </w:pPr>
          </w:p>
        </w:tc>
        <w:tc>
          <w:tcPr>
            <w:tcW w:w="13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1,159</w:t>
            </w:r>
          </w:p>
        </w:tc>
        <w:tc>
          <w:tcPr>
            <w:tcW w:w="30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1,052</w:t>
            </w:r>
          </w:p>
        </w:tc>
        <w:tc>
          <w:tcPr>
            <w:tcW w:w="0" w:type="dxa"/>
            <w:vAlign w:val="bottom"/>
          </w:tcPr>
          <w:p>
            <w:pPr>
              <w:spacing w:after="0"/>
              <w:rPr>
                <w:sz w:val="1"/>
                <w:szCs w:val="1"/>
                <w:color w:val="auto"/>
              </w:rPr>
            </w:pPr>
          </w:p>
        </w:tc>
      </w:tr>
      <w:tr>
        <w:trPr>
          <w:trHeight w:val="203"/>
        </w:trPr>
        <w:tc>
          <w:tcPr>
            <w:tcW w:w="4900" w:type="dxa"/>
            <w:vAlign w:val="bottom"/>
            <w:vMerge w:val="restart"/>
          </w:tcPr>
          <w:p>
            <w:pPr>
              <w:spacing w:after="0"/>
              <w:rPr>
                <w:sz w:val="20"/>
                <w:szCs w:val="20"/>
                <w:color w:val="auto"/>
              </w:rPr>
            </w:pPr>
            <w:r>
              <w:rPr>
                <w:rFonts w:ascii="Courier New" w:cs="Courier New" w:eastAsia="Courier New" w:hAnsi="Courier New"/>
                <w:sz w:val="18"/>
                <w:szCs w:val="18"/>
                <w:color w:val="auto"/>
              </w:rPr>
              <w:t>Income from operations</w:t>
            </w:r>
          </w:p>
        </w:tc>
        <w:tc>
          <w:tcPr>
            <w:tcW w:w="170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49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4,246</w:t>
            </w: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4,124</w:t>
            </w:r>
          </w:p>
        </w:tc>
        <w:tc>
          <w:tcPr>
            <w:tcW w:w="0" w:type="dxa"/>
            <w:vAlign w:val="bottom"/>
          </w:tcPr>
          <w:p>
            <w:pPr>
              <w:spacing w:after="0"/>
              <w:rPr>
                <w:sz w:val="1"/>
                <w:szCs w:val="1"/>
                <w:color w:val="auto"/>
              </w:rPr>
            </w:pPr>
          </w:p>
        </w:tc>
      </w:tr>
      <w:tr>
        <w:trPr>
          <w:trHeight w:val="311"/>
        </w:trPr>
        <w:tc>
          <w:tcPr>
            <w:tcW w:w="4900" w:type="dxa"/>
            <w:vAlign w:val="bottom"/>
          </w:tcPr>
          <w:p>
            <w:pPr>
              <w:spacing w:after="0"/>
              <w:rPr>
                <w:sz w:val="20"/>
                <w:szCs w:val="20"/>
                <w:color w:val="auto"/>
              </w:rPr>
            </w:pPr>
            <w:r>
              <w:rPr>
                <w:rFonts w:ascii="Courier New" w:cs="Courier New" w:eastAsia="Courier New" w:hAnsi="Courier New"/>
                <w:sz w:val="18"/>
                <w:szCs w:val="18"/>
                <w:color w:val="auto"/>
              </w:rPr>
              <w:t>Interest expense</w:t>
            </w:r>
          </w:p>
        </w:tc>
        <w:tc>
          <w:tcPr>
            <w:tcW w:w="320" w:type="dxa"/>
            <w:vAlign w:val="bottom"/>
          </w:tcPr>
          <w:p>
            <w:pPr>
              <w:spacing w:after="0"/>
              <w:rPr>
                <w:sz w:val="24"/>
                <w:szCs w:val="24"/>
                <w:color w:val="auto"/>
              </w:rPr>
            </w:pPr>
          </w:p>
        </w:tc>
        <w:tc>
          <w:tcPr>
            <w:tcW w:w="138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15</w:t>
            </w: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19</w:t>
            </w:r>
          </w:p>
        </w:tc>
        <w:tc>
          <w:tcPr>
            <w:tcW w:w="0" w:type="dxa"/>
            <w:vAlign w:val="bottom"/>
          </w:tcPr>
          <w:p>
            <w:pPr>
              <w:spacing w:after="0"/>
              <w:rPr>
                <w:sz w:val="1"/>
                <w:szCs w:val="1"/>
                <w:color w:val="auto"/>
              </w:rPr>
            </w:pPr>
          </w:p>
        </w:tc>
      </w:tr>
      <w:tr>
        <w:trPr>
          <w:trHeight w:val="203"/>
        </w:trPr>
        <w:tc>
          <w:tcPr>
            <w:tcW w:w="4900" w:type="dxa"/>
            <w:vAlign w:val="bottom"/>
            <w:vMerge w:val="restart"/>
          </w:tcPr>
          <w:p>
            <w:pPr>
              <w:spacing w:after="0"/>
              <w:rPr>
                <w:sz w:val="20"/>
                <w:szCs w:val="20"/>
                <w:color w:val="auto"/>
              </w:rPr>
            </w:pPr>
            <w:r>
              <w:rPr>
                <w:rFonts w:ascii="Courier New" w:cs="Courier New" w:eastAsia="Courier New" w:hAnsi="Courier New"/>
                <w:sz w:val="18"/>
                <w:szCs w:val="18"/>
                <w:color w:val="auto"/>
              </w:rPr>
              <w:t>Income before provision for income taxes</w:t>
            </w:r>
          </w:p>
        </w:tc>
        <w:tc>
          <w:tcPr>
            <w:tcW w:w="170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9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4,231</w:t>
            </w:r>
          </w:p>
        </w:tc>
        <w:tc>
          <w:tcPr>
            <w:tcW w:w="30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4,105</w:t>
            </w:r>
          </w:p>
        </w:tc>
        <w:tc>
          <w:tcPr>
            <w:tcW w:w="0" w:type="dxa"/>
            <w:vAlign w:val="bottom"/>
          </w:tcPr>
          <w:p>
            <w:pPr>
              <w:spacing w:after="0"/>
              <w:rPr>
                <w:sz w:val="1"/>
                <w:szCs w:val="1"/>
                <w:color w:val="auto"/>
              </w:rPr>
            </w:pP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 taxes</w:t>
            </w:r>
          </w:p>
        </w:tc>
        <w:tc>
          <w:tcPr>
            <w:tcW w:w="320" w:type="dxa"/>
            <w:vAlign w:val="bottom"/>
          </w:tcPr>
          <w:p>
            <w:pPr>
              <w:spacing w:after="0"/>
              <w:rPr>
                <w:sz w:val="17"/>
                <w:szCs w:val="17"/>
                <w:color w:val="auto"/>
              </w:rPr>
            </w:pPr>
          </w:p>
        </w:tc>
        <w:tc>
          <w:tcPr>
            <w:tcW w:w="13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1,564</w:t>
            </w:r>
          </w:p>
        </w:tc>
        <w:tc>
          <w:tcPr>
            <w:tcW w:w="30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1,466</w:t>
            </w:r>
          </w:p>
        </w:tc>
        <w:tc>
          <w:tcPr>
            <w:tcW w:w="0" w:type="dxa"/>
            <w:vAlign w:val="bottom"/>
          </w:tcPr>
          <w:p>
            <w:pPr>
              <w:spacing w:after="0"/>
              <w:rPr>
                <w:sz w:val="1"/>
                <w:szCs w:val="1"/>
                <w:color w:val="auto"/>
              </w:rPr>
            </w:pPr>
          </w:p>
        </w:tc>
      </w:tr>
      <w:tr>
        <w:trPr>
          <w:trHeight w:val="203"/>
        </w:trPr>
        <w:tc>
          <w:tcPr>
            <w:tcW w:w="490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Net income</w:t>
            </w:r>
          </w:p>
        </w:tc>
        <w:tc>
          <w:tcPr>
            <w:tcW w:w="170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4900" w:type="dxa"/>
            <w:vAlign w:val="bottom"/>
            <w:vMerge w:val="continue"/>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2,667</w:t>
            </w:r>
          </w:p>
        </w:tc>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2,639</w:t>
            </w:r>
          </w:p>
        </w:tc>
        <w:tc>
          <w:tcPr>
            <w:tcW w:w="0" w:type="dxa"/>
            <w:vAlign w:val="bottom"/>
          </w:tcPr>
          <w:p>
            <w:pPr>
              <w:spacing w:after="0"/>
              <w:rPr>
                <w:sz w:val="1"/>
                <w:szCs w:val="1"/>
                <w:color w:val="auto"/>
              </w:rPr>
            </w:pPr>
          </w:p>
        </w:tc>
      </w:tr>
      <w:tr>
        <w:trPr>
          <w:trHeight w:val="311"/>
        </w:trPr>
        <w:tc>
          <w:tcPr>
            <w:tcW w:w="4900" w:type="dxa"/>
            <w:vAlign w:val="bottom"/>
          </w:tcPr>
          <w:p>
            <w:pPr>
              <w:spacing w:after="0"/>
              <w:rPr>
                <w:sz w:val="20"/>
                <w:szCs w:val="20"/>
                <w:color w:val="auto"/>
              </w:rPr>
            </w:pPr>
            <w:r>
              <w:rPr>
                <w:rFonts w:ascii="Courier New" w:cs="Courier New" w:eastAsia="Courier New" w:hAnsi="Courier New"/>
                <w:sz w:val="18"/>
                <w:szCs w:val="18"/>
                <w:color w:val="auto"/>
              </w:rPr>
              <w:t>Other comprehensive income:</w:t>
            </w:r>
          </w:p>
        </w:tc>
        <w:tc>
          <w:tcPr>
            <w:tcW w:w="320" w:type="dxa"/>
            <w:vAlign w:val="bottom"/>
          </w:tcPr>
          <w:p>
            <w:pPr>
              <w:spacing w:after="0"/>
              <w:rPr>
                <w:sz w:val="24"/>
                <w:szCs w:val="24"/>
                <w:color w:val="auto"/>
              </w:rPr>
            </w:pPr>
          </w:p>
        </w:tc>
        <w:tc>
          <w:tcPr>
            <w:tcW w:w="13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(261)</w:t>
            </w:r>
          </w:p>
        </w:tc>
        <w:tc>
          <w:tcPr>
            <w:tcW w:w="300" w:type="dxa"/>
            <w:vAlign w:val="bottom"/>
          </w:tcPr>
          <w:p>
            <w:pPr>
              <w:spacing w:after="0"/>
              <w:rPr>
                <w:sz w:val="24"/>
                <w:szCs w:val="24"/>
                <w:color w:val="auto"/>
              </w:rPr>
            </w:pPr>
          </w:p>
        </w:tc>
        <w:tc>
          <w:tcPr>
            <w:tcW w:w="11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Foreign currency translation adjustments</w:t>
            </w:r>
          </w:p>
        </w:tc>
        <w:tc>
          <w:tcPr>
            <w:tcW w:w="32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Comprehensive income</w:t>
            </w:r>
          </w:p>
        </w:tc>
        <w:tc>
          <w:tcPr>
            <w:tcW w:w="170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900" w:type="dxa"/>
            <w:vAlign w:val="bottom"/>
            <w:vMerge w:val="continue"/>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2,406</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2,639</w:t>
            </w:r>
          </w:p>
        </w:tc>
        <w:tc>
          <w:tcPr>
            <w:tcW w:w="0" w:type="dxa"/>
            <w:vAlign w:val="bottom"/>
          </w:tcPr>
          <w:p>
            <w:pPr>
              <w:spacing w:after="0"/>
              <w:rPr>
                <w:sz w:val="1"/>
                <w:szCs w:val="1"/>
                <w:color w:val="auto"/>
              </w:rPr>
            </w:pPr>
          </w:p>
        </w:tc>
      </w:tr>
      <w:tr>
        <w:trPr>
          <w:trHeight w:val="296"/>
        </w:trPr>
        <w:tc>
          <w:tcPr>
            <w:tcW w:w="4900" w:type="dxa"/>
            <w:vAlign w:val="bottom"/>
          </w:tcPr>
          <w:p>
            <w:pPr>
              <w:spacing w:after="0"/>
              <w:rPr>
                <w:sz w:val="24"/>
                <w:szCs w:val="24"/>
                <w:color w:val="auto"/>
              </w:rPr>
            </w:pPr>
          </w:p>
        </w:tc>
        <w:tc>
          <w:tcPr>
            <w:tcW w:w="1700" w:type="dxa"/>
            <w:vAlign w:val="bottom"/>
            <w:gridSpan w:val="2"/>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900" w:type="dxa"/>
            <w:vAlign w:val="bottom"/>
          </w:tcPr>
          <w:p>
            <w:pPr>
              <w:spacing w:after="0"/>
              <w:rPr>
                <w:sz w:val="20"/>
                <w:szCs w:val="20"/>
                <w:color w:val="auto"/>
              </w:rPr>
            </w:pPr>
            <w:r>
              <w:rPr>
                <w:rFonts w:ascii="Courier New" w:cs="Courier New" w:eastAsia="Courier New" w:hAnsi="Courier New"/>
                <w:sz w:val="18"/>
                <w:szCs w:val="18"/>
                <w:color w:val="auto"/>
              </w:rPr>
              <w:t>Net income per common share</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0.18</w:t>
            </w:r>
          </w:p>
        </w:tc>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0.18</w:t>
            </w:r>
          </w:p>
        </w:tc>
        <w:tc>
          <w:tcPr>
            <w:tcW w:w="0" w:type="dxa"/>
            <w:vAlign w:val="bottom"/>
          </w:tcPr>
          <w:p>
            <w:pPr>
              <w:spacing w:after="0"/>
              <w:rPr>
                <w:sz w:val="1"/>
                <w:szCs w:val="1"/>
                <w:color w:val="auto"/>
              </w:rPr>
            </w:pPr>
          </w:p>
        </w:tc>
      </w:tr>
      <w:tr>
        <w:trPr>
          <w:trHeight w:val="296"/>
        </w:trPr>
        <w:tc>
          <w:tcPr>
            <w:tcW w:w="4900" w:type="dxa"/>
            <w:vAlign w:val="bottom"/>
            <w:vMerge w:val="restart"/>
          </w:tcPr>
          <w:p>
            <w:pPr>
              <w:spacing w:after="0"/>
              <w:rPr>
                <w:sz w:val="20"/>
                <w:szCs w:val="20"/>
                <w:color w:val="auto"/>
              </w:rPr>
            </w:pPr>
            <w:r>
              <w:rPr>
                <w:rFonts w:ascii="Courier New" w:cs="Courier New" w:eastAsia="Courier New" w:hAnsi="Courier New"/>
                <w:sz w:val="18"/>
                <w:szCs w:val="18"/>
                <w:color w:val="auto"/>
              </w:rPr>
              <w:t>Weighted average number of</w:t>
            </w:r>
          </w:p>
        </w:tc>
        <w:tc>
          <w:tcPr>
            <w:tcW w:w="1700" w:type="dxa"/>
            <w:vAlign w:val="bottom"/>
            <w:gridSpan w:val="2"/>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49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38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w w:val="99"/>
              </w:rPr>
              <w:t>14,804,244</w:t>
            </w:r>
          </w:p>
        </w:tc>
        <w:tc>
          <w:tcPr>
            <w:tcW w:w="300" w:type="dxa"/>
            <w:vAlign w:val="bottom"/>
          </w:tcPr>
          <w:p>
            <w:pPr>
              <w:spacing w:after="0"/>
              <w:rPr>
                <w:sz w:val="9"/>
                <w:szCs w:val="9"/>
                <w:color w:val="auto"/>
              </w:rPr>
            </w:pPr>
          </w:p>
        </w:tc>
        <w:tc>
          <w:tcPr>
            <w:tcW w:w="11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14,712,638</w:t>
            </w:r>
          </w:p>
        </w:tc>
        <w:tc>
          <w:tcPr>
            <w:tcW w:w="0" w:type="dxa"/>
            <w:vAlign w:val="bottom"/>
          </w:tcPr>
          <w:p>
            <w:pPr>
              <w:spacing w:after="0"/>
              <w:rPr>
                <w:sz w:val="1"/>
                <w:szCs w:val="1"/>
                <w:color w:val="auto"/>
              </w:rPr>
            </w:pP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 outstanding</w:t>
            </w:r>
          </w:p>
        </w:tc>
        <w:tc>
          <w:tcPr>
            <w:tcW w:w="32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900" w:type="dxa"/>
            <w:vAlign w:val="bottom"/>
          </w:tcPr>
          <w:p>
            <w:pPr>
              <w:spacing w:after="0"/>
              <w:rPr>
                <w:sz w:val="24"/>
                <w:szCs w:val="24"/>
                <w:color w:val="auto"/>
              </w:rPr>
            </w:pPr>
          </w:p>
        </w:tc>
        <w:tc>
          <w:tcPr>
            <w:tcW w:w="1700" w:type="dxa"/>
            <w:vAlign w:val="bottom"/>
            <w:gridSpan w:val="2"/>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691" w:right="1440" w:bottom="1440" w:gutter="0" w:footer="0" w:header="0"/>
        </w:sectPr>
      </w:pPr>
    </w:p>
    <w:bookmarkStart w:id="3" w:name="page4"/>
    <w:bookmarkEnd w:id="3"/>
    <w:p>
      <w:pPr>
        <w:jc w:val="center"/>
        <w:ind w:right="1779"/>
        <w:spacing w:after="0"/>
        <w:rPr>
          <w:sz w:val="20"/>
          <w:szCs w:val="20"/>
          <w:color w:val="auto"/>
        </w:rPr>
      </w:pPr>
      <w:r>
        <w:rPr>
          <w:rFonts w:ascii="Courier New" w:cs="Courier New" w:eastAsia="Courier New" w:hAnsi="Courier New"/>
          <w:sz w:val="18"/>
          <w:szCs w:val="18"/>
          <w:color w:val="auto"/>
        </w:rPr>
        <w:t>NN Ball &amp; Roller, Inc.</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Condensed Balance Sheets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60" w:type="dxa"/>
            <w:vAlign w:val="bottom"/>
          </w:tcPr>
          <w:p>
            <w:pPr>
              <w:spacing w:after="0"/>
              <w:rPr>
                <w:sz w:val="17"/>
                <w:szCs w:val="17"/>
                <w:color w:val="auto"/>
              </w:rPr>
            </w:pPr>
          </w:p>
        </w:tc>
        <w:tc>
          <w:tcPr>
            <w:tcW w:w="2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March 31,</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December 31,</w:t>
            </w:r>
          </w:p>
        </w:tc>
        <w:tc>
          <w:tcPr>
            <w:tcW w:w="0" w:type="dxa"/>
            <w:vAlign w:val="bottom"/>
          </w:tcPr>
          <w:p>
            <w:pPr>
              <w:spacing w:after="0"/>
              <w:rPr>
                <w:sz w:val="1"/>
                <w:szCs w:val="1"/>
                <w:color w:val="auto"/>
              </w:rPr>
            </w:pPr>
          </w:p>
        </w:tc>
      </w:tr>
      <w:tr>
        <w:trPr>
          <w:trHeight w:val="203"/>
        </w:trPr>
        <w:tc>
          <w:tcPr>
            <w:tcW w:w="3860" w:type="dxa"/>
            <w:vAlign w:val="bottom"/>
            <w:vMerge w:val="restart"/>
          </w:tcPr>
          <w:p>
            <w:pPr>
              <w:spacing w:after="0"/>
              <w:rPr>
                <w:sz w:val="20"/>
                <w:szCs w:val="20"/>
                <w:color w:val="auto"/>
              </w:rPr>
            </w:pPr>
            <w:r>
              <w:rPr>
                <w:rFonts w:ascii="Courier New" w:cs="Courier New" w:eastAsia="Courier New" w:hAnsi="Courier New"/>
                <w:sz w:val="18"/>
                <w:szCs w:val="18"/>
                <w:color w:val="auto"/>
              </w:rPr>
              <w:t>Thousands of  Dollars</w:t>
            </w:r>
          </w:p>
        </w:tc>
        <w:tc>
          <w:tcPr>
            <w:tcW w:w="29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1998</w:t>
            </w: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1997</w:t>
            </w:r>
          </w:p>
        </w:tc>
        <w:tc>
          <w:tcPr>
            <w:tcW w:w="0" w:type="dxa"/>
            <w:vAlign w:val="bottom"/>
          </w:tcPr>
          <w:p>
            <w:pPr>
              <w:spacing w:after="0"/>
              <w:rPr>
                <w:sz w:val="1"/>
                <w:szCs w:val="1"/>
                <w:color w:val="auto"/>
              </w:rPr>
            </w:pPr>
          </w:p>
        </w:tc>
      </w:tr>
      <w:tr>
        <w:trPr>
          <w:trHeight w:val="235"/>
        </w:trPr>
        <w:tc>
          <w:tcPr>
            <w:tcW w:w="3860" w:type="dxa"/>
            <w:vAlign w:val="bottom"/>
            <w:vMerge w:val="continue"/>
          </w:tcPr>
          <w:p>
            <w:pPr>
              <w:spacing w:after="0"/>
              <w:rPr>
                <w:sz w:val="20"/>
                <w:szCs w:val="20"/>
                <w:color w:val="auto"/>
              </w:rPr>
            </w:pPr>
          </w:p>
        </w:tc>
        <w:tc>
          <w:tcPr>
            <w:tcW w:w="2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(Unaudited)</w:t>
            </w: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Assets</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Current assets:</w:t>
      </w:r>
    </w:p>
    <w:tbl>
      <w:tblPr>
        <w:tblLayout w:type="fixed"/>
        <w:tblInd w:w="0" w:type="dxa"/>
        <w:tblCellMar>
          <w:top w:w="0" w:type="dxa"/>
          <w:left w:w="0" w:type="dxa"/>
          <w:bottom w:w="0" w:type="dxa"/>
          <w:right w:w="0" w:type="dxa"/>
        </w:tblCellMar>
      </w:tblPr>
      <w:tr>
        <w:trPr>
          <w:trHeight w:val="171"/>
        </w:trPr>
        <w:tc>
          <w:tcPr>
            <w:tcW w:w="5280" w:type="dxa"/>
            <w:vAlign w:val="bottom"/>
          </w:tcPr>
          <w:p>
            <w:pPr>
              <w:ind w:left="220"/>
              <w:spacing w:after="0" w:line="171" w:lineRule="exact"/>
              <w:rPr>
                <w:sz w:val="20"/>
                <w:szCs w:val="20"/>
                <w:color w:val="auto"/>
              </w:rPr>
            </w:pPr>
            <w:r>
              <w:rPr>
                <w:rFonts w:ascii="Courier New" w:cs="Courier New" w:eastAsia="Courier New" w:hAnsi="Courier New"/>
                <w:sz w:val="18"/>
                <w:szCs w:val="18"/>
                <w:color w:val="auto"/>
              </w:rPr>
              <w:t>Cash</w:t>
            </w:r>
          </w:p>
        </w:tc>
        <w:tc>
          <w:tcPr>
            <w:tcW w:w="42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92"/>
              <w:spacing w:after="0" w:line="171" w:lineRule="exact"/>
              <w:rPr>
                <w:sz w:val="20"/>
                <w:szCs w:val="20"/>
                <w:color w:val="auto"/>
              </w:rPr>
            </w:pPr>
            <w:r>
              <w:rPr>
                <w:rFonts w:ascii="Courier New" w:cs="Courier New" w:eastAsia="Courier New" w:hAnsi="Courier New"/>
                <w:sz w:val="18"/>
                <w:szCs w:val="18"/>
                <w:color w:val="auto"/>
              </w:rPr>
              <w:t>196</w:t>
            </w:r>
          </w:p>
        </w:tc>
        <w:tc>
          <w:tcPr>
            <w:tcW w:w="100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rPr>
              <w:t>$   366</w:t>
            </w:r>
          </w:p>
        </w:tc>
        <w:tc>
          <w:tcPr>
            <w:tcW w:w="0" w:type="dxa"/>
            <w:vAlign w:val="bottom"/>
          </w:tcPr>
          <w:p>
            <w:pPr>
              <w:spacing w:after="0"/>
              <w:rPr>
                <w:sz w:val="1"/>
                <w:szCs w:val="1"/>
                <w:color w:val="auto"/>
              </w:rPr>
            </w:pP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receivable, net</w:t>
            </w:r>
          </w:p>
        </w:tc>
        <w:tc>
          <w:tcPr>
            <w:tcW w:w="42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2"/>
              </w:rPr>
              <w:t>16,589</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12,449</w:t>
            </w:r>
          </w:p>
        </w:tc>
        <w:tc>
          <w:tcPr>
            <w:tcW w:w="0" w:type="dxa"/>
            <w:vAlign w:val="bottom"/>
          </w:tcPr>
          <w:p>
            <w:pPr>
              <w:spacing w:after="0"/>
              <w:rPr>
                <w:sz w:val="1"/>
                <w:szCs w:val="1"/>
                <w:color w:val="auto"/>
              </w:rPr>
            </w:pP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 net (Note 2)</w:t>
            </w:r>
          </w:p>
        </w:tc>
        <w:tc>
          <w:tcPr>
            <w:tcW w:w="42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2"/>
              </w:rPr>
              <w:t>12,189</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11,865</w:t>
            </w:r>
          </w:p>
        </w:tc>
        <w:tc>
          <w:tcPr>
            <w:tcW w:w="0" w:type="dxa"/>
            <w:vAlign w:val="bottom"/>
          </w:tcPr>
          <w:p>
            <w:pPr>
              <w:spacing w:after="0"/>
              <w:rPr>
                <w:sz w:val="1"/>
                <w:szCs w:val="1"/>
                <w:color w:val="auto"/>
              </w:rPr>
            </w:pP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42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1,073</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1,505</w:t>
            </w:r>
          </w:p>
        </w:tc>
        <w:tc>
          <w:tcPr>
            <w:tcW w:w="0" w:type="dxa"/>
            <w:vAlign w:val="bottom"/>
          </w:tcPr>
          <w:p>
            <w:pPr>
              <w:spacing w:after="0"/>
              <w:rPr>
                <w:sz w:val="1"/>
                <w:szCs w:val="1"/>
                <w:color w:val="auto"/>
              </w:rPr>
            </w:pPr>
          </w:p>
        </w:tc>
      </w:tr>
      <w:tr>
        <w:trPr>
          <w:trHeight w:val="203"/>
        </w:trPr>
        <w:tc>
          <w:tcPr>
            <w:tcW w:w="528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Total current assets</w:t>
            </w:r>
          </w:p>
        </w:tc>
        <w:tc>
          <w:tcPr>
            <w:tcW w:w="132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52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2"/>
              </w:rPr>
              <w:t>30,047</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26,185</w:t>
            </w:r>
          </w:p>
        </w:tc>
        <w:tc>
          <w:tcPr>
            <w:tcW w:w="0" w:type="dxa"/>
            <w:vAlign w:val="bottom"/>
          </w:tcPr>
          <w:p>
            <w:pPr>
              <w:spacing w:after="0"/>
              <w:rPr>
                <w:sz w:val="1"/>
                <w:szCs w:val="1"/>
                <w:color w:val="auto"/>
              </w:rPr>
            </w:pPr>
          </w:p>
        </w:tc>
      </w:tr>
      <w:tr>
        <w:trPr>
          <w:trHeight w:val="311"/>
        </w:trPr>
        <w:tc>
          <w:tcPr>
            <w:tcW w:w="5280" w:type="dxa"/>
            <w:vAlign w:val="bottom"/>
          </w:tcPr>
          <w:p>
            <w:pPr>
              <w:spacing w:after="0"/>
              <w:rPr>
                <w:sz w:val="20"/>
                <w:szCs w:val="20"/>
                <w:color w:val="auto"/>
              </w:rPr>
            </w:pPr>
            <w:r>
              <w:rPr>
                <w:rFonts w:ascii="Courier New" w:cs="Courier New" w:eastAsia="Courier New" w:hAnsi="Courier New"/>
                <w:sz w:val="18"/>
                <w:szCs w:val="18"/>
                <w:color w:val="auto"/>
              </w:rPr>
              <w:t>Property, plant and equipment, net</w:t>
            </w:r>
          </w:p>
        </w:tc>
        <w:tc>
          <w:tcPr>
            <w:tcW w:w="420" w:type="dxa"/>
            <w:vAlign w:val="bottom"/>
          </w:tcPr>
          <w:p>
            <w:pPr>
              <w:spacing w:after="0"/>
              <w:rPr>
                <w:sz w:val="24"/>
                <w:szCs w:val="24"/>
                <w:color w:val="auto"/>
              </w:rPr>
            </w:pPr>
          </w:p>
        </w:tc>
        <w:tc>
          <w:tcPr>
            <w:tcW w:w="90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2"/>
              </w:rPr>
              <w:t>36,870</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37,088</w:t>
            </w:r>
          </w:p>
        </w:tc>
        <w:tc>
          <w:tcPr>
            <w:tcW w:w="0" w:type="dxa"/>
            <w:vAlign w:val="bottom"/>
          </w:tcPr>
          <w:p>
            <w:pPr>
              <w:spacing w:after="0"/>
              <w:rPr>
                <w:sz w:val="1"/>
                <w:szCs w:val="1"/>
                <w:color w:val="auto"/>
              </w:rPr>
            </w:pPr>
          </w:p>
        </w:tc>
      </w:tr>
      <w:tr>
        <w:trPr>
          <w:trHeight w:val="203"/>
        </w:trPr>
        <w:tc>
          <w:tcPr>
            <w:tcW w:w="528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Total assets</w:t>
            </w:r>
          </w:p>
        </w:tc>
        <w:tc>
          <w:tcPr>
            <w:tcW w:w="132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280" w:type="dxa"/>
            <w:vAlign w:val="bottom"/>
            <w:vMerge w:val="continue"/>
          </w:tcPr>
          <w:p>
            <w:pPr>
              <w:spacing w:after="0"/>
              <w:rPr>
                <w:sz w:val="17"/>
                <w:szCs w:val="17"/>
                <w:color w:val="auto"/>
              </w:rPr>
            </w:pPr>
          </w:p>
        </w:tc>
        <w:tc>
          <w:tcPr>
            <w:tcW w:w="132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$66,917</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$63,273</w:t>
            </w:r>
          </w:p>
        </w:tc>
        <w:tc>
          <w:tcPr>
            <w:tcW w:w="0" w:type="dxa"/>
            <w:vAlign w:val="bottom"/>
          </w:tcPr>
          <w:p>
            <w:pPr>
              <w:spacing w:after="0"/>
              <w:rPr>
                <w:sz w:val="1"/>
                <w:szCs w:val="1"/>
                <w:color w:val="auto"/>
              </w:rPr>
            </w:pPr>
          </w:p>
        </w:tc>
      </w:tr>
      <w:tr>
        <w:trPr>
          <w:trHeight w:val="296"/>
        </w:trPr>
        <w:tc>
          <w:tcPr>
            <w:tcW w:w="5280" w:type="dxa"/>
            <w:vAlign w:val="bottom"/>
          </w:tcPr>
          <w:p>
            <w:pPr>
              <w:spacing w:after="0"/>
              <w:rPr>
                <w:sz w:val="24"/>
                <w:szCs w:val="24"/>
                <w:color w:val="auto"/>
              </w:rPr>
            </w:pPr>
          </w:p>
        </w:tc>
        <w:tc>
          <w:tcPr>
            <w:tcW w:w="1320" w:type="dxa"/>
            <w:vAlign w:val="bottom"/>
            <w:gridSpan w:val="2"/>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280" w:type="dxa"/>
            <w:vAlign w:val="bottom"/>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4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510</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$ 1,480</w:t>
            </w:r>
          </w:p>
        </w:tc>
        <w:tc>
          <w:tcPr>
            <w:tcW w:w="0" w:type="dxa"/>
            <w:vAlign w:val="bottom"/>
          </w:tcPr>
          <w:p>
            <w:pPr>
              <w:spacing w:after="0"/>
              <w:rPr>
                <w:sz w:val="1"/>
                <w:szCs w:val="1"/>
                <w:color w:val="auto"/>
              </w:rPr>
            </w:pP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Revolving credit facility</w:t>
            </w:r>
          </w:p>
        </w:tc>
        <w:tc>
          <w:tcPr>
            <w:tcW w:w="42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42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5,014</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3,662</w:t>
            </w:r>
          </w:p>
        </w:tc>
        <w:tc>
          <w:tcPr>
            <w:tcW w:w="0" w:type="dxa"/>
            <w:vAlign w:val="bottom"/>
          </w:tcPr>
          <w:p>
            <w:pPr>
              <w:spacing w:after="0"/>
              <w:rPr>
                <w:sz w:val="1"/>
                <w:szCs w:val="1"/>
                <w:color w:val="auto"/>
              </w:rPr>
            </w:pP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vacation payable</w:t>
            </w:r>
          </w:p>
        </w:tc>
        <w:tc>
          <w:tcPr>
            <w:tcW w:w="42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612</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519</w:t>
            </w:r>
          </w:p>
        </w:tc>
        <w:tc>
          <w:tcPr>
            <w:tcW w:w="0" w:type="dxa"/>
            <w:vAlign w:val="bottom"/>
          </w:tcPr>
          <w:p>
            <w:pPr>
              <w:spacing w:after="0"/>
              <w:rPr>
                <w:sz w:val="1"/>
                <w:szCs w:val="1"/>
                <w:color w:val="auto"/>
              </w:rPr>
            </w:pP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bonuses payable</w:t>
            </w:r>
          </w:p>
        </w:tc>
        <w:tc>
          <w:tcPr>
            <w:tcW w:w="42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434</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income</w:t>
            </w:r>
          </w:p>
        </w:tc>
        <w:tc>
          <w:tcPr>
            <w:tcW w:w="42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804</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458</w:t>
            </w:r>
          </w:p>
        </w:tc>
        <w:tc>
          <w:tcPr>
            <w:tcW w:w="0" w:type="dxa"/>
            <w:vAlign w:val="bottom"/>
          </w:tcPr>
          <w:p>
            <w:pPr>
              <w:spacing w:after="0"/>
              <w:rPr>
                <w:sz w:val="1"/>
                <w:szCs w:val="1"/>
                <w:color w:val="auto"/>
              </w:rPr>
            </w:pP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42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1,018</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current liabilities</w:t>
            </w:r>
          </w:p>
        </w:tc>
        <w:tc>
          <w:tcPr>
            <w:tcW w:w="42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1,503</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1,352</w:t>
            </w:r>
          </w:p>
        </w:tc>
        <w:tc>
          <w:tcPr>
            <w:tcW w:w="0" w:type="dxa"/>
            <w:vAlign w:val="bottom"/>
          </w:tcPr>
          <w:p>
            <w:pPr>
              <w:spacing w:after="0"/>
              <w:rPr>
                <w:sz w:val="1"/>
                <w:szCs w:val="1"/>
                <w:color w:val="auto"/>
              </w:rPr>
            </w:pPr>
          </w:p>
        </w:tc>
      </w:tr>
      <w:tr>
        <w:trPr>
          <w:trHeight w:val="203"/>
        </w:trPr>
        <w:tc>
          <w:tcPr>
            <w:tcW w:w="528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Total current liabilities</w:t>
            </w:r>
          </w:p>
        </w:tc>
        <w:tc>
          <w:tcPr>
            <w:tcW w:w="132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52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9,895</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7,471</w:t>
            </w:r>
          </w:p>
        </w:tc>
        <w:tc>
          <w:tcPr>
            <w:tcW w:w="0" w:type="dxa"/>
            <w:vAlign w:val="bottom"/>
          </w:tcPr>
          <w:p>
            <w:pPr>
              <w:spacing w:after="0"/>
              <w:rPr>
                <w:sz w:val="1"/>
                <w:szCs w:val="1"/>
                <w:color w:val="auto"/>
              </w:rPr>
            </w:pPr>
          </w:p>
        </w:tc>
      </w:tr>
      <w:tr>
        <w:trPr>
          <w:trHeight w:val="311"/>
        </w:trPr>
        <w:tc>
          <w:tcPr>
            <w:tcW w:w="5280" w:type="dxa"/>
            <w:vAlign w:val="bottom"/>
          </w:tcPr>
          <w:p>
            <w:pPr>
              <w:spacing w:after="0"/>
              <w:rPr>
                <w:sz w:val="20"/>
                <w:szCs w:val="20"/>
                <w:color w:val="auto"/>
              </w:rPr>
            </w:pPr>
            <w:r>
              <w:rPr>
                <w:rFonts w:ascii="Courier New" w:cs="Courier New" w:eastAsia="Courier New" w:hAnsi="Courier New"/>
                <w:sz w:val="18"/>
                <w:szCs w:val="18"/>
                <w:color w:val="auto"/>
              </w:rPr>
              <w:t>Deferred income taxes</w:t>
            </w:r>
          </w:p>
        </w:tc>
        <w:tc>
          <w:tcPr>
            <w:tcW w:w="420" w:type="dxa"/>
            <w:vAlign w:val="bottom"/>
          </w:tcPr>
          <w:p>
            <w:pPr>
              <w:spacing w:after="0"/>
              <w:rPr>
                <w:sz w:val="24"/>
                <w:szCs w:val="24"/>
                <w:color w:val="auto"/>
              </w:rPr>
            </w:pPr>
          </w:p>
        </w:tc>
        <w:tc>
          <w:tcPr>
            <w:tcW w:w="90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2,831</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2,831</w:t>
            </w:r>
          </w:p>
        </w:tc>
        <w:tc>
          <w:tcPr>
            <w:tcW w:w="0" w:type="dxa"/>
            <w:vAlign w:val="bottom"/>
          </w:tcPr>
          <w:p>
            <w:pPr>
              <w:spacing w:after="0"/>
              <w:rPr>
                <w:sz w:val="1"/>
                <w:szCs w:val="1"/>
                <w:color w:val="auto"/>
              </w:rPr>
            </w:pPr>
          </w:p>
        </w:tc>
      </w:tr>
      <w:tr>
        <w:trPr>
          <w:trHeight w:val="203"/>
        </w:trPr>
        <w:tc>
          <w:tcPr>
            <w:tcW w:w="528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Total liabilities</w:t>
            </w:r>
          </w:p>
        </w:tc>
        <w:tc>
          <w:tcPr>
            <w:tcW w:w="132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52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2"/>
              </w:rPr>
              <w:t>12,726</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10,302</w:t>
            </w:r>
          </w:p>
        </w:tc>
        <w:tc>
          <w:tcPr>
            <w:tcW w:w="0" w:type="dxa"/>
            <w:vAlign w:val="bottom"/>
          </w:tcPr>
          <w:p>
            <w:pPr>
              <w:spacing w:after="0"/>
              <w:rPr>
                <w:sz w:val="1"/>
                <w:szCs w:val="1"/>
                <w:color w:val="auto"/>
              </w:rPr>
            </w:pPr>
          </w:p>
        </w:tc>
      </w:tr>
      <w:tr>
        <w:trPr>
          <w:trHeight w:val="311"/>
        </w:trPr>
        <w:tc>
          <w:tcPr>
            <w:tcW w:w="5280" w:type="dxa"/>
            <w:vAlign w:val="bottom"/>
          </w:tcPr>
          <w:p>
            <w:pPr>
              <w:ind w:left="540"/>
              <w:spacing w:after="0"/>
              <w:rPr>
                <w:sz w:val="20"/>
                <w:szCs w:val="20"/>
                <w:color w:val="auto"/>
              </w:rPr>
            </w:pPr>
            <w:r>
              <w:rPr>
                <w:rFonts w:ascii="Courier New" w:cs="Courier New" w:eastAsia="Courier New" w:hAnsi="Courier New"/>
                <w:sz w:val="18"/>
                <w:szCs w:val="18"/>
                <w:color w:val="auto"/>
              </w:rPr>
              <w:t>Total stockholders' equity</w:t>
            </w:r>
          </w:p>
        </w:tc>
        <w:tc>
          <w:tcPr>
            <w:tcW w:w="420" w:type="dxa"/>
            <w:vAlign w:val="bottom"/>
          </w:tcPr>
          <w:p>
            <w:pPr>
              <w:spacing w:after="0"/>
              <w:rPr>
                <w:sz w:val="24"/>
                <w:szCs w:val="24"/>
                <w:color w:val="auto"/>
              </w:rPr>
            </w:pPr>
          </w:p>
        </w:tc>
        <w:tc>
          <w:tcPr>
            <w:tcW w:w="90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2"/>
              </w:rPr>
              <w:t>54,191</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52,971</w:t>
            </w:r>
          </w:p>
        </w:tc>
        <w:tc>
          <w:tcPr>
            <w:tcW w:w="0" w:type="dxa"/>
            <w:vAlign w:val="bottom"/>
          </w:tcPr>
          <w:p>
            <w:pPr>
              <w:spacing w:after="0"/>
              <w:rPr>
                <w:sz w:val="1"/>
                <w:szCs w:val="1"/>
                <w:color w:val="auto"/>
              </w:rPr>
            </w:pPr>
          </w:p>
        </w:tc>
      </w:tr>
      <w:tr>
        <w:trPr>
          <w:trHeight w:val="296"/>
        </w:trPr>
        <w:tc>
          <w:tcPr>
            <w:tcW w:w="5280" w:type="dxa"/>
            <w:vAlign w:val="bottom"/>
          </w:tcPr>
          <w:p>
            <w:pPr>
              <w:spacing w:after="0"/>
              <w:rPr>
                <w:sz w:val="24"/>
                <w:szCs w:val="24"/>
                <w:color w:val="auto"/>
              </w:rPr>
            </w:pPr>
          </w:p>
        </w:tc>
        <w:tc>
          <w:tcPr>
            <w:tcW w:w="1320" w:type="dxa"/>
            <w:vAlign w:val="bottom"/>
            <w:gridSpan w:val="2"/>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280" w:type="dxa"/>
            <w:vAlign w:val="bottom"/>
          </w:tcPr>
          <w:p>
            <w:pPr>
              <w:ind w:left="540"/>
              <w:spacing w:after="0"/>
              <w:rPr>
                <w:sz w:val="20"/>
                <w:szCs w:val="20"/>
                <w:color w:val="auto"/>
              </w:rPr>
            </w:pPr>
            <w:r>
              <w:rPr>
                <w:rFonts w:ascii="Courier New" w:cs="Courier New" w:eastAsia="Courier New" w:hAnsi="Courier New"/>
                <w:sz w:val="18"/>
                <w:szCs w:val="18"/>
                <w:color w:val="auto"/>
              </w:rPr>
              <w:t>Total liabilities and stockholders' equity</w:t>
            </w:r>
          </w:p>
        </w:tc>
        <w:tc>
          <w:tcPr>
            <w:tcW w:w="1320" w:type="dxa"/>
            <w:vAlign w:val="bottom"/>
            <w:gridSpan w:val="2"/>
          </w:tcPr>
          <w:p>
            <w:pPr>
              <w:jc w:val="right"/>
              <w:ind w:right="192"/>
              <w:spacing w:after="0"/>
              <w:rPr>
                <w:sz w:val="20"/>
                <w:szCs w:val="20"/>
                <w:color w:val="auto"/>
              </w:rPr>
            </w:pPr>
            <w:r>
              <w:rPr>
                <w:rFonts w:ascii="Courier New" w:cs="Courier New" w:eastAsia="Courier New" w:hAnsi="Courier New"/>
                <w:sz w:val="18"/>
                <w:szCs w:val="18"/>
                <w:color w:val="auto"/>
              </w:rPr>
              <w:t>$66,917</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$63,273</w:t>
            </w:r>
          </w:p>
        </w:tc>
        <w:tc>
          <w:tcPr>
            <w:tcW w:w="0" w:type="dxa"/>
            <w:vAlign w:val="bottom"/>
          </w:tcPr>
          <w:p>
            <w:pPr>
              <w:spacing w:after="0"/>
              <w:rPr>
                <w:sz w:val="1"/>
                <w:szCs w:val="1"/>
                <w:color w:val="auto"/>
              </w:rPr>
            </w:pPr>
          </w:p>
        </w:tc>
      </w:tr>
      <w:tr>
        <w:trPr>
          <w:trHeight w:val="296"/>
        </w:trPr>
        <w:tc>
          <w:tcPr>
            <w:tcW w:w="5280" w:type="dxa"/>
            <w:vAlign w:val="bottom"/>
          </w:tcPr>
          <w:p>
            <w:pPr>
              <w:spacing w:after="0"/>
              <w:rPr>
                <w:sz w:val="24"/>
                <w:szCs w:val="24"/>
                <w:color w:val="auto"/>
              </w:rPr>
            </w:pPr>
          </w:p>
        </w:tc>
        <w:tc>
          <w:tcPr>
            <w:tcW w:w="1320" w:type="dxa"/>
            <w:vAlign w:val="bottom"/>
            <w:gridSpan w:val="2"/>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See accompanying notes.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691" w:right="1440" w:bottom="1440" w:gutter="0" w:footer="0" w:header="0"/>
        </w:sectPr>
      </w:pPr>
    </w:p>
    <w:bookmarkStart w:id="4" w:name="page5"/>
    <w:bookmarkEnd w:id="4"/>
    <w:p>
      <w:pPr>
        <w:jc w:val="center"/>
        <w:ind w:right="1779"/>
        <w:spacing w:after="0"/>
        <w:rPr>
          <w:sz w:val="20"/>
          <w:szCs w:val="20"/>
          <w:color w:val="auto"/>
        </w:rPr>
      </w:pPr>
      <w:r>
        <w:rPr>
          <w:rFonts w:ascii="Courier New" w:cs="Courier New" w:eastAsia="Courier New" w:hAnsi="Courier New"/>
          <w:sz w:val="18"/>
          <w:szCs w:val="18"/>
          <w:color w:val="auto"/>
        </w:rPr>
        <w:t>NN Ball &amp; Roller, Inc.</w:t>
      </w:r>
    </w:p>
    <w:p>
      <w:pPr>
        <w:spacing w:after="0" w:line="29"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Condensed Statements of Changes in Stockholders' Equity</w:t>
      </w:r>
    </w:p>
    <w:p>
      <w:pPr>
        <w:jc w:val="center"/>
        <w:ind w:right="1679"/>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80" w:type="dxa"/>
            <w:vAlign w:val="bottom"/>
          </w:tcPr>
          <w:p>
            <w:pPr>
              <w:spacing w:after="0"/>
              <w:rPr>
                <w:sz w:val="17"/>
                <w:szCs w:val="17"/>
                <w:color w:val="auto"/>
              </w:rPr>
            </w:pPr>
          </w:p>
        </w:tc>
        <w:tc>
          <w:tcPr>
            <w:tcW w:w="2120" w:type="dxa"/>
            <w:vAlign w:val="bottom"/>
            <w:gridSpan w:val="2"/>
            <w:vMerge w:val="restart"/>
          </w:tcPr>
          <w:p>
            <w:pPr>
              <w:ind w:left="580"/>
              <w:spacing w:after="0"/>
              <w:rPr>
                <w:sz w:val="20"/>
                <w:szCs w:val="20"/>
                <w:color w:val="auto"/>
              </w:rPr>
            </w:pPr>
            <w:r>
              <w:rPr>
                <w:rFonts w:ascii="Courier New" w:cs="Courier New" w:eastAsia="Courier New" w:hAnsi="Courier New"/>
                <w:sz w:val="18"/>
                <w:szCs w:val="18"/>
                <w:color w:val="auto"/>
              </w:rPr>
              <w:t>Common stock</w:t>
            </w:r>
          </w:p>
        </w:tc>
        <w:tc>
          <w:tcPr>
            <w:tcW w:w="120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Additional</w:t>
            </w:r>
          </w:p>
        </w:tc>
        <w:tc>
          <w:tcPr>
            <w:tcW w:w="11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Retained</w:t>
            </w:r>
          </w:p>
        </w:tc>
        <w:tc>
          <w:tcPr>
            <w:tcW w:w="1580" w:type="dxa"/>
            <w:vAlign w:val="bottom"/>
          </w:tcPr>
          <w:p>
            <w:pPr>
              <w:ind w:left="60"/>
              <w:spacing w:after="0"/>
              <w:rPr>
                <w:sz w:val="20"/>
                <w:szCs w:val="20"/>
                <w:color w:val="auto"/>
              </w:rPr>
            </w:pPr>
            <w:r>
              <w:rPr>
                <w:rFonts w:ascii="Courier New" w:cs="Courier New" w:eastAsia="Courier New" w:hAnsi="Courier New"/>
                <w:sz w:val="18"/>
                <w:szCs w:val="18"/>
                <w:color w:val="auto"/>
              </w:rPr>
              <w:t>Accumulated</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rPr>
                <w:sz w:val="17"/>
                <w:szCs w:val="17"/>
                <w:color w:val="auto"/>
              </w:rPr>
            </w:pPr>
          </w:p>
        </w:tc>
        <w:tc>
          <w:tcPr>
            <w:tcW w:w="2120" w:type="dxa"/>
            <w:vAlign w:val="bottom"/>
            <w:gridSpan w:val="2"/>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15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other</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vMerge w:val="restart"/>
          </w:tcPr>
          <w:p>
            <w:pPr>
              <w:spacing w:after="0"/>
              <w:rPr>
                <w:sz w:val="20"/>
                <w:szCs w:val="20"/>
                <w:color w:val="auto"/>
              </w:rPr>
            </w:pPr>
            <w:r>
              <w:rPr>
                <w:rFonts w:ascii="Courier New" w:cs="Courier New" w:eastAsia="Courier New" w:hAnsi="Courier New"/>
                <w:sz w:val="18"/>
                <w:szCs w:val="18"/>
                <w:color w:val="auto"/>
              </w:rPr>
              <w:t>Thousands of Dollars</w:t>
            </w:r>
          </w:p>
        </w:tc>
        <w:tc>
          <w:tcPr>
            <w:tcW w:w="14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Number</w:t>
            </w:r>
          </w:p>
        </w:tc>
        <w:tc>
          <w:tcPr>
            <w:tcW w:w="7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Par</w:t>
            </w:r>
          </w:p>
        </w:tc>
        <w:tc>
          <w:tcPr>
            <w:tcW w:w="12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paid in</w:t>
            </w: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earnings</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comprehensive</w:t>
            </w:r>
          </w:p>
        </w:tc>
        <w:tc>
          <w:tcPr>
            <w:tcW w:w="700" w:type="dxa"/>
            <w:vAlign w:val="bottom"/>
            <w:vMerge w:val="restart"/>
          </w:tcPr>
          <w:p>
            <w:pPr>
              <w:ind w:left="160"/>
              <w:spacing w:after="0"/>
              <w:rPr>
                <w:sz w:val="20"/>
                <w:szCs w:val="20"/>
                <w:color w:val="auto"/>
              </w:rPr>
            </w:pPr>
            <w:r>
              <w:rPr>
                <w:rFonts w:ascii="Courier New" w:cs="Courier New" w:eastAsia="Courier New" w:hAnsi="Courier New"/>
                <w:sz w:val="18"/>
                <w:szCs w:val="18"/>
                <w:color w:val="auto"/>
                <w:w w:val="96"/>
              </w:rPr>
              <w:t>Total</w:t>
            </w:r>
          </w:p>
        </w:tc>
        <w:tc>
          <w:tcPr>
            <w:tcW w:w="0" w:type="dxa"/>
            <w:vAlign w:val="bottom"/>
          </w:tcPr>
          <w:p>
            <w:pPr>
              <w:spacing w:after="0"/>
              <w:rPr>
                <w:sz w:val="1"/>
                <w:szCs w:val="1"/>
                <w:color w:val="auto"/>
              </w:rPr>
            </w:pPr>
          </w:p>
        </w:tc>
      </w:tr>
      <w:tr>
        <w:trPr>
          <w:trHeight w:val="235"/>
        </w:trPr>
        <w:tc>
          <w:tcPr>
            <w:tcW w:w="2480" w:type="dxa"/>
            <w:vAlign w:val="bottom"/>
            <w:vMerge w:val="continue"/>
          </w:tcPr>
          <w:p>
            <w:pPr>
              <w:spacing w:after="0"/>
              <w:rPr>
                <w:sz w:val="20"/>
                <w:szCs w:val="20"/>
                <w:color w:val="auto"/>
              </w:rPr>
            </w:pPr>
          </w:p>
        </w:tc>
        <w:tc>
          <w:tcPr>
            <w:tcW w:w="1420" w:type="dxa"/>
            <w:vAlign w:val="bottom"/>
          </w:tcPr>
          <w:p>
            <w:pPr>
              <w:ind w:left="380"/>
              <w:spacing w:after="0"/>
              <w:rPr>
                <w:sz w:val="20"/>
                <w:szCs w:val="20"/>
                <w:color w:val="auto"/>
              </w:rPr>
            </w:pPr>
            <w:r>
              <w:rPr>
                <w:rFonts w:ascii="Courier New" w:cs="Courier New" w:eastAsia="Courier New" w:hAnsi="Courier New"/>
                <w:sz w:val="18"/>
                <w:szCs w:val="18"/>
                <w:color w:val="auto"/>
              </w:rPr>
              <w:t>of shares</w:t>
            </w:r>
          </w:p>
        </w:tc>
        <w:tc>
          <w:tcPr>
            <w:tcW w:w="700" w:type="dxa"/>
            <w:vAlign w:val="bottom"/>
          </w:tcPr>
          <w:p>
            <w:pPr>
              <w:jc w:val="center"/>
              <w:spacing w:after="0"/>
              <w:rPr>
                <w:sz w:val="20"/>
                <w:szCs w:val="20"/>
                <w:color w:val="auto"/>
              </w:rPr>
            </w:pPr>
            <w:r>
              <w:rPr>
                <w:rFonts w:ascii="Courier New" w:cs="Courier New" w:eastAsia="Courier New" w:hAnsi="Courier New"/>
                <w:sz w:val="18"/>
                <w:szCs w:val="18"/>
                <w:color w:val="auto"/>
                <w:w w:val="96"/>
              </w:rPr>
              <w:t>Value</w:t>
            </w:r>
          </w:p>
        </w:tc>
        <w:tc>
          <w:tcPr>
            <w:tcW w:w="1200" w:type="dxa"/>
            <w:vAlign w:val="bottom"/>
          </w:tcPr>
          <w:p>
            <w:pPr>
              <w:ind w:left="140"/>
              <w:spacing w:after="0"/>
              <w:rPr>
                <w:sz w:val="20"/>
                <w:szCs w:val="20"/>
                <w:color w:val="auto"/>
              </w:rPr>
            </w:pPr>
            <w:r>
              <w:rPr>
                <w:rFonts w:ascii="Courier New" w:cs="Courier New" w:eastAsia="Courier New" w:hAnsi="Courier New"/>
                <w:sz w:val="18"/>
                <w:szCs w:val="18"/>
                <w:color w:val="auto"/>
              </w:rPr>
              <w:t>capital</w:t>
            </w:r>
          </w:p>
        </w:tc>
        <w:tc>
          <w:tcPr>
            <w:tcW w:w="1100" w:type="dxa"/>
            <w:vAlign w:val="bottom"/>
          </w:tcPr>
          <w:p>
            <w:pPr>
              <w:ind w:left="100"/>
              <w:spacing w:after="0"/>
              <w:rPr>
                <w:sz w:val="20"/>
                <w:szCs w:val="20"/>
                <w:color w:val="auto"/>
              </w:rPr>
            </w:pPr>
            <w:r>
              <w:rPr>
                <w:rFonts w:ascii="Courier New" w:cs="Courier New" w:eastAsia="Courier New" w:hAnsi="Courier New"/>
                <w:sz w:val="18"/>
                <w:szCs w:val="18"/>
                <w:color w:val="auto"/>
              </w:rPr>
              <w:t>(deficit)</w:t>
            </w:r>
          </w:p>
        </w:tc>
        <w:tc>
          <w:tcPr>
            <w:tcW w:w="1580" w:type="dxa"/>
            <w:vAlign w:val="bottom"/>
          </w:tcPr>
          <w:p>
            <w:pPr>
              <w:ind w:left="380"/>
              <w:spacing w:after="0"/>
              <w:rPr>
                <w:sz w:val="20"/>
                <w:szCs w:val="20"/>
                <w:color w:val="auto"/>
              </w:rPr>
            </w:pPr>
            <w:r>
              <w:rPr>
                <w:rFonts w:ascii="Courier New" w:cs="Courier New" w:eastAsia="Courier New" w:hAnsi="Courier New"/>
                <w:sz w:val="18"/>
                <w:szCs w:val="18"/>
                <w:color w:val="auto"/>
              </w:rPr>
              <w:t>income</w:t>
            </w:r>
          </w:p>
        </w:tc>
        <w:tc>
          <w:tcPr>
            <w:tcW w:w="7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20"/>
                <w:szCs w:val="20"/>
                <w:color w:val="auto"/>
              </w:rPr>
            </w:pPr>
            <w:r>
              <w:rPr>
                <w:rFonts w:ascii="Courier New" w:cs="Courier New" w:eastAsia="Courier New" w:hAnsi="Courier New"/>
                <w:sz w:val="18"/>
                <w:szCs w:val="18"/>
                <w:color w:val="auto"/>
              </w:rPr>
              <w:t>Balance, January 1, 1997</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14,629</w:t>
            </w:r>
          </w:p>
        </w:tc>
        <w:tc>
          <w:tcPr>
            <w:tcW w:w="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146</w:t>
            </w:r>
          </w:p>
        </w:tc>
        <w:tc>
          <w:tcPr>
            <w:tcW w:w="12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$ 26,983</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$21,581</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$ 48,710</w:t>
            </w:r>
          </w:p>
        </w:tc>
        <w:tc>
          <w:tcPr>
            <w:tcW w:w="0" w:type="dxa"/>
            <w:vAlign w:val="bottom"/>
          </w:tcPr>
          <w:p>
            <w:pPr>
              <w:spacing w:after="0"/>
              <w:rPr>
                <w:sz w:val="1"/>
                <w:szCs w:val="1"/>
                <w:color w:val="auto"/>
              </w:rPr>
            </w:pP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income</w:t>
            </w: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2,639</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2,639</w:t>
            </w:r>
          </w:p>
        </w:tc>
        <w:tc>
          <w:tcPr>
            <w:tcW w:w="0" w:type="dxa"/>
            <w:vAlign w:val="bottom"/>
          </w:tcPr>
          <w:p>
            <w:pPr>
              <w:spacing w:after="0"/>
              <w:rPr>
                <w:sz w:val="1"/>
                <w:szCs w:val="1"/>
                <w:color w:val="auto"/>
              </w:rPr>
            </w:pP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Dividends</w:t>
            </w:r>
          </w:p>
        </w:tc>
        <w:tc>
          <w:tcPr>
            <w:tcW w:w="106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(86)</w:t>
            </w:r>
          </w:p>
        </w:tc>
        <w:tc>
          <w:tcPr>
            <w:tcW w:w="360" w:type="dxa"/>
            <w:vAlign w:val="bottom"/>
          </w:tcPr>
          <w:p>
            <w:pPr>
              <w:spacing w:after="0"/>
              <w:rPr>
                <w:sz w:val="17"/>
                <w:szCs w:val="17"/>
                <w:color w:val="auto"/>
              </w:rPr>
            </w:pPr>
          </w:p>
        </w:tc>
        <w:tc>
          <w:tcPr>
            <w:tcW w:w="6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2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(999)</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(1,111)</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(1,111)</w:t>
            </w:r>
          </w:p>
        </w:tc>
        <w:tc>
          <w:tcPr>
            <w:tcW w:w="0" w:type="dxa"/>
            <w:vAlign w:val="bottom"/>
          </w:tcPr>
          <w:p>
            <w:pPr>
              <w:spacing w:after="0"/>
              <w:rPr>
                <w:sz w:val="1"/>
                <w:szCs w:val="1"/>
                <w:color w:val="auto"/>
              </w:rPr>
            </w:pP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Stock repurchased</w:t>
            </w:r>
          </w:p>
        </w:tc>
        <w:tc>
          <w:tcPr>
            <w:tcW w:w="10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vMerge w:val="restart"/>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(999)</w:t>
            </w:r>
          </w:p>
        </w:tc>
        <w:tc>
          <w:tcPr>
            <w:tcW w:w="0" w:type="dxa"/>
            <w:vAlign w:val="bottom"/>
          </w:tcPr>
          <w:p>
            <w:pPr>
              <w:spacing w:after="0"/>
              <w:rPr>
                <w:sz w:val="1"/>
                <w:szCs w:val="1"/>
                <w:color w:val="auto"/>
              </w:rPr>
            </w:pPr>
          </w:p>
        </w:tc>
      </w:tr>
      <w:tr>
        <w:trPr>
          <w:trHeight w:val="203"/>
        </w:trPr>
        <w:tc>
          <w:tcPr>
            <w:tcW w:w="2640" w:type="dxa"/>
            <w:vAlign w:val="bottom"/>
            <w:vMerge w:val="restart"/>
          </w:tcPr>
          <w:p>
            <w:pPr>
              <w:spacing w:after="0"/>
              <w:rPr>
                <w:sz w:val="20"/>
                <w:szCs w:val="20"/>
                <w:color w:val="auto"/>
              </w:rPr>
            </w:pPr>
            <w:r>
              <w:rPr>
                <w:rFonts w:ascii="Courier New" w:cs="Courier New" w:eastAsia="Courier New" w:hAnsi="Courier New"/>
                <w:sz w:val="18"/>
                <w:szCs w:val="18"/>
                <w:color w:val="auto"/>
              </w:rPr>
              <w:t>Balance, March 31, 1997</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vMerge w:val="continue"/>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640" w:type="dxa"/>
            <w:vAlign w:val="bottom"/>
            <w:vMerge w:val="continue"/>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14,543</w:t>
            </w: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146</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$ 25,984</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$23,109</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$ 49,239</w:t>
            </w:r>
          </w:p>
        </w:tc>
        <w:tc>
          <w:tcPr>
            <w:tcW w:w="0" w:type="dxa"/>
            <w:vAlign w:val="bottom"/>
          </w:tcPr>
          <w:p>
            <w:pPr>
              <w:spacing w:after="0"/>
              <w:rPr>
                <w:sz w:val="1"/>
                <w:szCs w:val="1"/>
                <w:color w:val="auto"/>
              </w:rPr>
            </w:pPr>
          </w:p>
        </w:tc>
      </w:tr>
      <w:tr>
        <w:trPr>
          <w:trHeight w:val="296"/>
        </w:trPr>
        <w:tc>
          <w:tcPr>
            <w:tcW w:w="2640" w:type="dxa"/>
            <w:vAlign w:val="bottom"/>
          </w:tcPr>
          <w:p>
            <w:pPr>
              <w:spacing w:after="0"/>
              <w:rPr>
                <w:sz w:val="24"/>
                <w:szCs w:val="24"/>
                <w:color w:val="auto"/>
              </w:rPr>
            </w:pP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2640" w:type="dxa"/>
            <w:vAlign w:val="bottom"/>
          </w:tcPr>
          <w:p>
            <w:pPr>
              <w:spacing w:after="0"/>
              <w:rPr>
                <w:sz w:val="20"/>
                <w:szCs w:val="20"/>
                <w:color w:val="auto"/>
              </w:rPr>
            </w:pPr>
            <w:r>
              <w:rPr>
                <w:rFonts w:ascii="Courier New" w:cs="Courier New" w:eastAsia="Courier New" w:hAnsi="Courier New"/>
                <w:sz w:val="18"/>
                <w:szCs w:val="18"/>
                <w:color w:val="auto"/>
              </w:rPr>
              <w:t>Balance, January 1, 1998</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14,804</w:t>
            </w:r>
          </w:p>
        </w:tc>
        <w:tc>
          <w:tcPr>
            <w:tcW w:w="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149</w:t>
            </w:r>
          </w:p>
        </w:tc>
        <w:tc>
          <w:tcPr>
            <w:tcW w:w="12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$ 27,902</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$25,387</w:t>
            </w:r>
          </w:p>
        </w:tc>
        <w:tc>
          <w:tcPr>
            <w:tcW w:w="1120" w:type="dxa"/>
            <w:vAlign w:val="bottom"/>
            <w:gridSpan w:val="2"/>
          </w:tcPr>
          <w:p>
            <w:pPr>
              <w:jc w:val="right"/>
              <w:ind w:right="192"/>
              <w:spacing w:after="0"/>
              <w:rPr>
                <w:sz w:val="20"/>
                <w:szCs w:val="20"/>
                <w:color w:val="auto"/>
              </w:rPr>
            </w:pPr>
            <w:r>
              <w:rPr>
                <w:rFonts w:ascii="Courier New" w:cs="Courier New" w:eastAsia="Courier New" w:hAnsi="Courier New"/>
                <w:sz w:val="18"/>
                <w:szCs w:val="18"/>
                <w:color w:val="auto"/>
              </w:rPr>
              <w:t>$(467)</w:t>
            </w: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$ 52,971</w:t>
            </w:r>
          </w:p>
        </w:tc>
        <w:tc>
          <w:tcPr>
            <w:tcW w:w="0" w:type="dxa"/>
            <w:vAlign w:val="bottom"/>
          </w:tcPr>
          <w:p>
            <w:pPr>
              <w:spacing w:after="0"/>
              <w:rPr>
                <w:sz w:val="1"/>
                <w:szCs w:val="1"/>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2,667</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2,667</w:t>
            </w:r>
          </w:p>
        </w:tc>
        <w:tc>
          <w:tcPr>
            <w:tcW w:w="0" w:type="dxa"/>
            <w:vAlign w:val="bottom"/>
          </w:tcPr>
          <w:p>
            <w:pPr>
              <w:spacing w:after="0"/>
              <w:rPr>
                <w:sz w:val="1"/>
                <w:szCs w:val="1"/>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Dividends</w:t>
            </w: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(1,186)</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(1,186)</w:t>
            </w:r>
          </w:p>
        </w:tc>
        <w:tc>
          <w:tcPr>
            <w:tcW w:w="0" w:type="dxa"/>
            <w:vAlign w:val="bottom"/>
          </w:tcPr>
          <w:p>
            <w:pPr>
              <w:spacing w:after="0"/>
              <w:rPr>
                <w:sz w:val="1"/>
                <w:szCs w:val="1"/>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comprehensive</w:t>
            </w: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w w:val="92"/>
              </w:rPr>
              <w:t>(261)</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(261)</w:t>
            </w:r>
          </w:p>
        </w:tc>
        <w:tc>
          <w:tcPr>
            <w:tcW w:w="0" w:type="dxa"/>
            <w:vAlign w:val="bottom"/>
          </w:tcPr>
          <w:p>
            <w:pPr>
              <w:spacing w:after="0"/>
              <w:rPr>
                <w:sz w:val="1"/>
                <w:szCs w:val="1"/>
                <w:color w:val="auto"/>
              </w:rPr>
            </w:pP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w:t>
            </w:r>
          </w:p>
        </w:tc>
        <w:tc>
          <w:tcPr>
            <w:tcW w:w="10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000" w:type="dxa"/>
            <w:vAlign w:val="bottom"/>
            <w:gridSpan w:val="2"/>
            <w:vMerge w:val="restart"/>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2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1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vMerge w:val="restart"/>
          </w:tcPr>
          <w:p>
            <w:pPr>
              <w:spacing w:after="0"/>
              <w:rPr>
                <w:sz w:val="20"/>
                <w:szCs w:val="20"/>
                <w:color w:val="auto"/>
              </w:rPr>
            </w:pPr>
            <w:r>
              <w:rPr>
                <w:rFonts w:ascii="Courier New" w:cs="Courier New" w:eastAsia="Courier New" w:hAnsi="Courier New"/>
                <w:sz w:val="18"/>
                <w:szCs w:val="18"/>
                <w:color w:val="auto"/>
              </w:rPr>
              <w:t>Balance, March 31, 1998</w:t>
            </w:r>
          </w:p>
        </w:tc>
        <w:tc>
          <w:tcPr>
            <w:tcW w:w="1060" w:type="dxa"/>
            <w:vAlign w:val="bottom"/>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12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640" w:type="dxa"/>
            <w:vAlign w:val="bottom"/>
            <w:vMerge w:val="continue"/>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14,804</w:t>
            </w: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149</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$ 27,902</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$26,868</w:t>
            </w:r>
          </w:p>
        </w:tc>
        <w:tc>
          <w:tcPr>
            <w:tcW w:w="112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$(728)</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$ 54,191</w:t>
            </w:r>
          </w:p>
        </w:tc>
        <w:tc>
          <w:tcPr>
            <w:tcW w:w="0" w:type="dxa"/>
            <w:vAlign w:val="bottom"/>
          </w:tcPr>
          <w:p>
            <w:pPr>
              <w:spacing w:after="0"/>
              <w:rPr>
                <w:sz w:val="1"/>
                <w:szCs w:val="1"/>
                <w:color w:val="auto"/>
              </w:rPr>
            </w:pPr>
          </w:p>
        </w:tc>
      </w:tr>
      <w:tr>
        <w:trPr>
          <w:trHeight w:val="296"/>
        </w:trPr>
        <w:tc>
          <w:tcPr>
            <w:tcW w:w="2640" w:type="dxa"/>
            <w:vAlign w:val="bottom"/>
          </w:tcPr>
          <w:p>
            <w:pPr>
              <w:spacing w:after="0"/>
              <w:rPr>
                <w:sz w:val="24"/>
                <w:szCs w:val="24"/>
                <w:color w:val="auto"/>
              </w:rPr>
            </w:pP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691" w:right="1440" w:bottom="1440" w:gutter="0" w:footer="0" w:header="0"/>
        </w:sectPr>
      </w:pPr>
    </w:p>
    <w:bookmarkStart w:id="5" w:name="page6"/>
    <w:bookmarkEnd w:id="5"/>
    <w:p>
      <w:pPr>
        <w:jc w:val="center"/>
        <w:ind w:right="1779"/>
        <w:spacing w:after="0"/>
        <w:rPr>
          <w:sz w:val="20"/>
          <w:szCs w:val="20"/>
          <w:color w:val="auto"/>
        </w:rPr>
      </w:pPr>
      <w:r>
        <w:rPr>
          <w:rFonts w:ascii="Courier New" w:cs="Courier New" w:eastAsia="Courier New" w:hAnsi="Courier New"/>
          <w:sz w:val="18"/>
          <w:szCs w:val="18"/>
          <w:color w:val="auto"/>
        </w:rPr>
        <w:t>NN Ball &amp; Roller, Inc.</w:t>
      </w:r>
    </w:p>
    <w:p>
      <w:pPr>
        <w:spacing w:after="0" w:line="2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Condensed Statements of Cash Flows</w:t>
      </w:r>
    </w:p>
    <w:tbl>
      <w:tblPr>
        <w:tblLayout w:type="fixed"/>
        <w:tblInd w:w="0" w:type="dxa"/>
        <w:tblCellMar>
          <w:top w:w="0" w:type="dxa"/>
          <w:left w:w="0" w:type="dxa"/>
          <w:bottom w:w="0" w:type="dxa"/>
          <w:right w:w="0" w:type="dxa"/>
        </w:tblCellMar>
      </w:tblPr>
      <w:tr>
        <w:trPr>
          <w:trHeight w:val="296"/>
        </w:trPr>
        <w:tc>
          <w:tcPr>
            <w:tcW w:w="2960" w:type="dxa"/>
            <w:vAlign w:val="bottom"/>
          </w:tcPr>
          <w:p>
            <w:pPr>
              <w:spacing w:after="0"/>
              <w:rPr>
                <w:sz w:val="24"/>
                <w:szCs w:val="24"/>
                <w:color w:val="auto"/>
              </w:rPr>
            </w:pPr>
          </w:p>
        </w:tc>
        <w:tc>
          <w:tcPr>
            <w:tcW w:w="3320" w:type="dxa"/>
            <w:vAlign w:val="bottom"/>
          </w:tcPr>
          <w:p>
            <w:pPr>
              <w:ind w:left="740"/>
              <w:spacing w:after="0"/>
              <w:rPr>
                <w:sz w:val="20"/>
                <w:szCs w:val="20"/>
                <w:color w:val="auto"/>
              </w:rPr>
            </w:pPr>
            <w:r>
              <w:rPr>
                <w:rFonts w:ascii="Courier New" w:cs="Courier New" w:eastAsia="Courier New" w:hAnsi="Courier New"/>
                <w:sz w:val="18"/>
                <w:szCs w:val="18"/>
                <w:color w:val="auto"/>
              </w:rPr>
              <w:t>(Unaudited)</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960" w:type="dxa"/>
            <w:vAlign w:val="bottom"/>
          </w:tcPr>
          <w:p>
            <w:pPr>
              <w:spacing w:after="0"/>
              <w:rPr>
                <w:sz w:val="24"/>
                <w:szCs w:val="24"/>
                <w:color w:val="auto"/>
              </w:rPr>
            </w:pPr>
          </w:p>
        </w:tc>
        <w:tc>
          <w:tcPr>
            <w:tcW w:w="4740" w:type="dxa"/>
            <w:vAlign w:val="bottom"/>
            <w:gridSpan w:val="2"/>
          </w:tcPr>
          <w:p>
            <w:pPr>
              <w:ind w:left="2840"/>
              <w:spacing w:after="0"/>
              <w:rPr>
                <w:sz w:val="20"/>
                <w:szCs w:val="20"/>
                <w:color w:val="auto"/>
              </w:rPr>
            </w:pPr>
            <w:r>
              <w:rPr>
                <w:rFonts w:ascii="Courier New" w:cs="Courier New" w:eastAsia="Courier New" w:hAnsi="Courier New"/>
                <w:sz w:val="18"/>
                <w:szCs w:val="18"/>
                <w:color w:val="auto"/>
                <w:w w:val="96"/>
              </w:rPr>
              <w:t>Three Months Ended</w:t>
            </w:r>
          </w:p>
        </w:tc>
        <w:tc>
          <w:tcPr>
            <w:tcW w:w="0" w:type="dxa"/>
            <w:vAlign w:val="bottom"/>
          </w:tcPr>
          <w:p>
            <w:pPr>
              <w:spacing w:after="0"/>
              <w:rPr>
                <w:sz w:val="1"/>
                <w:szCs w:val="1"/>
                <w:color w:val="auto"/>
              </w:rPr>
            </w:pPr>
          </w:p>
        </w:tc>
      </w:tr>
      <w:tr>
        <w:trPr>
          <w:trHeight w:val="203"/>
        </w:trPr>
        <w:tc>
          <w:tcPr>
            <w:tcW w:w="2960" w:type="dxa"/>
            <w:vAlign w:val="bottom"/>
            <w:vMerge w:val="restart"/>
          </w:tcPr>
          <w:p>
            <w:pPr>
              <w:spacing w:after="0"/>
              <w:rPr>
                <w:sz w:val="20"/>
                <w:szCs w:val="20"/>
                <w:color w:val="auto"/>
              </w:rPr>
            </w:pPr>
            <w:r>
              <w:rPr>
                <w:rFonts w:ascii="Courier New" w:cs="Courier New" w:eastAsia="Courier New" w:hAnsi="Courier New"/>
                <w:sz w:val="18"/>
                <w:szCs w:val="18"/>
                <w:color w:val="auto"/>
              </w:rPr>
              <w:t>Thousands of  Dollars</w:t>
            </w:r>
          </w:p>
        </w:tc>
        <w:tc>
          <w:tcPr>
            <w:tcW w:w="3320" w:type="dxa"/>
            <w:vAlign w:val="bottom"/>
            <w:vMerge w:val="restart"/>
          </w:tcPr>
          <w:p>
            <w:pPr>
              <w:ind w:left="2840"/>
              <w:spacing w:after="0"/>
              <w:rPr>
                <w:sz w:val="20"/>
                <w:szCs w:val="20"/>
                <w:color w:val="auto"/>
              </w:rPr>
            </w:pPr>
            <w:r>
              <w:rPr>
                <w:rFonts w:ascii="Courier New" w:cs="Courier New" w:eastAsia="Courier New" w:hAnsi="Courier New"/>
                <w:sz w:val="18"/>
                <w:szCs w:val="18"/>
                <w:color w:val="auto"/>
              </w:rPr>
              <w:t>1998</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March 31,</w:t>
            </w:r>
          </w:p>
        </w:tc>
        <w:tc>
          <w:tcPr>
            <w:tcW w:w="0" w:type="dxa"/>
            <w:vAlign w:val="bottom"/>
          </w:tcPr>
          <w:p>
            <w:pPr>
              <w:spacing w:after="0"/>
              <w:rPr>
                <w:sz w:val="1"/>
                <w:szCs w:val="1"/>
                <w:color w:val="auto"/>
              </w:rPr>
            </w:pPr>
          </w:p>
        </w:tc>
      </w:tr>
      <w:tr>
        <w:trPr>
          <w:trHeight w:val="235"/>
        </w:trPr>
        <w:tc>
          <w:tcPr>
            <w:tcW w:w="2960" w:type="dxa"/>
            <w:vAlign w:val="bottom"/>
            <w:vMerge w:val="continue"/>
          </w:tcPr>
          <w:p>
            <w:pPr>
              <w:spacing w:after="0"/>
              <w:rPr>
                <w:sz w:val="20"/>
                <w:szCs w:val="20"/>
                <w:color w:val="auto"/>
              </w:rPr>
            </w:pPr>
          </w:p>
        </w:tc>
        <w:tc>
          <w:tcPr>
            <w:tcW w:w="3320" w:type="dxa"/>
            <w:vAlign w:val="bottom"/>
            <w:vMerge w:val="continue"/>
          </w:tcPr>
          <w:p>
            <w:pPr>
              <w:spacing w:after="0"/>
              <w:rPr>
                <w:sz w:val="20"/>
                <w:szCs w:val="20"/>
                <w:color w:val="auto"/>
              </w:rPr>
            </w:pPr>
          </w:p>
        </w:tc>
        <w:tc>
          <w:tcPr>
            <w:tcW w:w="1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1997</w:t>
            </w: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Operating Activities:</w:t>
      </w:r>
    </w:p>
    <w:tbl>
      <w:tblPr>
        <w:tblLayout w:type="fixed"/>
        <w:tblInd w:w="0" w:type="dxa"/>
        <w:tblCellMar>
          <w:top w:w="0" w:type="dxa"/>
          <w:left w:w="0" w:type="dxa"/>
          <w:bottom w:w="0" w:type="dxa"/>
          <w:right w:w="0" w:type="dxa"/>
        </w:tblCellMar>
      </w:tblPr>
      <w:tr>
        <w:trPr>
          <w:trHeight w:val="171"/>
        </w:trPr>
        <w:tc>
          <w:tcPr>
            <w:tcW w:w="5280" w:type="dxa"/>
            <w:vAlign w:val="bottom"/>
          </w:tcPr>
          <w:p>
            <w:pPr>
              <w:ind w:left="220"/>
              <w:spacing w:after="0" w:line="171" w:lineRule="exact"/>
              <w:rPr>
                <w:sz w:val="20"/>
                <w:szCs w:val="20"/>
                <w:color w:val="auto"/>
              </w:rPr>
            </w:pPr>
            <w:r>
              <w:rPr>
                <w:rFonts w:ascii="Courier New" w:cs="Courier New" w:eastAsia="Courier New" w:hAnsi="Courier New"/>
                <w:sz w:val="18"/>
                <w:szCs w:val="18"/>
                <w:color w:val="auto"/>
              </w:rPr>
              <w:t>Net income</w:t>
            </w:r>
          </w:p>
        </w:tc>
        <w:tc>
          <w:tcPr>
            <w:tcW w:w="1260" w:type="dxa"/>
            <w:vAlign w:val="bottom"/>
          </w:tcPr>
          <w:p>
            <w:pPr>
              <w:jc w:val="right"/>
              <w:ind w:right="232"/>
              <w:spacing w:after="0" w:line="171" w:lineRule="exact"/>
              <w:rPr>
                <w:sz w:val="20"/>
                <w:szCs w:val="20"/>
                <w:color w:val="auto"/>
              </w:rPr>
            </w:pPr>
            <w:r>
              <w:rPr>
                <w:rFonts w:ascii="Courier New" w:cs="Courier New" w:eastAsia="Courier New" w:hAnsi="Courier New"/>
                <w:sz w:val="18"/>
                <w:szCs w:val="18"/>
                <w:color w:val="auto"/>
              </w:rPr>
              <w:t>$ 2,667</w:t>
            </w:r>
          </w:p>
        </w:tc>
        <w:tc>
          <w:tcPr>
            <w:tcW w:w="1060" w:type="dxa"/>
            <w:vAlign w:val="bottom"/>
            <w:gridSpan w:val="2"/>
          </w:tcPr>
          <w:p>
            <w:pPr>
              <w:jc w:val="right"/>
              <w:ind w:right="32"/>
              <w:spacing w:after="0" w:line="171" w:lineRule="exact"/>
              <w:rPr>
                <w:sz w:val="20"/>
                <w:szCs w:val="20"/>
                <w:color w:val="auto"/>
              </w:rPr>
            </w:pPr>
            <w:r>
              <w:rPr>
                <w:rFonts w:ascii="Courier New" w:cs="Courier New" w:eastAsia="Courier New" w:hAnsi="Courier New"/>
                <w:sz w:val="18"/>
                <w:szCs w:val="18"/>
                <w:color w:val="auto"/>
              </w:rPr>
              <w:t>$ 2,639</w:t>
            </w:r>
          </w:p>
        </w:tc>
        <w:tc>
          <w:tcPr>
            <w:tcW w:w="0" w:type="dxa"/>
            <w:vAlign w:val="bottom"/>
          </w:tcPr>
          <w:p>
            <w:pPr>
              <w:spacing w:after="0"/>
              <w:rPr>
                <w:sz w:val="1"/>
                <w:szCs w:val="1"/>
                <w:color w:val="auto"/>
              </w:rPr>
            </w:pP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Adjustments to reconcile net income:</w:t>
            </w:r>
          </w:p>
        </w:tc>
        <w:tc>
          <w:tcPr>
            <w:tcW w:w="12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1,159</w:t>
            </w:r>
          </w:p>
        </w:tc>
        <w:tc>
          <w:tcPr>
            <w:tcW w:w="320" w:type="dxa"/>
            <w:vAlign w:val="bottom"/>
          </w:tcPr>
          <w:p>
            <w:pPr>
              <w:spacing w:after="0"/>
              <w:rPr>
                <w:sz w:val="17"/>
                <w:szCs w:val="17"/>
                <w:color w:val="auto"/>
              </w:rPr>
            </w:pPr>
          </w:p>
        </w:tc>
        <w:tc>
          <w:tcPr>
            <w:tcW w:w="74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1,052</w:t>
            </w:r>
          </w:p>
        </w:tc>
        <w:tc>
          <w:tcPr>
            <w:tcW w:w="0" w:type="dxa"/>
            <w:vAlign w:val="bottom"/>
          </w:tcPr>
          <w:p>
            <w:pPr>
              <w:spacing w:after="0"/>
              <w:rPr>
                <w:sz w:val="1"/>
                <w:szCs w:val="1"/>
                <w:color w:val="auto"/>
              </w:rPr>
            </w:pP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Depreciation</w:t>
            </w:r>
          </w:p>
        </w:tc>
        <w:tc>
          <w:tcPr>
            <w:tcW w:w="12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Changes in operating assets and liabilities:</w:t>
            </w:r>
          </w:p>
        </w:tc>
        <w:tc>
          <w:tcPr>
            <w:tcW w:w="12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(4,140)</w:t>
            </w:r>
          </w:p>
        </w:tc>
        <w:tc>
          <w:tcPr>
            <w:tcW w:w="32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(361)</w:t>
            </w:r>
          </w:p>
        </w:tc>
        <w:tc>
          <w:tcPr>
            <w:tcW w:w="0" w:type="dxa"/>
            <w:vAlign w:val="bottom"/>
          </w:tcPr>
          <w:p>
            <w:pPr>
              <w:spacing w:after="0"/>
              <w:rPr>
                <w:sz w:val="1"/>
                <w:szCs w:val="1"/>
                <w:color w:val="auto"/>
              </w:rPr>
            </w:pPr>
          </w:p>
        </w:tc>
      </w:tr>
      <w:tr>
        <w:trPr>
          <w:trHeight w:val="203"/>
        </w:trPr>
        <w:tc>
          <w:tcPr>
            <w:tcW w:w="5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12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Inventories</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(324)</w:t>
            </w:r>
          </w:p>
        </w:tc>
        <w:tc>
          <w:tcPr>
            <w:tcW w:w="3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w:t>
            </w:r>
          </w:p>
        </w:tc>
        <w:tc>
          <w:tcPr>
            <w:tcW w:w="0" w:type="dxa"/>
            <w:vAlign w:val="bottom"/>
          </w:tcPr>
          <w:p>
            <w:pPr>
              <w:spacing w:after="0"/>
              <w:rPr>
                <w:sz w:val="1"/>
                <w:szCs w:val="1"/>
                <w:color w:val="auto"/>
              </w:rPr>
            </w:pPr>
          </w:p>
        </w:tc>
      </w:tr>
      <w:tr>
        <w:trPr>
          <w:trHeight w:val="203"/>
        </w:trPr>
        <w:tc>
          <w:tcPr>
            <w:tcW w:w="5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432</w:t>
            </w:r>
          </w:p>
        </w:tc>
        <w:tc>
          <w:tcPr>
            <w:tcW w:w="3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(202)</w:t>
            </w:r>
          </w:p>
        </w:tc>
        <w:tc>
          <w:tcPr>
            <w:tcW w:w="0" w:type="dxa"/>
            <w:vAlign w:val="bottom"/>
          </w:tcPr>
          <w:p>
            <w:pPr>
              <w:spacing w:after="0"/>
              <w:rPr>
                <w:sz w:val="1"/>
                <w:szCs w:val="1"/>
                <w:color w:val="auto"/>
              </w:rPr>
            </w:pPr>
          </w:p>
        </w:tc>
      </w:tr>
      <w:tr>
        <w:trPr>
          <w:trHeight w:val="203"/>
        </w:trPr>
        <w:tc>
          <w:tcPr>
            <w:tcW w:w="5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1,352</w:t>
            </w:r>
          </w:p>
        </w:tc>
        <w:tc>
          <w:tcPr>
            <w:tcW w:w="3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456</w:t>
            </w:r>
          </w:p>
        </w:tc>
        <w:tc>
          <w:tcPr>
            <w:tcW w:w="0" w:type="dxa"/>
            <w:vAlign w:val="bottom"/>
          </w:tcPr>
          <w:p>
            <w:pPr>
              <w:spacing w:after="0"/>
              <w:rPr>
                <w:sz w:val="1"/>
                <w:szCs w:val="1"/>
                <w:color w:val="auto"/>
              </w:rPr>
            </w:pPr>
          </w:p>
        </w:tc>
      </w:tr>
      <w:tr>
        <w:trPr>
          <w:trHeight w:val="203"/>
        </w:trPr>
        <w:tc>
          <w:tcPr>
            <w:tcW w:w="5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1,018</w:t>
            </w:r>
          </w:p>
        </w:tc>
        <w:tc>
          <w:tcPr>
            <w:tcW w:w="3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Other liabilities</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1,024</w:t>
            </w:r>
          </w:p>
        </w:tc>
        <w:tc>
          <w:tcPr>
            <w:tcW w:w="3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1,540</w:t>
            </w:r>
          </w:p>
        </w:tc>
        <w:tc>
          <w:tcPr>
            <w:tcW w:w="0" w:type="dxa"/>
            <w:vAlign w:val="bottom"/>
          </w:tcPr>
          <w:p>
            <w:pPr>
              <w:spacing w:after="0"/>
              <w:rPr>
                <w:sz w:val="1"/>
                <w:szCs w:val="1"/>
                <w:color w:val="auto"/>
              </w:rPr>
            </w:pPr>
          </w:p>
        </w:tc>
      </w:tr>
      <w:tr>
        <w:trPr>
          <w:trHeight w:val="203"/>
        </w:trPr>
        <w:tc>
          <w:tcPr>
            <w:tcW w:w="5280" w:type="dxa"/>
            <w:vAlign w:val="bottom"/>
            <w:vMerge w:val="restart"/>
          </w:tcPr>
          <w:p>
            <w:pPr>
              <w:ind w:left="740"/>
              <w:spacing w:after="0"/>
              <w:rPr>
                <w:sz w:val="20"/>
                <w:szCs w:val="20"/>
                <w:color w:val="auto"/>
              </w:rPr>
            </w:pPr>
            <w:r>
              <w:rPr>
                <w:rFonts w:ascii="Courier New" w:cs="Courier New" w:eastAsia="Courier New" w:hAnsi="Courier New"/>
                <w:sz w:val="18"/>
                <w:szCs w:val="18"/>
                <w:color w:val="auto"/>
              </w:rPr>
              <w:t>Net cash provided by operations</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280" w:type="dxa"/>
            <w:vAlign w:val="bottom"/>
            <w:vMerge w:val="continue"/>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3,188</w:t>
            </w:r>
          </w:p>
        </w:tc>
        <w:tc>
          <w:tcPr>
            <w:tcW w:w="3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5,085</w:t>
            </w:r>
          </w:p>
        </w:tc>
        <w:tc>
          <w:tcPr>
            <w:tcW w:w="0" w:type="dxa"/>
            <w:vAlign w:val="bottom"/>
          </w:tcPr>
          <w:p>
            <w:pPr>
              <w:spacing w:after="0"/>
              <w:rPr>
                <w:sz w:val="1"/>
                <w:szCs w:val="1"/>
                <w:color w:val="auto"/>
              </w:rPr>
            </w:pPr>
          </w:p>
        </w:tc>
      </w:tr>
      <w:tr>
        <w:trPr>
          <w:trHeight w:val="296"/>
        </w:trPr>
        <w:tc>
          <w:tcPr>
            <w:tcW w:w="5280" w:type="dxa"/>
            <w:vAlign w:val="bottom"/>
          </w:tcPr>
          <w:p>
            <w:pPr>
              <w:spacing w:after="0"/>
              <w:rPr>
                <w:sz w:val="24"/>
                <w:szCs w:val="24"/>
                <w:color w:val="auto"/>
              </w:rPr>
            </w:pP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280" w:type="dxa"/>
            <w:vAlign w:val="bottom"/>
          </w:tcPr>
          <w:p>
            <w:pPr>
              <w:spacing w:after="0"/>
              <w:rPr>
                <w:sz w:val="20"/>
                <w:szCs w:val="20"/>
                <w:color w:val="auto"/>
              </w:rPr>
            </w:pPr>
            <w:r>
              <w:rPr>
                <w:rFonts w:ascii="Courier New" w:cs="Courier New" w:eastAsia="Courier New" w:hAnsi="Courier New"/>
                <w:sz w:val="18"/>
                <w:szCs w:val="18"/>
                <w:color w:val="auto"/>
              </w:rPr>
              <w:t>Investing Activities:</w:t>
            </w:r>
          </w:p>
        </w:tc>
        <w:tc>
          <w:tcPr>
            <w:tcW w:w="12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(941)</w:t>
            </w:r>
          </w:p>
        </w:tc>
        <w:tc>
          <w:tcPr>
            <w:tcW w:w="320" w:type="dxa"/>
            <w:vAlign w:val="bottom"/>
          </w:tcPr>
          <w:p>
            <w:pPr>
              <w:spacing w:after="0"/>
              <w:rPr>
                <w:sz w:val="24"/>
                <w:szCs w:val="24"/>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(822)</w:t>
            </w:r>
          </w:p>
        </w:tc>
        <w:tc>
          <w:tcPr>
            <w:tcW w:w="0" w:type="dxa"/>
            <w:vAlign w:val="bottom"/>
          </w:tcPr>
          <w:p>
            <w:pPr>
              <w:spacing w:after="0"/>
              <w:rPr>
                <w:sz w:val="1"/>
                <w:szCs w:val="1"/>
                <w:color w:val="auto"/>
              </w:rPr>
            </w:pPr>
          </w:p>
        </w:tc>
      </w:tr>
      <w:tr>
        <w:trPr>
          <w:trHeight w:val="203"/>
        </w:trPr>
        <w:tc>
          <w:tcPr>
            <w:tcW w:w="5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Acquisition of plant, property, and equipment</w:t>
            </w:r>
          </w:p>
        </w:tc>
        <w:tc>
          <w:tcPr>
            <w:tcW w:w="12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Other assets</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35</w:t>
            </w:r>
          </w:p>
        </w:tc>
        <w:tc>
          <w:tcPr>
            <w:tcW w:w="0" w:type="dxa"/>
            <w:vAlign w:val="bottom"/>
          </w:tcPr>
          <w:p>
            <w:pPr>
              <w:spacing w:after="0"/>
              <w:rPr>
                <w:sz w:val="1"/>
                <w:szCs w:val="1"/>
                <w:color w:val="auto"/>
              </w:rPr>
            </w:pPr>
          </w:p>
        </w:tc>
      </w:tr>
      <w:tr>
        <w:trPr>
          <w:trHeight w:val="203"/>
        </w:trPr>
        <w:tc>
          <w:tcPr>
            <w:tcW w:w="5280" w:type="dxa"/>
            <w:vAlign w:val="bottom"/>
            <w:vMerge w:val="restart"/>
          </w:tcPr>
          <w:p>
            <w:pPr>
              <w:ind w:left="740"/>
              <w:spacing w:after="0"/>
              <w:rPr>
                <w:sz w:val="20"/>
                <w:szCs w:val="20"/>
                <w:color w:val="auto"/>
              </w:rPr>
            </w:pPr>
            <w:r>
              <w:rPr>
                <w:rFonts w:ascii="Courier New" w:cs="Courier New" w:eastAsia="Courier New" w:hAnsi="Courier New"/>
                <w:sz w:val="18"/>
                <w:szCs w:val="18"/>
                <w:color w:val="auto"/>
              </w:rPr>
              <w:t>Net cash used by investing activities</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280" w:type="dxa"/>
            <w:vAlign w:val="bottom"/>
            <w:vMerge w:val="continue"/>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(941)</w:t>
            </w:r>
          </w:p>
        </w:tc>
        <w:tc>
          <w:tcPr>
            <w:tcW w:w="3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(787)</w:t>
            </w:r>
          </w:p>
        </w:tc>
        <w:tc>
          <w:tcPr>
            <w:tcW w:w="0" w:type="dxa"/>
            <w:vAlign w:val="bottom"/>
          </w:tcPr>
          <w:p>
            <w:pPr>
              <w:spacing w:after="0"/>
              <w:rPr>
                <w:sz w:val="1"/>
                <w:szCs w:val="1"/>
                <w:color w:val="auto"/>
              </w:rPr>
            </w:pPr>
          </w:p>
        </w:tc>
      </w:tr>
      <w:tr>
        <w:trPr>
          <w:trHeight w:val="296"/>
        </w:trPr>
        <w:tc>
          <w:tcPr>
            <w:tcW w:w="5280" w:type="dxa"/>
            <w:vAlign w:val="bottom"/>
            <w:vMerge w:val="restart"/>
          </w:tcPr>
          <w:p>
            <w:pPr>
              <w:spacing w:after="0"/>
              <w:rPr>
                <w:sz w:val="20"/>
                <w:szCs w:val="20"/>
                <w:color w:val="auto"/>
              </w:rPr>
            </w:pPr>
            <w:r>
              <w:rPr>
                <w:rFonts w:ascii="Courier New" w:cs="Courier New" w:eastAsia="Courier New" w:hAnsi="Courier New"/>
                <w:sz w:val="18"/>
                <w:szCs w:val="18"/>
                <w:color w:val="auto"/>
              </w:rPr>
              <w:t>Financing Activities:</w:t>
            </w: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528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5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receipts (payments) under revolving line of</w:t>
            </w:r>
          </w:p>
        </w:tc>
        <w:tc>
          <w:tcPr>
            <w:tcW w:w="12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(970)</w:t>
            </w:r>
          </w:p>
        </w:tc>
        <w:tc>
          <w:tcPr>
            <w:tcW w:w="32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5"/>
              </w:rPr>
              <w:t>(2,188)</w:t>
            </w:r>
          </w:p>
        </w:tc>
        <w:tc>
          <w:tcPr>
            <w:tcW w:w="0" w:type="dxa"/>
            <w:vAlign w:val="bottom"/>
          </w:tcPr>
          <w:p>
            <w:pPr>
              <w:spacing w:after="0"/>
              <w:rPr>
                <w:sz w:val="1"/>
                <w:szCs w:val="1"/>
                <w:color w:val="auto"/>
              </w:rPr>
            </w:pP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credit</w:t>
            </w:r>
          </w:p>
        </w:tc>
        <w:tc>
          <w:tcPr>
            <w:tcW w:w="12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Stock options exercised</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Repurchase of Company's Common Stock</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(999)</w:t>
            </w:r>
          </w:p>
        </w:tc>
        <w:tc>
          <w:tcPr>
            <w:tcW w:w="0" w:type="dxa"/>
            <w:vAlign w:val="bottom"/>
          </w:tcPr>
          <w:p>
            <w:pPr>
              <w:spacing w:after="0"/>
              <w:rPr>
                <w:sz w:val="1"/>
                <w:szCs w:val="1"/>
                <w:color w:val="auto"/>
              </w:rPr>
            </w:pPr>
          </w:p>
        </w:tc>
      </w:tr>
      <w:tr>
        <w:trPr>
          <w:trHeight w:val="203"/>
        </w:trPr>
        <w:tc>
          <w:tcPr>
            <w:tcW w:w="5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Foreign Currency Translation</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(261)</w:t>
            </w:r>
          </w:p>
        </w:tc>
        <w:tc>
          <w:tcPr>
            <w:tcW w:w="3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Dividends</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(1,186)</w:t>
            </w:r>
          </w:p>
        </w:tc>
        <w:tc>
          <w:tcPr>
            <w:tcW w:w="3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(1,111)</w:t>
            </w:r>
          </w:p>
        </w:tc>
        <w:tc>
          <w:tcPr>
            <w:tcW w:w="0" w:type="dxa"/>
            <w:vAlign w:val="bottom"/>
          </w:tcPr>
          <w:p>
            <w:pPr>
              <w:spacing w:after="0"/>
              <w:rPr>
                <w:sz w:val="1"/>
                <w:szCs w:val="1"/>
                <w:color w:val="auto"/>
              </w:rPr>
            </w:pPr>
          </w:p>
        </w:tc>
      </w:tr>
      <w:tr>
        <w:trPr>
          <w:trHeight w:val="296"/>
        </w:trPr>
        <w:tc>
          <w:tcPr>
            <w:tcW w:w="5280" w:type="dxa"/>
            <w:vAlign w:val="bottom"/>
            <w:vMerge w:val="restart"/>
          </w:tcPr>
          <w:p>
            <w:pPr>
              <w:ind w:left="640"/>
              <w:spacing w:after="0"/>
              <w:rPr>
                <w:sz w:val="20"/>
                <w:szCs w:val="20"/>
                <w:color w:val="auto"/>
              </w:rPr>
            </w:pPr>
            <w:r>
              <w:rPr>
                <w:rFonts w:ascii="Courier New" w:cs="Courier New" w:eastAsia="Courier New" w:hAnsi="Courier New"/>
                <w:sz w:val="18"/>
                <w:szCs w:val="18"/>
                <w:color w:val="auto"/>
              </w:rPr>
              <w:t>Net cash provided (used) by</w:t>
            </w: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5280" w:type="dxa"/>
            <w:vAlign w:val="bottom"/>
            <w:vMerge w:val="continue"/>
          </w:tcPr>
          <w:p>
            <w:pPr>
              <w:spacing w:after="0"/>
              <w:rPr>
                <w:sz w:val="9"/>
                <w:szCs w:val="9"/>
                <w:color w:val="auto"/>
              </w:rPr>
            </w:pPr>
          </w:p>
        </w:tc>
        <w:tc>
          <w:tcPr>
            <w:tcW w:w="12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(2,417)</w:t>
            </w:r>
          </w:p>
        </w:tc>
        <w:tc>
          <w:tcPr>
            <w:tcW w:w="32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5"/>
              </w:rPr>
              <w:t>(4,298)</w:t>
            </w:r>
          </w:p>
        </w:tc>
        <w:tc>
          <w:tcPr>
            <w:tcW w:w="0" w:type="dxa"/>
            <w:vAlign w:val="bottom"/>
          </w:tcPr>
          <w:p>
            <w:pPr>
              <w:spacing w:after="0"/>
              <w:rPr>
                <w:sz w:val="1"/>
                <w:szCs w:val="1"/>
                <w:color w:val="auto"/>
              </w:rPr>
            </w:pPr>
          </w:p>
        </w:tc>
      </w:tr>
      <w:tr>
        <w:trPr>
          <w:trHeight w:val="203"/>
        </w:trPr>
        <w:tc>
          <w:tcPr>
            <w:tcW w:w="52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financing activities</w:t>
            </w:r>
          </w:p>
        </w:tc>
        <w:tc>
          <w:tcPr>
            <w:tcW w:w="12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5280" w:type="dxa"/>
            <w:vAlign w:val="bottom"/>
          </w:tcPr>
          <w:p>
            <w:pPr>
              <w:spacing w:after="0"/>
              <w:rPr>
                <w:sz w:val="24"/>
                <w:szCs w:val="24"/>
                <w:color w:val="auto"/>
              </w:rPr>
            </w:pP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280" w:type="dxa"/>
            <w:vAlign w:val="bottom"/>
          </w:tcPr>
          <w:p>
            <w:pPr>
              <w:spacing w:after="0"/>
              <w:rPr>
                <w:sz w:val="20"/>
                <w:szCs w:val="20"/>
                <w:color w:val="auto"/>
              </w:rPr>
            </w:pPr>
            <w:r>
              <w:rPr>
                <w:rFonts w:ascii="Courier New" w:cs="Courier New" w:eastAsia="Courier New" w:hAnsi="Courier New"/>
                <w:sz w:val="18"/>
                <w:szCs w:val="18"/>
                <w:color w:val="auto"/>
              </w:rPr>
              <w:t>Net Change in Cash and Cash Equivalents</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(170)</w:t>
            </w:r>
          </w:p>
        </w:tc>
        <w:tc>
          <w:tcPr>
            <w:tcW w:w="32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Beginning of Period</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366</w:t>
            </w:r>
          </w:p>
        </w:tc>
        <w:tc>
          <w:tcPr>
            <w:tcW w:w="3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280" w:type="dxa"/>
            <w:vAlign w:val="bottom"/>
            <w:vMerge w:val="restart"/>
          </w:tcPr>
          <w:p>
            <w:pPr>
              <w:spacing w:after="0"/>
              <w:rPr>
                <w:sz w:val="20"/>
                <w:szCs w:val="20"/>
                <w:color w:val="auto"/>
              </w:rPr>
            </w:pPr>
            <w:r>
              <w:rPr>
                <w:rFonts w:ascii="Courier New" w:cs="Courier New" w:eastAsia="Courier New" w:hAnsi="Courier New"/>
                <w:sz w:val="18"/>
                <w:szCs w:val="18"/>
                <w:color w:val="auto"/>
              </w:rPr>
              <w:t>Cash and Cash Equivalents at Period-End</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280" w:type="dxa"/>
            <w:vAlign w:val="bottom"/>
            <w:vMerge w:val="continue"/>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196</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5280" w:type="dxa"/>
            <w:vAlign w:val="bottom"/>
          </w:tcPr>
          <w:p>
            <w:pPr>
              <w:spacing w:after="0"/>
              <w:rPr>
                <w:sz w:val="24"/>
                <w:szCs w:val="24"/>
                <w:color w:val="auto"/>
              </w:rPr>
            </w:pP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691" w:right="1440" w:bottom="1440" w:gutter="0" w:footer="0" w:header="0"/>
        </w:sectPr>
      </w:pPr>
    </w:p>
    <w:bookmarkStart w:id="6" w:name="page7"/>
    <w:bookmarkEnd w:id="6"/>
    <w:p>
      <w:pPr>
        <w:ind w:left="3060"/>
        <w:spacing w:after="0"/>
        <w:rPr>
          <w:sz w:val="20"/>
          <w:szCs w:val="20"/>
          <w:color w:val="auto"/>
        </w:rPr>
      </w:pPr>
      <w:r>
        <w:rPr>
          <w:rFonts w:ascii="Courier New" w:cs="Courier New" w:eastAsia="Courier New" w:hAnsi="Courier New"/>
          <w:sz w:val="18"/>
          <w:szCs w:val="18"/>
          <w:color w:val="auto"/>
        </w:rPr>
        <w:t>NN Ball &amp; Roller, Inc.</w:t>
      </w:r>
    </w:p>
    <w:p>
      <w:pPr>
        <w:spacing w:after="0" w:line="3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Notes To Condensed Financial Statements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 Interim Financial Statements</w:t>
      </w:r>
    </w:p>
    <w:p>
      <w:pPr>
        <w:spacing w:after="0" w:line="201" w:lineRule="exact"/>
        <w:rPr>
          <w:sz w:val="20"/>
          <w:szCs w:val="20"/>
          <w:color w:val="auto"/>
        </w:rPr>
      </w:pPr>
    </w:p>
    <w:p>
      <w:pPr>
        <w:ind w:right="1999"/>
        <w:spacing w:after="0" w:line="250" w:lineRule="auto"/>
        <w:rPr>
          <w:sz w:val="20"/>
          <w:szCs w:val="20"/>
          <w:color w:val="auto"/>
        </w:rPr>
      </w:pPr>
      <w:r>
        <w:rPr>
          <w:rFonts w:ascii="Courier New" w:cs="Courier New" w:eastAsia="Courier New" w:hAnsi="Courier New"/>
          <w:sz w:val="18"/>
          <w:szCs w:val="18"/>
          <w:color w:val="auto"/>
        </w:rPr>
        <w:t>The accompanying condensed financial statements of NN Ball &amp; Roller, Inc. have not been audited by independent accountants, except for the balance sheet at December 31, 1997. In the opinion of the Company's management, the financial statements reflect all adjustments necessary to present fairly the results of operations for the three-month periods ended March 31, 1998 and 1997, the Company's financial position at March 31, 1998 and December 31, 1997, and the cash flows for the three-month periods ended March 31, 1998 and 1997. These adjustments are of a normal recurring nature and are, in the opinion of management, necessary for fair presentation of the financial position and operating results for the interim periods.</w:t>
      </w:r>
    </w:p>
    <w:p>
      <w:pPr>
        <w:spacing w:after="0" w:line="104" w:lineRule="exact"/>
        <w:rPr>
          <w:sz w:val="20"/>
          <w:szCs w:val="20"/>
          <w:color w:val="auto"/>
        </w:rPr>
      </w:pPr>
    </w:p>
    <w:p>
      <w:pPr>
        <w:ind w:right="1779"/>
        <w:spacing w:after="0" w:line="250" w:lineRule="auto"/>
        <w:rPr>
          <w:sz w:val="20"/>
          <w:szCs w:val="20"/>
          <w:color w:val="auto"/>
        </w:rPr>
      </w:pPr>
      <w:r>
        <w:rPr>
          <w:rFonts w:ascii="Courier New" w:cs="Courier New" w:eastAsia="Courier New" w:hAnsi="Courier New"/>
          <w:sz w:val="18"/>
          <w:szCs w:val="18"/>
          <w:color w:val="auto"/>
        </w:rPr>
        <w:t>In June 1997, the FASB issued Statement No. 130 "Reporting Comprehensive Income" (FAS130) which established standards for reporting and displaying comprehensive income and its components within an entity's financial statements. FAS 130, which is effective for the Company's 1998 first quarter financial reporting, defines the components of other comprehensive income to include foreign currency translation adjustments, unrealized gains and losses on marketable securities and minimum pension adjustments. Currently, the Company's only component of comprehensive income is foreign currency translation which is presented before tax due to the Company's intention to indefinitely reinvest earnings of their subsidiary outside the United States.</w:t>
      </w:r>
    </w:p>
    <w:p>
      <w:pPr>
        <w:spacing w:after="0" w:line="104" w:lineRule="exact"/>
        <w:rPr>
          <w:sz w:val="20"/>
          <w:szCs w:val="20"/>
          <w:color w:val="auto"/>
        </w:rPr>
      </w:pPr>
    </w:p>
    <w:p>
      <w:pPr>
        <w:ind w:right="1879"/>
        <w:spacing w:after="0" w:line="274" w:lineRule="auto"/>
        <w:rPr>
          <w:sz w:val="20"/>
          <w:szCs w:val="20"/>
          <w:color w:val="auto"/>
        </w:rPr>
      </w:pPr>
      <w:r>
        <w:rPr>
          <w:rFonts w:ascii="Courier New" w:cs="Courier New" w:eastAsia="Courier New" w:hAnsi="Courier New"/>
          <w:sz w:val="18"/>
          <w:szCs w:val="18"/>
          <w:color w:val="auto"/>
        </w:rPr>
        <w:t>Certain information and footnote disclosures normally included in financial statements prepared in accordance with generally accepted accounting principles have been condensed or omitted from the interim financial statements presented in this Quarterly Report on Form 10-Q.</w:t>
      </w:r>
    </w:p>
    <w:p>
      <w:pPr>
        <w:spacing w:after="0" w:line="82" w:lineRule="exact"/>
        <w:rPr>
          <w:sz w:val="20"/>
          <w:szCs w:val="20"/>
          <w:color w:val="auto"/>
        </w:rPr>
      </w:pPr>
    </w:p>
    <w:p>
      <w:pPr>
        <w:ind w:right="2319"/>
        <w:spacing w:after="0" w:line="347" w:lineRule="auto"/>
        <w:rPr>
          <w:sz w:val="20"/>
          <w:szCs w:val="20"/>
          <w:color w:val="auto"/>
        </w:rPr>
      </w:pPr>
      <w:r>
        <w:rPr>
          <w:rFonts w:ascii="Courier New" w:cs="Courier New" w:eastAsia="Courier New" w:hAnsi="Courier New"/>
          <w:sz w:val="18"/>
          <w:szCs w:val="18"/>
          <w:color w:val="auto"/>
        </w:rPr>
        <w:t>The results for the first quarter of 1998 are not necessarily indicative of future results.</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2. Inventories</w:t>
      </w:r>
    </w:p>
    <w:p>
      <w:pPr>
        <w:spacing w:after="0" w:line="201" w:lineRule="exact"/>
        <w:rPr>
          <w:sz w:val="20"/>
          <w:szCs w:val="20"/>
          <w:color w:val="auto"/>
        </w:rPr>
      </w:pPr>
    </w:p>
    <w:p>
      <w:pPr>
        <w:ind w:right="2839"/>
        <w:spacing w:after="0" w:line="347" w:lineRule="auto"/>
        <w:rPr>
          <w:sz w:val="20"/>
          <w:szCs w:val="20"/>
          <w:color w:val="auto"/>
        </w:rPr>
      </w:pPr>
      <w:r>
        <w:rPr>
          <w:rFonts w:ascii="Courier New" w:cs="Courier New" w:eastAsia="Courier New" w:hAnsi="Courier New"/>
          <w:sz w:val="18"/>
          <w:szCs w:val="18"/>
          <w:color w:val="auto"/>
        </w:rPr>
        <w:t>Inventories are stated at the lower of cost or market, with cost being determined by the first-in, first-out method.</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Inventories are comprised of the following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80" w:type="dxa"/>
            <w:vAlign w:val="bottom"/>
          </w:tcPr>
          <w:p>
            <w:pPr>
              <w:spacing w:after="0"/>
              <w:rPr>
                <w:sz w:val="17"/>
                <w:szCs w:val="17"/>
                <w:color w:val="auto"/>
              </w:rPr>
            </w:pPr>
          </w:p>
        </w:tc>
        <w:tc>
          <w:tcPr>
            <w:tcW w:w="1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March 31,</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December 31,</w:t>
            </w:r>
          </w:p>
        </w:tc>
        <w:tc>
          <w:tcPr>
            <w:tcW w:w="0" w:type="dxa"/>
            <w:vAlign w:val="bottom"/>
          </w:tcPr>
          <w:p>
            <w:pPr>
              <w:spacing w:after="0"/>
              <w:rPr>
                <w:sz w:val="1"/>
                <w:szCs w:val="1"/>
                <w:color w:val="auto"/>
              </w:rPr>
            </w:pPr>
          </w:p>
        </w:tc>
      </w:tr>
      <w:tr>
        <w:trPr>
          <w:trHeight w:val="203"/>
        </w:trPr>
        <w:tc>
          <w:tcPr>
            <w:tcW w:w="5280" w:type="dxa"/>
            <w:vAlign w:val="bottom"/>
          </w:tcPr>
          <w:p>
            <w:pPr>
              <w:spacing w:after="0"/>
              <w:rPr>
                <w:sz w:val="17"/>
                <w:szCs w:val="17"/>
                <w:color w:val="auto"/>
              </w:rPr>
            </w:pPr>
          </w:p>
        </w:tc>
        <w:tc>
          <w:tcPr>
            <w:tcW w:w="14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1998</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1997</w:t>
            </w:r>
          </w:p>
        </w:tc>
        <w:tc>
          <w:tcPr>
            <w:tcW w:w="0" w:type="dxa"/>
            <w:vAlign w:val="bottom"/>
          </w:tcPr>
          <w:p>
            <w:pPr>
              <w:spacing w:after="0"/>
              <w:rPr>
                <w:sz w:val="1"/>
                <w:szCs w:val="1"/>
                <w:color w:val="auto"/>
              </w:rPr>
            </w:pPr>
          </w:p>
        </w:tc>
      </w:tr>
      <w:tr>
        <w:trPr>
          <w:trHeight w:val="203"/>
        </w:trPr>
        <w:tc>
          <w:tcPr>
            <w:tcW w:w="528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(Unaudited)</w:t>
            </w:r>
          </w:p>
        </w:tc>
        <w:tc>
          <w:tcPr>
            <w:tcW w:w="13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280" w:type="dxa"/>
            <w:vAlign w:val="bottom"/>
            <w:vMerge w:val="restart"/>
          </w:tcPr>
          <w:p>
            <w:pPr>
              <w:spacing w:after="0"/>
              <w:rPr>
                <w:sz w:val="20"/>
                <w:szCs w:val="20"/>
                <w:color w:val="auto"/>
              </w:rPr>
            </w:pPr>
            <w:r>
              <w:rPr>
                <w:rFonts w:ascii="Courier New" w:cs="Courier New" w:eastAsia="Courier New" w:hAnsi="Courier New"/>
                <w:sz w:val="18"/>
                <w:szCs w:val="18"/>
                <w:color w:val="auto"/>
              </w:rPr>
              <w:t>Raw materials</w:t>
            </w:r>
          </w:p>
        </w:tc>
        <w:tc>
          <w:tcPr>
            <w:tcW w:w="14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vMerge w:val="continue"/>
          </w:tcPr>
          <w:p>
            <w:pPr>
              <w:spacing w:after="0"/>
              <w:rPr>
                <w:sz w:val="17"/>
                <w:szCs w:val="17"/>
                <w:color w:val="auto"/>
              </w:rPr>
            </w:pPr>
          </w:p>
        </w:tc>
        <w:tc>
          <w:tcPr>
            <w:tcW w:w="14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$ 2,688</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$ 2,911</w:t>
            </w:r>
          </w:p>
        </w:tc>
        <w:tc>
          <w:tcPr>
            <w:tcW w:w="0" w:type="dxa"/>
            <w:vAlign w:val="bottom"/>
          </w:tcPr>
          <w:p>
            <w:pPr>
              <w:spacing w:after="0"/>
              <w:rPr>
                <w:sz w:val="1"/>
                <w:szCs w:val="1"/>
                <w:color w:val="auto"/>
              </w:rPr>
            </w:pP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Work in process</w:t>
            </w:r>
          </w:p>
        </w:tc>
        <w:tc>
          <w:tcPr>
            <w:tcW w:w="14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3,339</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2,793</w:t>
            </w:r>
          </w:p>
        </w:tc>
        <w:tc>
          <w:tcPr>
            <w:tcW w:w="0" w:type="dxa"/>
            <w:vAlign w:val="bottom"/>
          </w:tcPr>
          <w:p>
            <w:pPr>
              <w:spacing w:after="0"/>
              <w:rPr>
                <w:sz w:val="1"/>
                <w:szCs w:val="1"/>
                <w:color w:val="auto"/>
              </w:rPr>
            </w:pP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Finished goods</w:t>
            </w:r>
          </w:p>
        </w:tc>
        <w:tc>
          <w:tcPr>
            <w:tcW w:w="14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6,222</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6,221</w:t>
            </w:r>
          </w:p>
        </w:tc>
        <w:tc>
          <w:tcPr>
            <w:tcW w:w="0" w:type="dxa"/>
            <w:vAlign w:val="bottom"/>
          </w:tcPr>
          <w:p>
            <w:pPr>
              <w:spacing w:after="0"/>
              <w:rPr>
                <w:sz w:val="1"/>
                <w:szCs w:val="1"/>
                <w:color w:val="auto"/>
              </w:rPr>
            </w:pPr>
          </w:p>
        </w:tc>
      </w:tr>
      <w:tr>
        <w:trPr>
          <w:trHeight w:val="203"/>
        </w:trPr>
        <w:tc>
          <w:tcPr>
            <w:tcW w:w="5280" w:type="dxa"/>
            <w:vAlign w:val="bottom"/>
          </w:tcPr>
          <w:p>
            <w:pPr>
              <w:spacing w:after="0"/>
              <w:rPr>
                <w:sz w:val="17"/>
                <w:szCs w:val="17"/>
                <w:color w:val="auto"/>
              </w:rPr>
            </w:pPr>
          </w:p>
        </w:tc>
        <w:tc>
          <w:tcPr>
            <w:tcW w:w="14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280" w:type="dxa"/>
            <w:vAlign w:val="bottom"/>
            <w:vMerge w:val="restart"/>
          </w:tcPr>
          <w:p>
            <w:pPr>
              <w:spacing w:after="0"/>
              <w:rPr>
                <w:sz w:val="20"/>
                <w:szCs w:val="20"/>
                <w:color w:val="auto"/>
              </w:rPr>
            </w:pPr>
            <w:r>
              <w:rPr>
                <w:rFonts w:ascii="Courier New" w:cs="Courier New" w:eastAsia="Courier New" w:hAnsi="Courier New"/>
                <w:sz w:val="18"/>
                <w:szCs w:val="18"/>
                <w:color w:val="auto"/>
              </w:rPr>
              <w:t>Less - Reserve for excess and obsolete inventory</w:t>
            </w:r>
          </w:p>
        </w:tc>
        <w:tc>
          <w:tcPr>
            <w:tcW w:w="14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12,249</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11,925</w:t>
            </w:r>
          </w:p>
        </w:tc>
        <w:tc>
          <w:tcPr>
            <w:tcW w:w="0" w:type="dxa"/>
            <w:vAlign w:val="bottom"/>
          </w:tcPr>
          <w:p>
            <w:pPr>
              <w:spacing w:after="0"/>
              <w:rPr>
                <w:sz w:val="1"/>
                <w:szCs w:val="1"/>
                <w:color w:val="auto"/>
              </w:rPr>
            </w:pPr>
          </w:p>
        </w:tc>
      </w:tr>
      <w:tr>
        <w:trPr>
          <w:trHeight w:val="203"/>
        </w:trPr>
        <w:tc>
          <w:tcPr>
            <w:tcW w:w="5280" w:type="dxa"/>
            <w:vAlign w:val="bottom"/>
            <w:vMerge w:val="continue"/>
          </w:tcPr>
          <w:p>
            <w:pPr>
              <w:spacing w:after="0"/>
              <w:rPr>
                <w:sz w:val="17"/>
                <w:szCs w:val="17"/>
                <w:color w:val="auto"/>
              </w:rPr>
            </w:pPr>
          </w:p>
        </w:tc>
        <w:tc>
          <w:tcPr>
            <w:tcW w:w="14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60</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60</w:t>
            </w:r>
          </w:p>
        </w:tc>
        <w:tc>
          <w:tcPr>
            <w:tcW w:w="0" w:type="dxa"/>
            <w:vAlign w:val="bottom"/>
          </w:tcPr>
          <w:p>
            <w:pPr>
              <w:spacing w:after="0"/>
              <w:rPr>
                <w:sz w:val="1"/>
                <w:szCs w:val="1"/>
                <w:color w:val="auto"/>
              </w:rPr>
            </w:pPr>
          </w:p>
        </w:tc>
      </w:tr>
      <w:tr>
        <w:trPr>
          <w:trHeight w:val="203"/>
        </w:trPr>
        <w:tc>
          <w:tcPr>
            <w:tcW w:w="5280" w:type="dxa"/>
            <w:vAlign w:val="bottom"/>
          </w:tcPr>
          <w:p>
            <w:pPr>
              <w:spacing w:after="0"/>
              <w:rPr>
                <w:sz w:val="17"/>
                <w:szCs w:val="17"/>
                <w:color w:val="auto"/>
              </w:rPr>
            </w:pPr>
          </w:p>
        </w:tc>
        <w:tc>
          <w:tcPr>
            <w:tcW w:w="14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280" w:type="dxa"/>
            <w:vAlign w:val="bottom"/>
          </w:tcPr>
          <w:p>
            <w:pPr>
              <w:spacing w:after="0"/>
              <w:rPr>
                <w:sz w:val="17"/>
                <w:szCs w:val="17"/>
                <w:color w:val="auto"/>
              </w:rPr>
            </w:pPr>
          </w:p>
        </w:tc>
        <w:tc>
          <w:tcPr>
            <w:tcW w:w="14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$12,189</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$11,865</w:t>
            </w:r>
          </w:p>
        </w:tc>
        <w:tc>
          <w:tcPr>
            <w:tcW w:w="0" w:type="dxa"/>
            <w:vAlign w:val="bottom"/>
          </w:tcPr>
          <w:p>
            <w:pPr>
              <w:spacing w:after="0"/>
              <w:rPr>
                <w:sz w:val="1"/>
                <w:szCs w:val="1"/>
                <w:color w:val="auto"/>
              </w:rPr>
            </w:pPr>
          </w:p>
        </w:tc>
      </w:tr>
      <w:tr>
        <w:trPr>
          <w:trHeight w:val="296"/>
        </w:trPr>
        <w:tc>
          <w:tcPr>
            <w:tcW w:w="5280" w:type="dxa"/>
            <w:vAlign w:val="bottom"/>
          </w:tcPr>
          <w:p>
            <w:pPr>
              <w:spacing w:after="0"/>
              <w:rPr>
                <w:sz w:val="24"/>
                <w:szCs w:val="24"/>
                <w:color w:val="auto"/>
              </w:rPr>
            </w:pPr>
          </w:p>
        </w:tc>
        <w:tc>
          <w:tcPr>
            <w:tcW w:w="14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608"/>
        </w:trPr>
        <w:tc>
          <w:tcPr>
            <w:tcW w:w="5280" w:type="dxa"/>
            <w:vAlign w:val="bottom"/>
          </w:tcPr>
          <w:p>
            <w:pPr>
              <w:ind w:left="4120"/>
              <w:spacing w:after="0"/>
              <w:rPr>
                <w:sz w:val="20"/>
                <w:szCs w:val="20"/>
                <w:color w:val="auto"/>
              </w:rPr>
            </w:pPr>
            <w:r>
              <w:rPr>
                <w:rFonts w:ascii="Courier New" w:cs="Courier New" w:eastAsia="Courier New" w:hAnsi="Courier New"/>
                <w:sz w:val="18"/>
                <w:szCs w:val="18"/>
                <w:color w:val="auto"/>
              </w:rPr>
              <w:t>6</w:t>
            </w:r>
          </w:p>
        </w:tc>
        <w:tc>
          <w:tcPr>
            <w:tcW w:w="1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91" w:right="1440"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3580" w:type="dxa"/>
            <w:vAlign w:val="bottom"/>
          </w:tcPr>
          <w:p>
            <w:pPr>
              <w:spacing w:after="0"/>
              <w:rPr>
                <w:sz w:val="20"/>
                <w:szCs w:val="20"/>
                <w:color w:val="auto"/>
              </w:rPr>
            </w:pPr>
            <w:r>
              <w:rPr>
                <w:rFonts w:ascii="Courier New" w:cs="Courier New" w:eastAsia="Courier New" w:hAnsi="Courier New"/>
                <w:sz w:val="18"/>
                <w:szCs w:val="18"/>
                <w:color w:val="auto"/>
              </w:rPr>
              <w:t>Note 3. Net Income Per Share</w:t>
            </w:r>
          </w:p>
        </w:tc>
        <w:tc>
          <w:tcPr>
            <w:tcW w:w="1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3580" w:type="dxa"/>
            <w:vAlign w:val="bottom"/>
            <w:vMerge w:val="restart"/>
          </w:tcPr>
          <w:p>
            <w:pPr>
              <w:spacing w:after="0"/>
              <w:rPr>
                <w:sz w:val="20"/>
                <w:szCs w:val="20"/>
                <w:color w:val="auto"/>
              </w:rPr>
            </w:pPr>
            <w:r>
              <w:rPr>
                <w:rFonts w:ascii="Courier New" w:cs="Courier New" w:eastAsia="Courier New" w:hAnsi="Courier New"/>
                <w:sz w:val="18"/>
                <w:szCs w:val="18"/>
                <w:color w:val="auto"/>
              </w:rPr>
              <w:t>Thousands of Dollars, Except</w:t>
            </w:r>
          </w:p>
        </w:tc>
        <w:tc>
          <w:tcPr>
            <w:tcW w:w="274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Three Months Ended</w:t>
            </w:r>
          </w:p>
        </w:tc>
        <w:tc>
          <w:tcPr>
            <w:tcW w:w="0" w:type="dxa"/>
            <w:vAlign w:val="bottom"/>
          </w:tcPr>
          <w:p>
            <w:pPr>
              <w:spacing w:after="0"/>
              <w:rPr>
                <w:sz w:val="1"/>
                <w:szCs w:val="1"/>
                <w:color w:val="auto"/>
              </w:rPr>
            </w:pPr>
          </w:p>
        </w:tc>
      </w:tr>
      <w:tr>
        <w:trPr>
          <w:trHeight w:val="203"/>
        </w:trPr>
        <w:tc>
          <w:tcPr>
            <w:tcW w:w="3580" w:type="dxa"/>
            <w:vAlign w:val="bottom"/>
            <w:vMerge w:val="continue"/>
          </w:tcPr>
          <w:p>
            <w:pPr>
              <w:spacing w:after="0"/>
              <w:rPr>
                <w:sz w:val="17"/>
                <w:szCs w:val="17"/>
                <w:color w:val="auto"/>
              </w:rPr>
            </w:pPr>
          </w:p>
        </w:tc>
        <w:tc>
          <w:tcPr>
            <w:tcW w:w="12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1998</w:t>
            </w:r>
          </w:p>
        </w:tc>
        <w:tc>
          <w:tcPr>
            <w:tcW w:w="14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4"/>
              </w:rPr>
              <w:t>March 31,</w:t>
            </w:r>
          </w:p>
        </w:tc>
        <w:tc>
          <w:tcPr>
            <w:tcW w:w="0" w:type="dxa"/>
            <w:vAlign w:val="bottom"/>
          </w:tcPr>
          <w:p>
            <w:pPr>
              <w:spacing w:after="0"/>
              <w:rPr>
                <w:sz w:val="1"/>
                <w:szCs w:val="1"/>
                <w:color w:val="auto"/>
              </w:rPr>
            </w:pPr>
          </w:p>
        </w:tc>
      </w:tr>
      <w:tr>
        <w:trPr>
          <w:trHeight w:val="235"/>
        </w:trPr>
        <w:tc>
          <w:tcPr>
            <w:tcW w:w="3580" w:type="dxa"/>
            <w:vAlign w:val="bottom"/>
          </w:tcPr>
          <w:p>
            <w:pPr>
              <w:spacing w:after="0"/>
              <w:rPr>
                <w:sz w:val="20"/>
                <w:szCs w:val="20"/>
                <w:color w:val="auto"/>
              </w:rPr>
            </w:pPr>
            <w:r>
              <w:rPr>
                <w:rFonts w:ascii="Courier New" w:cs="Courier New" w:eastAsia="Courier New" w:hAnsi="Courier New"/>
                <w:sz w:val="18"/>
                <w:szCs w:val="18"/>
                <w:color w:val="auto"/>
              </w:rPr>
              <w:t>Share and Per Share Data</w:t>
            </w:r>
          </w:p>
        </w:tc>
        <w:tc>
          <w:tcPr>
            <w:tcW w:w="1280" w:type="dxa"/>
            <w:vAlign w:val="bottom"/>
            <w:vMerge w:val="continue"/>
          </w:tcPr>
          <w:p>
            <w:pPr>
              <w:spacing w:after="0"/>
              <w:rPr>
                <w:sz w:val="20"/>
                <w:szCs w:val="20"/>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8"/>
                <w:szCs w:val="18"/>
                <w:color w:val="auto"/>
              </w:rPr>
              <w:t>1997</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4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2,667</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2,639</w:t>
            </w:r>
          </w:p>
        </w:tc>
        <w:tc>
          <w:tcPr>
            <w:tcW w:w="0" w:type="dxa"/>
            <w:vAlign w:val="bottom"/>
          </w:tcPr>
          <w:p>
            <w:pPr>
              <w:spacing w:after="0"/>
              <w:rPr>
                <w:sz w:val="1"/>
                <w:szCs w:val="1"/>
                <w:color w:val="auto"/>
              </w:rPr>
            </w:pP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Adjustments to net income</w:t>
            </w:r>
          </w:p>
        </w:tc>
        <w:tc>
          <w:tcPr>
            <w:tcW w:w="2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54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Net income</w:t>
            </w: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5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2,667</w:t>
            </w:r>
          </w:p>
        </w:tc>
        <w:tc>
          <w:tcPr>
            <w:tcW w:w="26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2,639</w:t>
            </w:r>
          </w:p>
        </w:tc>
        <w:tc>
          <w:tcPr>
            <w:tcW w:w="0" w:type="dxa"/>
            <w:vAlign w:val="bottom"/>
          </w:tcPr>
          <w:p>
            <w:pPr>
              <w:spacing w:after="0"/>
              <w:rPr>
                <w:sz w:val="1"/>
                <w:szCs w:val="1"/>
                <w:color w:val="auto"/>
              </w:rPr>
            </w:pPr>
          </w:p>
        </w:tc>
      </w:tr>
      <w:tr>
        <w:trPr>
          <w:trHeight w:val="296"/>
        </w:trPr>
        <w:tc>
          <w:tcPr>
            <w:tcW w:w="3540" w:type="dxa"/>
            <w:vAlign w:val="bottom"/>
          </w:tcPr>
          <w:p>
            <w:pPr>
              <w:spacing w:after="0"/>
              <w:rPr>
                <w:sz w:val="24"/>
                <w:szCs w:val="24"/>
                <w:color w:val="auto"/>
              </w:rPr>
            </w:pPr>
          </w:p>
        </w:tc>
        <w:tc>
          <w:tcPr>
            <w:tcW w:w="14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3540" w:type="dxa"/>
            <w:vAlign w:val="bottom"/>
          </w:tcPr>
          <w:p>
            <w:pPr>
              <w:spacing w:after="0"/>
              <w:rPr>
                <w:sz w:val="20"/>
                <w:szCs w:val="20"/>
                <w:color w:val="auto"/>
              </w:rPr>
            </w:pPr>
            <w:r>
              <w:rPr>
                <w:rFonts w:ascii="Courier New" w:cs="Courier New" w:eastAsia="Courier New" w:hAnsi="Courier New"/>
                <w:sz w:val="18"/>
                <w:szCs w:val="18"/>
                <w:color w:val="auto"/>
              </w:rPr>
              <w:t>Basic shares outstanding</w:t>
            </w:r>
          </w:p>
        </w:tc>
        <w:tc>
          <w:tcPr>
            <w:tcW w:w="260" w:type="dxa"/>
            <w:vAlign w:val="bottom"/>
          </w:tcPr>
          <w:p>
            <w:pPr>
              <w:spacing w:after="0"/>
              <w:rPr>
                <w:sz w:val="24"/>
                <w:szCs w:val="24"/>
                <w:color w:val="auto"/>
              </w:rPr>
            </w:pP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6"/>
              </w:rPr>
              <w:t>14,804,244</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w w:val="94"/>
              </w:rPr>
              <w:t>14,543,242</w:t>
            </w:r>
          </w:p>
        </w:tc>
        <w:tc>
          <w:tcPr>
            <w:tcW w:w="0" w:type="dxa"/>
            <w:vAlign w:val="bottom"/>
          </w:tcPr>
          <w:p>
            <w:pPr>
              <w:spacing w:after="0"/>
              <w:rPr>
                <w:sz w:val="1"/>
                <w:szCs w:val="1"/>
                <w:color w:val="auto"/>
              </w:rPr>
            </w:pP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Effect of dilutive stock options</w:t>
            </w:r>
          </w:p>
        </w:tc>
        <w:tc>
          <w:tcPr>
            <w:tcW w:w="2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169,396</w:t>
            </w:r>
          </w:p>
        </w:tc>
        <w:tc>
          <w:tcPr>
            <w:tcW w:w="0" w:type="dxa"/>
            <w:vAlign w:val="bottom"/>
          </w:tcPr>
          <w:p>
            <w:pPr>
              <w:spacing w:after="0"/>
              <w:rPr>
                <w:sz w:val="1"/>
                <w:szCs w:val="1"/>
                <w:color w:val="auto"/>
              </w:rPr>
            </w:pPr>
          </w:p>
        </w:tc>
      </w:tr>
      <w:tr>
        <w:trPr>
          <w:trHeight w:val="203"/>
        </w:trPr>
        <w:tc>
          <w:tcPr>
            <w:tcW w:w="3540" w:type="dxa"/>
            <w:vAlign w:val="bottom"/>
            <w:vMerge w:val="restart"/>
          </w:tcPr>
          <w:p>
            <w:pPr>
              <w:spacing w:after="0"/>
              <w:rPr>
                <w:sz w:val="20"/>
                <w:szCs w:val="20"/>
                <w:color w:val="auto"/>
              </w:rPr>
            </w:pPr>
            <w:r>
              <w:rPr>
                <w:rFonts w:ascii="Courier New" w:cs="Courier New" w:eastAsia="Courier New" w:hAnsi="Courier New"/>
                <w:sz w:val="18"/>
                <w:szCs w:val="18"/>
                <w:color w:val="auto"/>
              </w:rPr>
              <w:t>Dilutive shares outstanding</w:t>
            </w: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5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14,804,244</w:t>
            </w:r>
          </w:p>
        </w:tc>
        <w:tc>
          <w:tcPr>
            <w:tcW w:w="26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14,712,638</w:t>
            </w:r>
          </w:p>
        </w:tc>
        <w:tc>
          <w:tcPr>
            <w:tcW w:w="0" w:type="dxa"/>
            <w:vAlign w:val="bottom"/>
          </w:tcPr>
          <w:p>
            <w:pPr>
              <w:spacing w:after="0"/>
              <w:rPr>
                <w:sz w:val="1"/>
                <w:szCs w:val="1"/>
                <w:color w:val="auto"/>
              </w:rPr>
            </w:pPr>
          </w:p>
        </w:tc>
      </w:tr>
      <w:tr>
        <w:trPr>
          <w:trHeight w:val="296"/>
        </w:trPr>
        <w:tc>
          <w:tcPr>
            <w:tcW w:w="3540" w:type="dxa"/>
            <w:vAlign w:val="bottom"/>
          </w:tcPr>
          <w:p>
            <w:pPr>
              <w:spacing w:after="0"/>
              <w:rPr>
                <w:sz w:val="24"/>
                <w:szCs w:val="24"/>
                <w:color w:val="auto"/>
              </w:rPr>
            </w:pPr>
          </w:p>
        </w:tc>
        <w:tc>
          <w:tcPr>
            <w:tcW w:w="14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3540" w:type="dxa"/>
            <w:vAlign w:val="bottom"/>
          </w:tcPr>
          <w:p>
            <w:pPr>
              <w:spacing w:after="0"/>
              <w:rPr>
                <w:sz w:val="20"/>
                <w:szCs w:val="20"/>
                <w:color w:val="auto"/>
              </w:rPr>
            </w:pPr>
            <w:r>
              <w:rPr>
                <w:rFonts w:ascii="Courier New" w:cs="Courier New" w:eastAsia="Courier New" w:hAnsi="Courier New"/>
                <w:sz w:val="18"/>
                <w:szCs w:val="18"/>
                <w:color w:val="auto"/>
              </w:rPr>
              <w:t>Basic net income per share</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0.18</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0.18</w:t>
            </w:r>
          </w:p>
        </w:tc>
        <w:tc>
          <w:tcPr>
            <w:tcW w:w="0" w:type="dxa"/>
            <w:vAlign w:val="bottom"/>
          </w:tcPr>
          <w:p>
            <w:pPr>
              <w:spacing w:after="0"/>
              <w:rPr>
                <w:sz w:val="1"/>
                <w:szCs w:val="1"/>
                <w:color w:val="auto"/>
              </w:rPr>
            </w:pPr>
          </w:p>
        </w:tc>
      </w:tr>
      <w:tr>
        <w:trPr>
          <w:trHeight w:val="203"/>
        </w:trPr>
        <w:tc>
          <w:tcPr>
            <w:tcW w:w="3540" w:type="dxa"/>
            <w:vAlign w:val="bottom"/>
            <w:vMerge w:val="restart"/>
          </w:tcPr>
          <w:p>
            <w:pPr>
              <w:spacing w:after="0"/>
              <w:rPr>
                <w:sz w:val="20"/>
                <w:szCs w:val="20"/>
                <w:color w:val="auto"/>
              </w:rPr>
            </w:pPr>
            <w:r>
              <w:rPr>
                <w:rFonts w:ascii="Courier New" w:cs="Courier New" w:eastAsia="Courier New" w:hAnsi="Courier New"/>
                <w:sz w:val="18"/>
                <w:szCs w:val="18"/>
                <w:color w:val="auto"/>
              </w:rPr>
              <w:t>Diluted net income per share</w:t>
            </w: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540" w:type="dxa"/>
            <w:vAlign w:val="bottom"/>
            <w:vMerge w:val="continue"/>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0.18</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0.18</w:t>
            </w:r>
          </w:p>
        </w:tc>
        <w:tc>
          <w:tcPr>
            <w:tcW w:w="0" w:type="dxa"/>
            <w:vAlign w:val="bottom"/>
          </w:tcPr>
          <w:p>
            <w:pPr>
              <w:spacing w:after="0"/>
              <w:rPr>
                <w:sz w:val="1"/>
                <w:szCs w:val="1"/>
                <w:color w:val="auto"/>
              </w:rPr>
            </w:pPr>
          </w:p>
        </w:tc>
      </w:tr>
      <w:tr>
        <w:trPr>
          <w:trHeight w:val="296"/>
        </w:trPr>
        <w:tc>
          <w:tcPr>
            <w:tcW w:w="3540" w:type="dxa"/>
            <w:vAlign w:val="bottom"/>
          </w:tcPr>
          <w:p>
            <w:pPr>
              <w:spacing w:after="0"/>
              <w:rPr>
                <w:sz w:val="24"/>
                <w:szCs w:val="24"/>
                <w:color w:val="auto"/>
              </w:rPr>
            </w:pPr>
          </w:p>
        </w:tc>
        <w:tc>
          <w:tcPr>
            <w:tcW w:w="14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right="1779"/>
        <w:spacing w:after="0" w:line="292" w:lineRule="auto"/>
        <w:rPr>
          <w:sz w:val="20"/>
          <w:szCs w:val="20"/>
          <w:color w:val="auto"/>
        </w:rPr>
      </w:pPr>
      <w:r>
        <w:rPr>
          <w:rFonts w:ascii="Courier New" w:cs="Courier New" w:eastAsia="Courier New" w:hAnsi="Courier New"/>
          <w:sz w:val="18"/>
          <w:szCs w:val="18"/>
          <w:color w:val="auto"/>
        </w:rPr>
        <w:t>Excluded from the shares outstanding at March 31, 1998 and 1997 were 426,500 and 459,600, respectively, of antidilutive options to purchase common shares at an exercise price of $11.92 to $15.50.</w:t>
      </w:r>
    </w:p>
    <w:p>
      <w:pPr>
        <w:spacing w:after="0" w:line="26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691" w:right="1440" w:bottom="1440" w:gutter="0" w:footer="0" w:header="0"/>
        </w:sectPr>
      </w:pPr>
    </w:p>
    <w:bookmarkStart w:id="8" w:name="page9"/>
    <w:bookmarkEnd w:id="8"/>
    <w:p>
      <w:pPr>
        <w:ind w:left="2860"/>
        <w:spacing w:after="0"/>
        <w:rPr>
          <w:sz w:val="20"/>
          <w:szCs w:val="20"/>
          <w:color w:val="auto"/>
        </w:rPr>
      </w:pPr>
      <w:r>
        <w:rPr>
          <w:rFonts w:ascii="Courier New" w:cs="Courier New" w:eastAsia="Courier New" w:hAnsi="Courier New"/>
          <w:sz w:val="18"/>
          <w:szCs w:val="18"/>
          <w:color w:val="auto"/>
        </w:rPr>
        <w:t>DISCUSSION AND ANALYSIS OF</w:t>
      </w:r>
    </w:p>
    <w:p>
      <w:pPr>
        <w:spacing w:after="0" w:line="3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FINANCIAL CONDITION AND RESULTS OF OPERATIONS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1" w:lineRule="exact"/>
        <w:rPr>
          <w:sz w:val="20"/>
          <w:szCs w:val="20"/>
          <w:color w:val="auto"/>
        </w:rPr>
      </w:pPr>
    </w:p>
    <w:p>
      <w:pPr>
        <w:ind w:right="1879"/>
        <w:spacing w:after="0" w:line="250" w:lineRule="auto"/>
        <w:rPr>
          <w:sz w:val="20"/>
          <w:szCs w:val="20"/>
          <w:color w:val="auto"/>
        </w:rPr>
      </w:pPr>
      <w:r>
        <w:rPr>
          <w:rFonts w:ascii="Courier New" w:cs="Courier New" w:eastAsia="Courier New" w:hAnsi="Courier New"/>
          <w:sz w:val="18"/>
          <w:szCs w:val="18"/>
          <w:color w:val="auto"/>
        </w:rPr>
        <w:t>Net Sales. Net sales increased by approximately $0.6 million, or 2.9%, from $20.3 million for the first quarter of 1997 to $20.9 million for the first quarter of 1998. Foreign sales increased $ 0.3 million, or 3.1%, from $ 9.8 million in the first quarter of 1997 to $10.1 million during the first quarter of 1998. Domestic sales increased $0.2 million, or 1.9%, from $10.5 million in the first quarter of 1997 to $10.7 million in the first quarter of 1998. The increase in foreign sales was due primarily to the strengthening of European economies, offset by reduced sales to Asian customers due to the financial crisis in Asia and the impact of the continued strengthening of the U.S. dollar against world currencies.</w:t>
      </w:r>
    </w:p>
    <w:p>
      <w:pPr>
        <w:spacing w:after="0" w:line="104" w:lineRule="exact"/>
        <w:rPr>
          <w:sz w:val="20"/>
          <w:szCs w:val="20"/>
          <w:color w:val="auto"/>
        </w:rPr>
      </w:pPr>
    </w:p>
    <w:p>
      <w:pPr>
        <w:ind w:right="1879"/>
        <w:spacing w:after="0" w:line="256" w:lineRule="auto"/>
        <w:rPr>
          <w:sz w:val="20"/>
          <w:szCs w:val="20"/>
          <w:color w:val="auto"/>
        </w:rPr>
      </w:pPr>
      <w:r>
        <w:rPr>
          <w:rFonts w:ascii="Courier New" w:cs="Courier New" w:eastAsia="Courier New" w:hAnsi="Courier New"/>
          <w:sz w:val="18"/>
          <w:szCs w:val="18"/>
          <w:color w:val="auto"/>
        </w:rPr>
        <w:t>Gross Profit. Gross profit increased $0.2 million, or 3.1%, from $6.5 million for the first quarter of 1997 to $6.7 million for the first quarter of 1998. As a percentage of net sales, gross profit increased from 31.9% in the first quarter of 1997 to 32.1% for the same period in 1998. The increase in gross profit and gross profit as a percentage of sales was due to increased sales of 2.9% and to increased operating efficiencies for the first quarter of 1998 as compared to the first quarter of 1997.</w:t>
      </w:r>
    </w:p>
    <w:p>
      <w:pPr>
        <w:spacing w:after="0" w:line="98" w:lineRule="exact"/>
        <w:rPr>
          <w:sz w:val="20"/>
          <w:szCs w:val="20"/>
          <w:color w:val="auto"/>
        </w:rPr>
      </w:pPr>
    </w:p>
    <w:p>
      <w:pPr>
        <w:ind w:right="1879"/>
        <w:spacing w:after="0" w:line="265" w:lineRule="auto"/>
        <w:rPr>
          <w:sz w:val="20"/>
          <w:szCs w:val="20"/>
          <w:color w:val="auto"/>
        </w:rPr>
      </w:pPr>
      <w:r>
        <w:rPr>
          <w:rFonts w:ascii="Courier New" w:cs="Courier New" w:eastAsia="Courier New" w:hAnsi="Courier New"/>
          <w:sz w:val="18"/>
          <w:szCs w:val="18"/>
          <w:color w:val="auto"/>
        </w:rPr>
        <w:t>Selling, General and Administrative. Selling, general and administrative expenses of $1.3 million remained flat for both of the first quarters of 1998 and 1997. As a percentage of net sales, selling, general and administrative expenses decreased slightly from 6.4% for the first quarter of 1997 to 6.2% for the same period in 1998.</w:t>
      </w:r>
    </w:p>
    <w:p>
      <w:pPr>
        <w:spacing w:after="0" w:line="90" w:lineRule="exact"/>
        <w:rPr>
          <w:sz w:val="20"/>
          <w:szCs w:val="20"/>
          <w:color w:val="auto"/>
        </w:rPr>
      </w:pPr>
    </w:p>
    <w:p>
      <w:pPr>
        <w:ind w:right="1879"/>
        <w:spacing w:after="0" w:line="260" w:lineRule="auto"/>
        <w:rPr>
          <w:sz w:val="20"/>
          <w:szCs w:val="20"/>
          <w:color w:val="auto"/>
        </w:rPr>
      </w:pPr>
      <w:r>
        <w:rPr>
          <w:rFonts w:ascii="Courier New" w:cs="Courier New" w:eastAsia="Courier New" w:hAnsi="Courier New"/>
          <w:sz w:val="18"/>
          <w:szCs w:val="18"/>
          <w:color w:val="auto"/>
        </w:rPr>
        <w:t>Depreciation. Depreciation expense increased from $1.1 million for the first quarter of 1997 to $1.2 million for the same period in 1998. This increase was due primarily to purchases of capital equipment related to the new Ireland facility start-up in the fourth quarter of 1997. As a percentage of net sales, depreciation expense increased slightly from 5.2% for the first quarter of 1997 to 5.5% for the same period in 1998.</w:t>
      </w:r>
    </w:p>
    <w:p>
      <w:pPr>
        <w:spacing w:after="0" w:line="93" w:lineRule="exact"/>
        <w:rPr>
          <w:sz w:val="20"/>
          <w:szCs w:val="20"/>
          <w:color w:val="auto"/>
        </w:rPr>
      </w:pPr>
    </w:p>
    <w:p>
      <w:pPr>
        <w:ind w:right="1879"/>
        <w:spacing w:after="0" w:line="347" w:lineRule="auto"/>
        <w:rPr>
          <w:sz w:val="20"/>
          <w:szCs w:val="20"/>
          <w:color w:val="auto"/>
        </w:rPr>
      </w:pPr>
      <w:r>
        <w:rPr>
          <w:rFonts w:ascii="Courier New" w:cs="Courier New" w:eastAsia="Courier New" w:hAnsi="Courier New"/>
          <w:sz w:val="18"/>
          <w:szCs w:val="18"/>
          <w:color w:val="auto"/>
        </w:rPr>
        <w:t>Interest Expense. Interest expense decreased slightly from $19,000 in the first quarter of 1997 to $15,000 during the same period in 1998.</w:t>
      </w:r>
    </w:p>
    <w:p>
      <w:pPr>
        <w:spacing w:after="0" w:line="18" w:lineRule="exact"/>
        <w:rPr>
          <w:sz w:val="20"/>
          <w:szCs w:val="20"/>
          <w:color w:val="auto"/>
        </w:rPr>
      </w:pPr>
    </w:p>
    <w:p>
      <w:pPr>
        <w:ind w:right="1779"/>
        <w:spacing w:after="0" w:line="260" w:lineRule="auto"/>
        <w:rPr>
          <w:sz w:val="20"/>
          <w:szCs w:val="20"/>
          <w:color w:val="auto"/>
        </w:rPr>
      </w:pPr>
      <w:r>
        <w:rPr>
          <w:rFonts w:ascii="Courier New" w:cs="Courier New" w:eastAsia="Courier New" w:hAnsi="Courier New"/>
          <w:sz w:val="18"/>
          <w:szCs w:val="18"/>
          <w:color w:val="auto"/>
        </w:rPr>
        <w:t>Net Income. Net income increased slightly by $28,000, or 1.0%, from $2.6 million for the first quarter of 1997 to $2.7 million for the same period in 1998. As a percentage of net sales, net income decreased from 13.0% in the first quarter of 1997 to 12.8% for the first quarter of 1998. This decrease in net income as a percentage of net sales was due primarily to increased depreciation and income taxes recognized in the first quarter of 1998.</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1" w:lineRule="exact"/>
        <w:rPr>
          <w:sz w:val="20"/>
          <w:szCs w:val="20"/>
          <w:color w:val="auto"/>
        </w:rPr>
      </w:pPr>
    </w:p>
    <w:p>
      <w:pPr>
        <w:ind w:right="1779"/>
        <w:spacing w:after="0" w:line="274" w:lineRule="auto"/>
        <w:rPr>
          <w:sz w:val="20"/>
          <w:szCs w:val="20"/>
          <w:color w:val="auto"/>
        </w:rPr>
      </w:pPr>
      <w:r>
        <w:rPr>
          <w:rFonts w:ascii="Courier New" w:cs="Courier New" w:eastAsia="Courier New" w:hAnsi="Courier New"/>
          <w:sz w:val="18"/>
          <w:szCs w:val="18"/>
          <w:color w:val="auto"/>
        </w:rPr>
        <w:t>In July 1997, the Company terminated its $10.0 million revolving credit facility and entered into a loan agreement with First American National Bank ("First American"). This loan agreement provides for a revolving credit facility of up to $25 million, which will expire on June 30, 2000.</w:t>
      </w:r>
    </w:p>
    <w:p>
      <w:pPr>
        <w:spacing w:after="0" w:line="82" w:lineRule="exact"/>
        <w:rPr>
          <w:sz w:val="20"/>
          <w:szCs w:val="20"/>
          <w:color w:val="auto"/>
        </w:rPr>
      </w:pPr>
    </w:p>
    <w:p>
      <w:pPr>
        <w:ind w:right="1779"/>
        <w:spacing w:after="0" w:line="252" w:lineRule="auto"/>
        <w:rPr>
          <w:sz w:val="20"/>
          <w:szCs w:val="20"/>
          <w:color w:val="auto"/>
        </w:rPr>
      </w:pPr>
      <w:r>
        <w:rPr>
          <w:rFonts w:ascii="Courier New" w:cs="Courier New" w:eastAsia="Courier New" w:hAnsi="Courier New"/>
          <w:sz w:val="18"/>
          <w:szCs w:val="18"/>
          <w:color w:val="auto"/>
        </w:rPr>
        <w:t>Amounts outstanding under the revolving facility are unsecured and bear interest at a floating rate equal to, at the Company's option, either LIBOR plus 0.65% or the Fed Funds effective rate plus 1.5%. The loan agreement contains customary financial and operating restrictions on the Company, including covenants, restricting the Company, without First American's consent, from incurring additional indebtedness from, or pledging any of its assets to, other lenders and from disposing of a substantial portion of its assets. In addition, the Company is prohibited from declaring any dividend if a default exists under the revolving</w:t>
      </w:r>
    </w:p>
    <w:p>
      <w:pPr>
        <w:spacing w:after="0" w:line="3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691" w:right="1440" w:bottom="1440" w:gutter="0" w:footer="0" w:header="0"/>
        </w:sectPr>
      </w:pPr>
    </w:p>
    <w:bookmarkStart w:id="9" w:name="page10"/>
    <w:bookmarkEnd w:id="9"/>
    <w:p>
      <w:pPr>
        <w:ind w:right="1779"/>
        <w:spacing w:after="0" w:line="256" w:lineRule="auto"/>
        <w:rPr>
          <w:sz w:val="20"/>
          <w:szCs w:val="20"/>
          <w:color w:val="auto"/>
        </w:rPr>
      </w:pPr>
      <w:r>
        <w:rPr>
          <w:rFonts w:ascii="Courier New" w:cs="Courier New" w:eastAsia="Courier New" w:hAnsi="Courier New"/>
          <w:sz w:val="18"/>
          <w:szCs w:val="18"/>
          <w:color w:val="auto"/>
        </w:rPr>
        <w:t>credit facility at the time of, or would occur as a result of, such declaration. The loan agreement also prohibits sales of property outside of the ordinary course of business. The loan agreement also contains customary financial covenants with respect to the Company, including a covenant that the Company's earnings will not decrease in any year by more than fifty percent of earnings in the Company's immediately preceding fiscal year. The Company, as of May 13, 1998 was in compliance with all such covenants.</w:t>
      </w:r>
    </w:p>
    <w:p>
      <w:pPr>
        <w:spacing w:after="0" w:line="98" w:lineRule="exact"/>
        <w:rPr>
          <w:sz w:val="20"/>
          <w:szCs w:val="20"/>
          <w:color w:val="auto"/>
        </w:rPr>
      </w:pPr>
    </w:p>
    <w:p>
      <w:pPr>
        <w:ind w:right="1779"/>
        <w:spacing w:after="0" w:line="246" w:lineRule="auto"/>
        <w:rPr>
          <w:sz w:val="20"/>
          <w:szCs w:val="20"/>
          <w:color w:val="auto"/>
        </w:rPr>
      </w:pPr>
      <w:r>
        <w:rPr>
          <w:rFonts w:ascii="Courier New" w:cs="Courier New" w:eastAsia="Courier New" w:hAnsi="Courier New"/>
          <w:sz w:val="18"/>
          <w:szCs w:val="18"/>
          <w:color w:val="auto"/>
        </w:rPr>
        <w:t>The Company's arrangements with its domestic customers typically provide that payments are due within 30 days following the date of the Company's shipment of goods, while arrangements with foreign customers (other than foreign customers that have entered into an inventory management program with the Company) generally provide that payments are due within either 90 or 120 days following the date of shipment. Under the Company's inventory management program, payments typically are due within 30 days after the product is used by the customer. Due to the continuing expansion of the Company's foreign sales, management believes that the Company's working capital requirements will increase as a result of longer payment terms provided to foreign customers. The Company's net sales historically have not been of a seasonal nature. However, as foreign sales have increased as a percentage of total sales, seasonality has become a factor for the Company in that many foreign customers cease production during the month of August.</w:t>
      </w:r>
    </w:p>
    <w:p>
      <w:pPr>
        <w:spacing w:after="0" w:line="113" w:lineRule="exact"/>
        <w:rPr>
          <w:sz w:val="20"/>
          <w:szCs w:val="20"/>
          <w:color w:val="auto"/>
        </w:rPr>
      </w:pPr>
    </w:p>
    <w:p>
      <w:pPr>
        <w:ind w:right="1879"/>
        <w:spacing w:after="0" w:line="250" w:lineRule="auto"/>
        <w:rPr>
          <w:sz w:val="20"/>
          <w:szCs w:val="20"/>
          <w:color w:val="auto"/>
        </w:rPr>
      </w:pPr>
      <w:r>
        <w:rPr>
          <w:rFonts w:ascii="Courier New" w:cs="Courier New" w:eastAsia="Courier New" w:hAnsi="Courier New"/>
          <w:sz w:val="18"/>
          <w:szCs w:val="18"/>
          <w:color w:val="auto"/>
        </w:rPr>
        <w:t>In the fourth quarter of 1997, upon the commencement of production in its Kilkenny, Ireland facility, the Company began to bill and receive payment from some of its foreign customers in their own currency. To date, the Company has not been materially adversely affected by currency fluctuations or foreign exchange restrictions. Nonetheless, as a result of these sales, the Company's foreign exchange risk has increased. Various strategies to manage this risk are under development and implementation, including a hedging program. In addition, a strengthening of the U.S. dollar against foreign currencies could impair the ability of the Company to compete with international competitors for foreign as well as domestic sales.</w:t>
      </w:r>
    </w:p>
    <w:p>
      <w:pPr>
        <w:spacing w:after="0" w:line="104" w:lineRule="exact"/>
        <w:rPr>
          <w:sz w:val="20"/>
          <w:szCs w:val="20"/>
          <w:color w:val="auto"/>
        </w:rPr>
      </w:pPr>
    </w:p>
    <w:p>
      <w:pPr>
        <w:ind w:right="1879"/>
        <w:spacing w:after="0" w:line="249" w:lineRule="auto"/>
        <w:rPr>
          <w:sz w:val="20"/>
          <w:szCs w:val="20"/>
          <w:color w:val="auto"/>
        </w:rPr>
      </w:pPr>
      <w:r>
        <w:rPr>
          <w:rFonts w:ascii="Courier New" w:cs="Courier New" w:eastAsia="Courier New" w:hAnsi="Courier New"/>
          <w:sz w:val="18"/>
          <w:szCs w:val="18"/>
          <w:color w:val="auto"/>
        </w:rPr>
        <w:t>Working capital, which consists principally of accounts receivable and inventories was $20.2 million at March 31, 1998 as compared to $18.7 million at December 31, 1997. The ratio of current assets to current liabilities decreased from 3.5:1 at December 31, 1997 to 3.0:1 at March 31, 1998. This decrease was due primarily to increased accounts payable, income taxes payable and other payables increases offset by inventory and accounts receivable amounts. Cash flow from operations decreased from $5.1 million during the first quarter 1997 to $3.2 million during the first quarter 1998. This decrease was primarily attributed to an increase of $4.1 million in accounts receivable for the first quarter of 1998 as compared to an increase of $361,000 for the first quarter of 1997.</w:t>
      </w:r>
    </w:p>
    <w:p>
      <w:pPr>
        <w:spacing w:after="0" w:line="104" w:lineRule="exact"/>
        <w:rPr>
          <w:sz w:val="20"/>
          <w:szCs w:val="20"/>
          <w:color w:val="auto"/>
        </w:rPr>
      </w:pPr>
    </w:p>
    <w:p>
      <w:pPr>
        <w:ind w:right="1779"/>
        <w:spacing w:after="0" w:line="252" w:lineRule="auto"/>
        <w:rPr>
          <w:sz w:val="20"/>
          <w:szCs w:val="20"/>
          <w:color w:val="auto"/>
        </w:rPr>
      </w:pPr>
      <w:r>
        <w:rPr>
          <w:rFonts w:ascii="Courier New" w:cs="Courier New" w:eastAsia="Courier New" w:hAnsi="Courier New"/>
          <w:sz w:val="18"/>
          <w:szCs w:val="18"/>
          <w:color w:val="auto"/>
        </w:rPr>
        <w:t>During 1998, the Company plans to spend approximately $9.0 million on capital expenditures (of which $941,000 has been spent through March 31, 1998) including the purchase of additional machinery and equipment for all three of the Company's U.S. facilities as well as the new Ireland facility. The Company intends to finance these activities with cash generated from operations and funds available under the credit facility described above. The Company believes that funds generated from operations and borrowings from the credit facility will be sufficient to finance the Company's working capital needs and projected capital expenditure requirements through December 1998.</w:t>
      </w:r>
    </w:p>
    <w:p>
      <w:pPr>
        <w:spacing w:after="0" w:line="99" w:lineRule="exact"/>
        <w:rPr>
          <w:sz w:val="20"/>
          <w:szCs w:val="20"/>
          <w:color w:val="auto"/>
        </w:rPr>
      </w:pPr>
    </w:p>
    <w:p>
      <w:pPr>
        <w:ind w:right="2519"/>
        <w:spacing w:after="0" w:line="347" w:lineRule="auto"/>
        <w:rPr>
          <w:sz w:val="20"/>
          <w:szCs w:val="20"/>
          <w:color w:val="auto"/>
        </w:rPr>
      </w:pPr>
      <w:r>
        <w:rPr>
          <w:rFonts w:ascii="Courier New" w:cs="Courier New" w:eastAsia="Courier New" w:hAnsi="Courier New"/>
          <w:sz w:val="18"/>
          <w:szCs w:val="18"/>
          <w:color w:val="auto"/>
        </w:rPr>
        <w:t>Cautionary Statements for Purposes of the "Safe Harbor" Provisions of the Private Securities Litigation Reform Act of 1995</w:t>
      </w:r>
    </w:p>
    <w:p>
      <w:pPr>
        <w:spacing w:after="0" w:line="18" w:lineRule="exact"/>
        <w:rPr>
          <w:sz w:val="20"/>
          <w:szCs w:val="20"/>
          <w:color w:val="auto"/>
        </w:rPr>
      </w:pPr>
    </w:p>
    <w:p>
      <w:pPr>
        <w:ind w:right="1779"/>
        <w:spacing w:after="0" w:line="260" w:lineRule="auto"/>
        <w:rPr>
          <w:sz w:val="20"/>
          <w:szCs w:val="20"/>
          <w:color w:val="auto"/>
        </w:rPr>
      </w:pPr>
      <w:r>
        <w:rPr>
          <w:rFonts w:ascii="Courier New" w:cs="Courier New" w:eastAsia="Courier New" w:hAnsi="Courier New"/>
          <w:sz w:val="18"/>
          <w:szCs w:val="18"/>
          <w:color w:val="auto"/>
        </w:rPr>
        <w:t>The Company wishes to caution readers that this report contains, and future filings by the Company, press releases and oral statements made by the Company's authorized representatives may contain, forward looking statements that involve certain risks and uncertainties. The Company's actual results could differ materially from those expressed in such forward looking statements due to important factors bearing on the</w:t>
      </w:r>
    </w:p>
    <w:p>
      <w:pPr>
        <w:spacing w:after="0" w:line="29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691" w:right="1440" w:bottom="1440" w:gutter="0" w:footer="0" w:header="0"/>
        </w:sectPr>
      </w:pPr>
    </w:p>
    <w:bookmarkStart w:id="10" w:name="page11"/>
    <w:bookmarkEnd w:id="10"/>
    <w:p>
      <w:pPr>
        <w:ind w:right="2099"/>
        <w:spacing w:after="0" w:line="347" w:lineRule="auto"/>
        <w:rPr>
          <w:sz w:val="20"/>
          <w:szCs w:val="20"/>
          <w:color w:val="auto"/>
        </w:rPr>
      </w:pPr>
      <w:r>
        <w:rPr>
          <w:rFonts w:ascii="Courier New" w:cs="Courier New" w:eastAsia="Courier New" w:hAnsi="Courier New"/>
          <w:sz w:val="18"/>
          <w:szCs w:val="18"/>
          <w:color w:val="auto"/>
        </w:rPr>
        <w:t>Company's business, many of which already have been discussed in this filling and in the Company's prior fillings.</w:t>
      </w:r>
    </w:p>
    <w:p>
      <w:pPr>
        <w:spacing w:after="0" w:line="18" w:lineRule="exact"/>
        <w:rPr>
          <w:sz w:val="20"/>
          <w:szCs w:val="20"/>
          <w:color w:val="auto"/>
        </w:rPr>
      </w:pPr>
    </w:p>
    <w:p>
      <w:pPr>
        <w:ind w:right="1779"/>
        <w:spacing w:after="0" w:line="256" w:lineRule="auto"/>
        <w:rPr>
          <w:sz w:val="20"/>
          <w:szCs w:val="20"/>
          <w:color w:val="auto"/>
        </w:rPr>
      </w:pPr>
      <w:r>
        <w:rPr>
          <w:rFonts w:ascii="Courier New" w:cs="Courier New" w:eastAsia="Courier New" w:hAnsi="Courier New"/>
          <w:sz w:val="18"/>
          <w:szCs w:val="18"/>
          <w:color w:val="auto"/>
        </w:rPr>
        <w:t>The following paragraphs discuss the risk factors the Company regard as the most significant, although the Company wishes to caution that other factors that are currently not considered significant or that currently cannot be foreseen may in the future prove to be important in affecting the Company's results of operations. The Company undertakes no obligation to publicly update or revise any forward looking statements, whether as a result of new information, future events or otherwise.</w:t>
      </w:r>
    </w:p>
    <w:p>
      <w:pPr>
        <w:spacing w:after="0" w:line="98" w:lineRule="exact"/>
        <w:rPr>
          <w:sz w:val="20"/>
          <w:szCs w:val="20"/>
          <w:color w:val="auto"/>
        </w:rPr>
      </w:pPr>
    </w:p>
    <w:p>
      <w:pPr>
        <w:ind w:right="1779"/>
        <w:spacing w:after="0" w:line="306" w:lineRule="auto"/>
        <w:rPr>
          <w:sz w:val="20"/>
          <w:szCs w:val="20"/>
          <w:color w:val="auto"/>
        </w:rPr>
      </w:pPr>
      <w:r>
        <w:rPr>
          <w:rFonts w:ascii="Courier New" w:cs="Courier New" w:eastAsia="Courier New" w:hAnsi="Courier New"/>
          <w:sz w:val="16"/>
          <w:szCs w:val="16"/>
          <w:color w:val="auto"/>
        </w:rPr>
        <w:t>Industry Risks. The precision ball and roller industry is cyclical and tends to decline in response to overall declines in industrial production. The Company's sales in the past have been negatively affected, and in the future very likely would be negatively affected, by adverse conditions in the industrial production sector of the economy or by adverse global or national economic conditions.</w:t>
      </w:r>
    </w:p>
    <w:p>
      <w:pPr>
        <w:spacing w:after="0" w:line="60" w:lineRule="exact"/>
        <w:rPr>
          <w:sz w:val="20"/>
          <w:szCs w:val="20"/>
          <w:color w:val="auto"/>
        </w:rPr>
      </w:pPr>
    </w:p>
    <w:p>
      <w:pPr>
        <w:ind w:right="1879"/>
        <w:spacing w:after="0" w:line="248" w:lineRule="auto"/>
        <w:rPr>
          <w:sz w:val="20"/>
          <w:szCs w:val="20"/>
          <w:color w:val="auto"/>
        </w:rPr>
      </w:pPr>
      <w:r>
        <w:rPr>
          <w:rFonts w:ascii="Courier New" w:cs="Courier New" w:eastAsia="Courier New" w:hAnsi="Courier New"/>
          <w:sz w:val="18"/>
          <w:szCs w:val="18"/>
          <w:color w:val="auto"/>
        </w:rPr>
        <w:t>Competition. The precision ball and roller market is highly competitive, and many of the ball and roller manufacturers in the market are larger and have substantially greater resources than the Company. The Company's competitors are continuously exploring and implementing improvements in technology and manufacturing processes in order to improve product quality, and the Company's ability to remain competitive will depend, among other things, on whether it is able, in a cost effective manner, to keep apace with such quality improvements. In addition, the Company competes with many of its customers that, in addition to producing bearings, also internally produce balls and rollers for sale to third parties. The Company also faces a risk that its customers will decide to produce balls and rollers internally rather than outsourcing their needs to the Company.</w:t>
      </w:r>
    </w:p>
    <w:p>
      <w:pPr>
        <w:spacing w:after="0" w:line="105" w:lineRule="exact"/>
        <w:rPr>
          <w:sz w:val="20"/>
          <w:szCs w:val="20"/>
          <w:color w:val="auto"/>
        </w:rPr>
      </w:pPr>
    </w:p>
    <w:p>
      <w:pPr>
        <w:ind w:right="1779"/>
        <w:spacing w:after="0" w:line="260" w:lineRule="auto"/>
        <w:rPr>
          <w:sz w:val="20"/>
          <w:szCs w:val="20"/>
          <w:color w:val="auto"/>
        </w:rPr>
      </w:pPr>
      <w:r>
        <w:rPr>
          <w:rFonts w:ascii="Courier New" w:cs="Courier New" w:eastAsia="Courier New" w:hAnsi="Courier New"/>
          <w:sz w:val="18"/>
          <w:szCs w:val="18"/>
          <w:color w:val="auto"/>
        </w:rPr>
        <w:t>Rapid Growth. The Company has significantly expanded its production facilities and capacity over the last several years. The Company currently is not operating at full capacity and faces risks of further underutilization or inefficient utilization of its production facilities in future years. The Company also faces risks associated with start-up expenses, inefficiencies, delays and increased depreciation costs associated with its plant expansions.</w:t>
      </w:r>
    </w:p>
    <w:p>
      <w:pPr>
        <w:spacing w:after="0" w:line="93" w:lineRule="exact"/>
        <w:rPr>
          <w:sz w:val="20"/>
          <w:szCs w:val="20"/>
          <w:color w:val="auto"/>
        </w:rPr>
      </w:pPr>
    </w:p>
    <w:p>
      <w:pPr>
        <w:ind w:right="1879"/>
        <w:spacing w:after="0" w:line="260" w:lineRule="auto"/>
        <w:rPr>
          <w:sz w:val="20"/>
          <w:szCs w:val="20"/>
          <w:color w:val="auto"/>
        </w:rPr>
      </w:pPr>
      <w:r>
        <w:rPr>
          <w:rFonts w:ascii="Courier New" w:cs="Courier New" w:eastAsia="Courier New" w:hAnsi="Courier New"/>
          <w:sz w:val="18"/>
          <w:szCs w:val="18"/>
          <w:color w:val="auto"/>
        </w:rPr>
        <w:t>Raw Material Shortages. Because the balls and rollers manufactured by the Company have highly-specialized applications, their production requires the use of very particular types of steel. Due to quality constraints, the Company obtains the majority of its steel from overseas suppliers. Steel shortages or transportation problems, particularly with respect to 52100 Steel, could have a detrimental effect on the Company's business.</w:t>
      </w:r>
    </w:p>
    <w:p>
      <w:pPr>
        <w:spacing w:after="0" w:line="93" w:lineRule="exact"/>
        <w:rPr>
          <w:sz w:val="20"/>
          <w:szCs w:val="20"/>
          <w:color w:val="auto"/>
        </w:rPr>
      </w:pPr>
    </w:p>
    <w:p>
      <w:pPr>
        <w:ind w:right="1999"/>
        <w:spacing w:after="0" w:line="274" w:lineRule="auto"/>
        <w:rPr>
          <w:sz w:val="20"/>
          <w:szCs w:val="20"/>
          <w:color w:val="auto"/>
        </w:rPr>
      </w:pPr>
      <w:r>
        <w:rPr>
          <w:rFonts w:ascii="Courier New" w:cs="Courier New" w:eastAsia="Courier New" w:hAnsi="Courier New"/>
          <w:sz w:val="16"/>
          <w:szCs w:val="16"/>
          <w:color w:val="auto"/>
        </w:rPr>
        <w:t>Risks Associated with International Trade. Because the Company obtains a majority of its raw materials from overseas suppliers and sells to a large number of international customers, the Company faces risks associated with (i) adverse foreign currency fluctuations, (ii) changes in trade, monetary and fiscal policies, laws and regulations, and other activities of governments, agencies and similar organizations, (iii) the imposition of trade restrictions or prohibitions, (iv) the imposition of import or other changes or taxes, and</w:t>
      </w:r>
    </w:p>
    <w:p>
      <w:pPr>
        <w:spacing w:after="0" w:line="2" w:lineRule="exact"/>
        <w:rPr>
          <w:sz w:val="20"/>
          <w:szCs w:val="20"/>
          <w:color w:val="auto"/>
        </w:rPr>
      </w:pPr>
    </w:p>
    <w:p>
      <w:pPr>
        <w:ind w:right="2099" w:firstLine="8"/>
        <w:spacing w:after="0" w:line="309"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unstable governments or legal systems in countries in which the Company's suppliers and customers are located.</w:t>
      </w:r>
    </w:p>
    <w:p>
      <w:pPr>
        <w:spacing w:after="0" w:line="51" w:lineRule="exact"/>
        <w:rPr>
          <w:sz w:val="20"/>
          <w:szCs w:val="20"/>
          <w:color w:val="auto"/>
        </w:rPr>
      </w:pPr>
    </w:p>
    <w:p>
      <w:pPr>
        <w:ind w:right="1779"/>
        <w:spacing w:after="0" w:line="281" w:lineRule="auto"/>
        <w:rPr>
          <w:sz w:val="20"/>
          <w:szCs w:val="20"/>
          <w:color w:val="auto"/>
        </w:rPr>
      </w:pPr>
      <w:r>
        <w:rPr>
          <w:rFonts w:ascii="Courier New" w:cs="Courier New" w:eastAsia="Courier New" w:hAnsi="Courier New"/>
          <w:sz w:val="16"/>
          <w:szCs w:val="16"/>
          <w:color w:val="auto"/>
        </w:rPr>
        <w:t>Dependence on Major Customers. During 1997, the Company's ten largest customers accounted for approximately 77% of its net sales. Sales to various U.S. and foreign divisions of SKF, which is one of the largest bearing manufacturers in the world, accounted for approximately 37% of net sales in 1997, and sales to FAG accounted for approximately 10% of net sales. The Company currently negotiates and contracts with various purchasing units within SKF and believes that, in certain respects, such units operate independently with respect to purchasing decisions. There can be no assurance, however, that SKF will not centralize purchasing decisions in the future. None of the Company's other customers accounted for more than 10% of its net sales in 1997, but sales to two of its customers each represented more than 5% of the Company's 1997 net sales. the loss of all or a substantial portion of sales to these customers would have a material adverse effect on the Company's business.</w:t>
      </w:r>
    </w:p>
    <w:p>
      <w:pPr>
        <w:spacing w:after="0" w:line="200" w:lineRule="exact"/>
        <w:rPr>
          <w:sz w:val="20"/>
          <w:szCs w:val="20"/>
          <w:color w:val="auto"/>
        </w:rPr>
      </w:pPr>
    </w:p>
    <w:p>
      <w:pPr>
        <w:spacing w:after="0" w:line="29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691" w:right="1440" w:bottom="1440" w:gutter="0" w:footer="0" w:header="0"/>
        </w:sectPr>
      </w:pPr>
    </w:p>
    <w:bookmarkStart w:id="11" w:name="page12"/>
    <w:bookmarkEnd w:id="11"/>
    <w:p>
      <w:pPr>
        <w:ind w:left="2860"/>
        <w:spacing w:after="0"/>
        <w:rPr>
          <w:sz w:val="20"/>
          <w:szCs w:val="20"/>
          <w:color w:val="auto"/>
        </w:rPr>
      </w:pPr>
      <w:r>
        <w:rPr>
          <w:rFonts w:ascii="Courier New" w:cs="Courier New" w:eastAsia="Courier New" w:hAnsi="Courier New"/>
          <w:sz w:val="18"/>
          <w:szCs w:val="18"/>
          <w:color w:val="auto"/>
        </w:rPr>
        <w:t>PART II. OTHER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Exhibits and Reports on Form 8-K.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Exhibits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27 * - Financial Data Schedule (For Information of SEC Only)</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Filed herewith</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 Reports on Form 8-K: None</w:t>
      </w:r>
    </w:p>
    <w:p>
      <w:pPr>
        <w:spacing w:after="0" w:line="3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691" w:right="1440" w:bottom="1440" w:gutter="0" w:footer="0" w:header="0"/>
        </w:sectPr>
      </w:pPr>
    </w:p>
    <w:bookmarkStart w:id="12" w:name="page13"/>
    <w:bookmarkEnd w:id="1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jc w:val="both"/>
        <w:ind w:right="2619"/>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17"/>
                <w:szCs w:val="17"/>
                <w:color w:val="auto"/>
              </w:rPr>
            </w:pPr>
          </w:p>
        </w:tc>
        <w:tc>
          <w:tcPr>
            <w:tcW w:w="4840" w:type="dxa"/>
            <w:vAlign w:val="bottom"/>
          </w:tcPr>
          <w:p>
            <w:pPr>
              <w:jc w:val="center"/>
              <w:ind w:left="132"/>
              <w:spacing w:after="0"/>
              <w:rPr>
                <w:sz w:val="20"/>
                <w:szCs w:val="20"/>
                <w:color w:val="auto"/>
              </w:rPr>
            </w:pPr>
            <w:r>
              <w:rPr>
                <w:rFonts w:ascii="Courier New" w:cs="Courier New" w:eastAsia="Courier New" w:hAnsi="Courier New"/>
                <w:sz w:val="18"/>
                <w:szCs w:val="18"/>
                <w:color w:val="auto"/>
                <w:w w:val="96"/>
              </w:rPr>
              <w:t>NN Ball &amp; Roller, Inc.</w:t>
            </w: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484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2640" w:type="dxa"/>
            <w:vAlign w:val="bottom"/>
          </w:tcPr>
          <w:p>
            <w:pPr>
              <w:spacing w:after="0"/>
              <w:rPr>
                <w:sz w:val="24"/>
                <w:szCs w:val="24"/>
                <w:color w:val="auto"/>
              </w:rPr>
            </w:pPr>
          </w:p>
        </w:tc>
        <w:tc>
          <w:tcPr>
            <w:tcW w:w="4840" w:type="dxa"/>
            <w:vAlign w:val="bottom"/>
          </w:tcPr>
          <w:p>
            <w:pPr>
              <w:jc w:val="center"/>
              <w:ind w:left="132"/>
              <w:spacing w:after="0"/>
              <w:rPr>
                <w:sz w:val="20"/>
                <w:szCs w:val="20"/>
                <w:color w:val="auto"/>
              </w:rPr>
            </w:pPr>
            <w:r>
              <w:rPr>
                <w:rFonts w:ascii="Courier New" w:cs="Courier New" w:eastAsia="Courier New" w:hAnsi="Courier New"/>
                <w:sz w:val="18"/>
                <w:szCs w:val="18"/>
                <w:color w:val="auto"/>
                <w:w w:val="97"/>
              </w:rPr>
              <w:t>(Registrant)</w:t>
            </w:r>
          </w:p>
        </w:tc>
        <w:tc>
          <w:tcPr>
            <w:tcW w:w="0" w:type="dxa"/>
            <w:vAlign w:val="bottom"/>
          </w:tcPr>
          <w:p>
            <w:pPr>
              <w:spacing w:after="0"/>
              <w:rPr>
                <w:sz w:val="1"/>
                <w:szCs w:val="1"/>
                <w:color w:val="auto"/>
              </w:rPr>
            </w:pPr>
          </w:p>
        </w:tc>
      </w:tr>
      <w:tr>
        <w:trPr>
          <w:trHeight w:val="514"/>
        </w:trPr>
        <w:tc>
          <w:tcPr>
            <w:tcW w:w="2640" w:type="dxa"/>
            <w:vAlign w:val="bottom"/>
          </w:tcPr>
          <w:p>
            <w:pPr>
              <w:jc w:val="right"/>
              <w:ind w:right="652"/>
              <w:spacing w:after="0"/>
              <w:rPr>
                <w:sz w:val="20"/>
                <w:szCs w:val="20"/>
                <w:color w:val="auto"/>
              </w:rPr>
            </w:pPr>
            <w:r>
              <w:rPr>
                <w:rFonts w:ascii="Courier New" w:cs="Courier New" w:eastAsia="Courier New" w:hAnsi="Courier New"/>
                <w:sz w:val="18"/>
                <w:szCs w:val="18"/>
                <w:color w:val="auto"/>
                <w:w w:val="96"/>
              </w:rPr>
              <w:t>Date: May 13, 1998</w:t>
            </w:r>
          </w:p>
        </w:tc>
        <w:tc>
          <w:tcPr>
            <w:tcW w:w="4840" w:type="dxa"/>
            <w:vAlign w:val="bottom"/>
          </w:tcPr>
          <w:p>
            <w:pPr>
              <w:jc w:val="center"/>
              <w:ind w:left="132"/>
              <w:spacing w:after="0"/>
              <w:rPr>
                <w:sz w:val="20"/>
                <w:szCs w:val="20"/>
                <w:color w:val="auto"/>
              </w:rPr>
            </w:pPr>
            <w:r>
              <w:rPr>
                <w:rFonts w:ascii="Courier New" w:cs="Courier New" w:eastAsia="Courier New" w:hAnsi="Courier New"/>
                <w:sz w:val="18"/>
                <w:szCs w:val="18"/>
                <w:color w:val="auto"/>
                <w:w w:val="97"/>
              </w:rPr>
              <w:t>/s/ Roderick R. Baty</w:t>
            </w:r>
          </w:p>
        </w:tc>
        <w:tc>
          <w:tcPr>
            <w:tcW w:w="0" w:type="dxa"/>
            <w:vAlign w:val="bottom"/>
          </w:tcPr>
          <w:p>
            <w:pPr>
              <w:spacing w:after="0"/>
              <w:rPr>
                <w:sz w:val="1"/>
                <w:szCs w:val="1"/>
                <w:color w:val="auto"/>
              </w:rPr>
            </w:pPr>
          </w:p>
        </w:tc>
      </w:tr>
      <w:tr>
        <w:trPr>
          <w:trHeight w:val="203"/>
        </w:trPr>
        <w:tc>
          <w:tcPr>
            <w:tcW w:w="2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484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4840" w:type="dxa"/>
            <w:vAlign w:val="bottom"/>
          </w:tcPr>
          <w:p>
            <w:pPr>
              <w:jc w:val="center"/>
              <w:ind w:left="252"/>
              <w:spacing w:after="0" w:line="203" w:lineRule="exact"/>
              <w:rPr>
                <w:sz w:val="20"/>
                <w:szCs w:val="20"/>
                <w:color w:val="auto"/>
              </w:rPr>
            </w:pPr>
            <w:r>
              <w:rPr>
                <w:rFonts w:ascii="Courier New" w:cs="Courier New" w:eastAsia="Courier New" w:hAnsi="Courier New"/>
                <w:sz w:val="18"/>
                <w:szCs w:val="18"/>
                <w:color w:val="auto"/>
                <w:w w:val="97"/>
              </w:rPr>
              <w:t>Roderick R. Baty, President and Chief</w:t>
            </w: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484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8"/>
              </w:rPr>
              <w:t>Executive Officer</w:t>
            </w:r>
          </w:p>
        </w:tc>
        <w:tc>
          <w:tcPr>
            <w:tcW w:w="0" w:type="dxa"/>
            <w:vAlign w:val="bottom"/>
          </w:tcPr>
          <w:p>
            <w:pPr>
              <w:spacing w:after="0"/>
              <w:rPr>
                <w:sz w:val="1"/>
                <w:szCs w:val="1"/>
                <w:color w:val="auto"/>
              </w:rPr>
            </w:pPr>
          </w:p>
        </w:tc>
      </w:tr>
      <w:tr>
        <w:trPr>
          <w:trHeight w:val="296"/>
        </w:trPr>
        <w:tc>
          <w:tcPr>
            <w:tcW w:w="2640" w:type="dxa"/>
            <w:vAlign w:val="bottom"/>
          </w:tcPr>
          <w:p>
            <w:pPr>
              <w:spacing w:after="0"/>
              <w:rPr>
                <w:sz w:val="24"/>
                <w:szCs w:val="24"/>
                <w:color w:val="auto"/>
              </w:rPr>
            </w:pPr>
          </w:p>
        </w:tc>
        <w:tc>
          <w:tcPr>
            <w:tcW w:w="4840" w:type="dxa"/>
            <w:vAlign w:val="bottom"/>
          </w:tcPr>
          <w:p>
            <w:pPr>
              <w:jc w:val="center"/>
              <w:ind w:left="232"/>
              <w:spacing w:after="0"/>
              <w:rPr>
                <w:sz w:val="20"/>
                <w:szCs w:val="20"/>
                <w:color w:val="auto"/>
              </w:rPr>
            </w:pPr>
            <w:r>
              <w:rPr>
                <w:rFonts w:ascii="Courier New" w:cs="Courier New" w:eastAsia="Courier New" w:hAnsi="Courier New"/>
                <w:sz w:val="18"/>
                <w:szCs w:val="18"/>
                <w:color w:val="auto"/>
                <w:w w:val="97"/>
              </w:rPr>
              <w:t>(Duly Authorized Officer)</w:t>
            </w:r>
          </w:p>
        </w:tc>
        <w:tc>
          <w:tcPr>
            <w:tcW w:w="0" w:type="dxa"/>
            <w:vAlign w:val="bottom"/>
          </w:tcPr>
          <w:p>
            <w:pPr>
              <w:spacing w:after="0"/>
              <w:rPr>
                <w:sz w:val="1"/>
                <w:szCs w:val="1"/>
                <w:color w:val="auto"/>
              </w:rPr>
            </w:pPr>
          </w:p>
        </w:tc>
      </w:tr>
      <w:tr>
        <w:trPr>
          <w:trHeight w:val="311"/>
        </w:trPr>
        <w:tc>
          <w:tcPr>
            <w:tcW w:w="2640" w:type="dxa"/>
            <w:vAlign w:val="bottom"/>
            <w:vMerge w:val="restart"/>
          </w:tcPr>
          <w:p>
            <w:pPr>
              <w:jc w:val="right"/>
              <w:ind w:right="652"/>
              <w:spacing w:after="0"/>
              <w:rPr>
                <w:sz w:val="20"/>
                <w:szCs w:val="20"/>
                <w:color w:val="auto"/>
              </w:rPr>
            </w:pPr>
            <w:r>
              <w:rPr>
                <w:rFonts w:ascii="Courier New" w:cs="Courier New" w:eastAsia="Courier New" w:hAnsi="Courier New"/>
                <w:sz w:val="18"/>
                <w:szCs w:val="18"/>
                <w:color w:val="auto"/>
                <w:w w:val="96"/>
              </w:rPr>
              <w:t>Date: May 13, 1998</w:t>
            </w:r>
          </w:p>
        </w:tc>
        <w:tc>
          <w:tcPr>
            <w:tcW w:w="4840" w:type="dxa"/>
            <w:vAlign w:val="bottom"/>
          </w:tcPr>
          <w:p>
            <w:pPr>
              <w:jc w:val="center"/>
              <w:ind w:left="132"/>
              <w:spacing w:after="0"/>
              <w:rPr>
                <w:sz w:val="20"/>
                <w:szCs w:val="20"/>
                <w:color w:val="auto"/>
              </w:rPr>
            </w:pPr>
            <w:r>
              <w:rPr>
                <w:rFonts w:ascii="Courier New" w:cs="Courier New" w:eastAsia="Courier New" w:hAnsi="Courier New"/>
                <w:sz w:val="18"/>
                <w:szCs w:val="18"/>
                <w:color w:val="auto"/>
                <w:w w:val="97"/>
              </w:rPr>
              <w:t>/s/ David L. Dyckman</w:t>
            </w:r>
          </w:p>
        </w:tc>
        <w:tc>
          <w:tcPr>
            <w:tcW w:w="0" w:type="dxa"/>
            <w:vAlign w:val="bottom"/>
          </w:tcPr>
          <w:p>
            <w:pPr>
              <w:spacing w:after="0"/>
              <w:rPr>
                <w:sz w:val="1"/>
                <w:szCs w:val="1"/>
                <w:color w:val="auto"/>
              </w:rPr>
            </w:pPr>
          </w:p>
        </w:tc>
      </w:tr>
      <w:tr>
        <w:trPr>
          <w:trHeight w:val="203"/>
        </w:trPr>
        <w:tc>
          <w:tcPr>
            <w:tcW w:w="2640" w:type="dxa"/>
            <w:vAlign w:val="bottom"/>
            <w:vMerge w:val="continue"/>
          </w:tcPr>
          <w:p>
            <w:pPr>
              <w:spacing w:after="0"/>
              <w:rPr>
                <w:sz w:val="17"/>
                <w:szCs w:val="17"/>
                <w:color w:val="auto"/>
              </w:rPr>
            </w:pPr>
          </w:p>
        </w:tc>
        <w:tc>
          <w:tcPr>
            <w:tcW w:w="4840" w:type="dxa"/>
            <w:vAlign w:val="bottom"/>
            <w:vMerge w:val="restart"/>
          </w:tcPr>
          <w:p>
            <w:pPr>
              <w:jc w:val="center"/>
              <w:ind w:left="232"/>
              <w:spacing w:after="0"/>
              <w:rPr>
                <w:sz w:val="20"/>
                <w:szCs w:val="20"/>
                <w:color w:val="auto"/>
              </w:rPr>
            </w:pPr>
            <w:r>
              <w:rPr>
                <w:rFonts w:ascii="Courier New" w:cs="Courier New" w:eastAsia="Courier New" w:hAnsi="Courier New"/>
                <w:sz w:val="17"/>
                <w:szCs w:val="17"/>
                <w:color w:val="auto"/>
                <w:w w:val="71"/>
              </w:rPr>
              <w:t>-------------------------------------------</w:t>
            </w:r>
            <w:r>
              <w:rPr>
                <w:rFonts w:ascii="Courier New" w:cs="Courier New" w:eastAsia="Courier New" w:hAnsi="Courier New"/>
                <w:sz w:val="34"/>
                <w:szCs w:val="34"/>
                <w:color w:val="auto"/>
                <w:w w:val="71"/>
                <w:vertAlign w:val="subscript"/>
              </w:rPr>
              <w:t>DavidL.Dyckman</w:t>
            </w:r>
          </w:p>
        </w:tc>
        <w:tc>
          <w:tcPr>
            <w:tcW w:w="0" w:type="dxa"/>
            <w:vAlign w:val="bottom"/>
          </w:tcPr>
          <w:p>
            <w:pPr>
              <w:spacing w:after="0"/>
              <w:rPr>
                <w:sz w:val="1"/>
                <w:szCs w:val="1"/>
                <w:color w:val="auto"/>
              </w:rPr>
            </w:pPr>
          </w:p>
        </w:tc>
      </w:tr>
      <w:tr>
        <w:trPr>
          <w:trHeight w:val="203"/>
        </w:trPr>
        <w:tc>
          <w:tcPr>
            <w:tcW w:w="2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4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484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7"/>
              </w:rPr>
              <w:t>Chief Financial Officer and</w:t>
            </w: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484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6"/>
              </w:rPr>
              <w:t>Vice President</w:t>
            </w: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484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7"/>
              </w:rPr>
              <w:t>(Principal Financial Officer)</w:t>
            </w:r>
          </w:p>
        </w:tc>
        <w:tc>
          <w:tcPr>
            <w:tcW w:w="0" w:type="dxa"/>
            <w:vAlign w:val="bottom"/>
          </w:tcPr>
          <w:p>
            <w:pPr>
              <w:spacing w:after="0"/>
              <w:rPr>
                <w:sz w:val="1"/>
                <w:szCs w:val="1"/>
                <w:color w:val="auto"/>
              </w:rPr>
            </w:pPr>
          </w:p>
        </w:tc>
      </w:tr>
      <w:tr>
        <w:trPr>
          <w:trHeight w:val="296"/>
        </w:trPr>
        <w:tc>
          <w:tcPr>
            <w:tcW w:w="2640" w:type="dxa"/>
            <w:vAlign w:val="bottom"/>
          </w:tcPr>
          <w:p>
            <w:pPr>
              <w:spacing w:after="0"/>
              <w:rPr>
                <w:sz w:val="24"/>
                <w:szCs w:val="24"/>
                <w:color w:val="auto"/>
              </w:rPr>
            </w:pPr>
          </w:p>
        </w:tc>
        <w:tc>
          <w:tcPr>
            <w:tcW w:w="4840" w:type="dxa"/>
            <w:vAlign w:val="bottom"/>
          </w:tcPr>
          <w:p>
            <w:pPr>
              <w:jc w:val="center"/>
              <w:ind w:left="232"/>
              <w:spacing w:after="0"/>
              <w:rPr>
                <w:sz w:val="20"/>
                <w:szCs w:val="20"/>
                <w:color w:val="auto"/>
              </w:rPr>
            </w:pPr>
            <w:r>
              <w:rPr>
                <w:rFonts w:ascii="Courier New" w:cs="Courier New" w:eastAsia="Courier New" w:hAnsi="Courier New"/>
                <w:sz w:val="18"/>
                <w:szCs w:val="18"/>
                <w:color w:val="auto"/>
                <w:w w:val="97"/>
              </w:rPr>
              <w:t>(Duly Authorized Officer)</w:t>
            </w:r>
          </w:p>
        </w:tc>
        <w:tc>
          <w:tcPr>
            <w:tcW w:w="0" w:type="dxa"/>
            <w:vAlign w:val="bottom"/>
          </w:tcPr>
          <w:p>
            <w:pPr>
              <w:spacing w:after="0"/>
              <w:rPr>
                <w:sz w:val="1"/>
                <w:szCs w:val="1"/>
                <w:color w:val="auto"/>
              </w:rPr>
            </w:pPr>
          </w:p>
        </w:tc>
      </w:tr>
      <w:tr>
        <w:trPr>
          <w:trHeight w:val="514"/>
        </w:trPr>
        <w:tc>
          <w:tcPr>
            <w:tcW w:w="2640" w:type="dxa"/>
            <w:vAlign w:val="bottom"/>
          </w:tcPr>
          <w:p>
            <w:pPr>
              <w:jc w:val="right"/>
              <w:ind w:right="652"/>
              <w:spacing w:after="0"/>
              <w:rPr>
                <w:sz w:val="20"/>
                <w:szCs w:val="20"/>
                <w:color w:val="auto"/>
              </w:rPr>
            </w:pPr>
            <w:r>
              <w:rPr>
                <w:rFonts w:ascii="Courier New" w:cs="Courier New" w:eastAsia="Courier New" w:hAnsi="Courier New"/>
                <w:sz w:val="18"/>
                <w:szCs w:val="18"/>
                <w:color w:val="auto"/>
                <w:w w:val="96"/>
              </w:rPr>
              <w:t>Date: May 13, 1998</w:t>
            </w:r>
          </w:p>
        </w:tc>
        <w:tc>
          <w:tcPr>
            <w:tcW w:w="4840" w:type="dxa"/>
            <w:vAlign w:val="bottom"/>
          </w:tcPr>
          <w:p>
            <w:pPr>
              <w:jc w:val="center"/>
              <w:ind w:left="32"/>
              <w:spacing w:after="0"/>
              <w:rPr>
                <w:sz w:val="20"/>
                <w:szCs w:val="20"/>
                <w:color w:val="auto"/>
              </w:rPr>
            </w:pPr>
            <w:r>
              <w:rPr>
                <w:rFonts w:ascii="Courier New" w:cs="Courier New" w:eastAsia="Courier New" w:hAnsi="Courier New"/>
                <w:sz w:val="18"/>
                <w:szCs w:val="18"/>
                <w:color w:val="auto"/>
                <w:w w:val="97"/>
              </w:rPr>
              <w:t>/s/ William C. Kelly, Jr.</w:t>
            </w:r>
          </w:p>
        </w:tc>
        <w:tc>
          <w:tcPr>
            <w:tcW w:w="0" w:type="dxa"/>
            <w:vAlign w:val="bottom"/>
          </w:tcPr>
          <w:p>
            <w:pPr>
              <w:spacing w:after="0"/>
              <w:rPr>
                <w:sz w:val="1"/>
                <w:szCs w:val="1"/>
                <w:color w:val="auto"/>
              </w:rPr>
            </w:pPr>
          </w:p>
        </w:tc>
      </w:tr>
      <w:tr>
        <w:trPr>
          <w:trHeight w:val="203"/>
        </w:trPr>
        <w:tc>
          <w:tcPr>
            <w:tcW w:w="2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484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484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6"/>
              </w:rPr>
              <w:t>William C. Kelly, Jr.,</w:t>
            </w: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484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7"/>
              </w:rPr>
              <w:t>Treasurer, Assistant Secretary and</w:t>
            </w: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484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7"/>
              </w:rPr>
              <w:t>Chief Accounting Officer</w:t>
            </w: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48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(Principal Accounting Officer)</w:t>
            </w:r>
          </w:p>
        </w:tc>
        <w:tc>
          <w:tcPr>
            <w:tcW w:w="0" w:type="dxa"/>
            <w:vAlign w:val="bottom"/>
          </w:tcPr>
          <w:p>
            <w:pPr>
              <w:spacing w:after="0"/>
              <w:rPr>
                <w:sz w:val="1"/>
                <w:szCs w:val="1"/>
                <w:color w:val="auto"/>
              </w:rPr>
            </w:pPr>
          </w:p>
        </w:tc>
      </w:tr>
      <w:tr>
        <w:trPr>
          <w:trHeight w:val="296"/>
        </w:trPr>
        <w:tc>
          <w:tcPr>
            <w:tcW w:w="2640" w:type="dxa"/>
            <w:vAlign w:val="bottom"/>
          </w:tcPr>
          <w:p>
            <w:pPr>
              <w:spacing w:after="0"/>
              <w:rPr>
                <w:sz w:val="24"/>
                <w:szCs w:val="24"/>
                <w:color w:val="auto"/>
              </w:rPr>
            </w:pPr>
          </w:p>
        </w:tc>
        <w:tc>
          <w:tcPr>
            <w:tcW w:w="4840" w:type="dxa"/>
            <w:vAlign w:val="bottom"/>
          </w:tcPr>
          <w:p>
            <w:pPr>
              <w:jc w:val="center"/>
              <w:ind w:left="232"/>
              <w:spacing w:after="0"/>
              <w:rPr>
                <w:sz w:val="20"/>
                <w:szCs w:val="20"/>
                <w:color w:val="auto"/>
              </w:rPr>
            </w:pPr>
            <w:r>
              <w:rPr>
                <w:rFonts w:ascii="Courier New" w:cs="Courier New" w:eastAsia="Courier New" w:hAnsi="Courier New"/>
                <w:sz w:val="18"/>
                <w:szCs w:val="18"/>
                <w:color w:val="auto"/>
                <w:w w:val="97"/>
              </w:rPr>
              <w:t>(Duly Authorized Officer)</w:t>
            </w:r>
          </w:p>
        </w:tc>
        <w:tc>
          <w:tcPr>
            <w:tcW w:w="0" w:type="dxa"/>
            <w:vAlign w:val="bottom"/>
          </w:tcPr>
          <w:p>
            <w:pPr>
              <w:spacing w:after="0"/>
              <w:rPr>
                <w:sz w:val="1"/>
                <w:szCs w:val="1"/>
                <w:color w:val="auto"/>
              </w:rPr>
            </w:pPr>
          </w:p>
        </w:tc>
      </w:tr>
      <w:tr>
        <w:trPr>
          <w:trHeight w:val="608"/>
        </w:trPr>
        <w:tc>
          <w:tcPr>
            <w:tcW w:w="2640" w:type="dxa"/>
            <w:vAlign w:val="bottom"/>
          </w:tcPr>
          <w:p>
            <w:pPr>
              <w:spacing w:after="0"/>
              <w:rPr>
                <w:sz w:val="24"/>
                <w:szCs w:val="24"/>
                <w:color w:val="auto"/>
              </w:rPr>
            </w:pPr>
          </w:p>
        </w:tc>
        <w:tc>
          <w:tcPr>
            <w:tcW w:w="4840" w:type="dxa"/>
            <w:vAlign w:val="bottom"/>
          </w:tcPr>
          <w:p>
            <w:pPr>
              <w:jc w:val="right"/>
              <w:ind w:right="3072"/>
              <w:spacing w:after="0"/>
              <w:rPr>
                <w:sz w:val="20"/>
                <w:szCs w:val="20"/>
                <w:color w:val="auto"/>
              </w:rPr>
            </w:pPr>
            <w:r>
              <w:rPr>
                <w:rFonts w:ascii="Courier New" w:cs="Courier New" w:eastAsia="Courier New" w:hAnsi="Courier New"/>
                <w:sz w:val="18"/>
                <w:szCs w:val="18"/>
                <w:color w:val="auto"/>
              </w:rPr>
              <w:t>12</w:t>
            </w:r>
          </w:p>
        </w:tc>
        <w:tc>
          <w:tcPr>
            <w:tcW w:w="0" w:type="dxa"/>
            <w:vAlign w:val="bottom"/>
          </w:tcPr>
          <w:p>
            <w:pPr>
              <w:spacing w:after="0"/>
              <w:rPr>
                <w:sz w:val="1"/>
                <w:szCs w:val="1"/>
                <w:color w:val="auto"/>
              </w:rPr>
            </w:pPr>
          </w:p>
        </w:tc>
      </w:tr>
    </w:tbl>
    <w:p>
      <w:pPr>
        <w:sectPr>
          <w:pgSz w:w="11900" w:h="16838" w:orient="portrait"/>
          <w:cols w:equalWidth="0" w:num="1">
            <w:col w:w="10219"/>
          </w:cols>
          <w:pgMar w:left="240" w:top="691" w:right="1440" w:bottom="1440" w:gutter="0" w:footer="0" w:header="0"/>
        </w:sectPr>
      </w:pPr>
    </w:p>
    <w:bookmarkStart w:id="13" w:name="page14"/>
    <w:bookmarkEnd w:id="13"/>
    <w:p>
      <w:pPr>
        <w:ind w:left="1020"/>
        <w:spacing w:after="0"/>
        <w:rPr>
          <w:sz w:val="20"/>
          <w:szCs w:val="20"/>
          <w:color w:val="auto"/>
        </w:rPr>
      </w:pPr>
      <w:r>
        <w:rPr>
          <w:rFonts w:ascii="Courier New" w:cs="Courier New" w:eastAsia="Courier New" w:hAnsi="Courier New"/>
          <w:sz w:val="18"/>
          <w:szCs w:val="18"/>
          <w:color w:val="auto"/>
        </w:rPr>
        <w:t>5</w:t>
      </w:r>
    </w:p>
    <w:p>
      <w:pPr>
        <w:spacing w:after="0" w:line="31" w:lineRule="exact"/>
        <w:rPr>
          <w:sz w:val="20"/>
          <w:szCs w:val="20"/>
          <w:color w:val="auto"/>
        </w:rPr>
      </w:pPr>
    </w:p>
    <w:p>
      <w:pPr>
        <w:ind w:left="700"/>
        <w:spacing w:after="0"/>
        <w:rPr>
          <w:sz w:val="20"/>
          <w:szCs w:val="20"/>
          <w:color w:val="auto"/>
        </w:rPr>
      </w:pPr>
      <w:r>
        <w:rPr>
          <w:rFonts w:ascii="Courier New" w:cs="Courier New" w:eastAsia="Courier New" w:hAnsi="Courier New"/>
          <w:sz w:val="18"/>
          <w:szCs w:val="18"/>
          <w:color w:val="auto"/>
        </w:rPr>
        <w:t>1,000</w:t>
      </w:r>
    </w:p>
    <w:p>
      <w:pPr>
        <w:spacing w:after="0" w:line="372" w:lineRule="exact"/>
        <w:rPr>
          <w:sz w:val="20"/>
          <w:szCs w:val="20"/>
          <w:color w:val="auto"/>
        </w:rPr>
      </w:pPr>
    </w:p>
    <w:p>
      <w:pPr>
        <w:ind w:left="380"/>
        <w:spacing w:after="0"/>
        <w:rPr>
          <w:sz w:val="20"/>
          <w:szCs w:val="20"/>
          <w:color w:val="auto"/>
        </w:rPr>
      </w:pPr>
      <w:r>
        <w:rPr>
          <w:rFonts w:ascii="Courier New" w:cs="Courier New" w:eastAsia="Courier New" w:hAnsi="Courier New"/>
          <w:sz w:val="18"/>
          <w:szCs w:val="18"/>
          <w:color w:val="auto"/>
        </w:rPr>
        <w:t>3-MOS</w:t>
      </w:r>
    </w:p>
    <w:p>
      <w:pPr>
        <w:spacing w:after="0" w:line="29" w:lineRule="exact"/>
        <w:rPr>
          <w:sz w:val="20"/>
          <w:szCs w:val="20"/>
          <w:color w:val="auto"/>
        </w:rPr>
      </w:pPr>
    </w:p>
    <w:p>
      <w:pPr>
        <w:ind w:left="1240"/>
        <w:spacing w:after="0"/>
        <w:rPr>
          <w:sz w:val="20"/>
          <w:szCs w:val="20"/>
          <w:color w:val="auto"/>
        </w:rPr>
      </w:pPr>
      <w:r>
        <w:rPr>
          <w:rFonts w:ascii="Courier New" w:cs="Courier New" w:eastAsia="Courier New" w:hAnsi="Courier New"/>
          <w:sz w:val="18"/>
          <w:szCs w:val="18"/>
          <w:color w:val="auto"/>
        </w:rPr>
        <w:t>DEC-31-1998</w:t>
      </w:r>
    </w:p>
    <w:p>
      <w:pPr>
        <w:ind w:left="1540"/>
        <w:spacing w:after="0" w:line="238" w:lineRule="auto"/>
        <w:rPr>
          <w:sz w:val="20"/>
          <w:szCs w:val="20"/>
          <w:color w:val="auto"/>
        </w:rPr>
      </w:pPr>
      <w:r>
        <w:rPr>
          <w:rFonts w:ascii="Courier New" w:cs="Courier New" w:eastAsia="Courier New" w:hAnsi="Courier New"/>
          <w:sz w:val="18"/>
          <w:szCs w:val="18"/>
          <w:color w:val="auto"/>
        </w:rPr>
        <w:t>JAN-01-1998</w:t>
      </w:r>
    </w:p>
    <w:p>
      <w:pPr>
        <w:ind w:left="1760"/>
        <w:spacing w:after="0"/>
        <w:rPr>
          <w:sz w:val="20"/>
          <w:szCs w:val="20"/>
          <w:color w:val="auto"/>
        </w:rPr>
      </w:pPr>
      <w:r>
        <w:rPr>
          <w:rFonts w:ascii="Courier New" w:cs="Courier New" w:eastAsia="Courier New" w:hAnsi="Courier New"/>
          <w:sz w:val="18"/>
          <w:szCs w:val="18"/>
          <w:color w:val="auto"/>
        </w:rPr>
        <w:t>MAR-31-1998</w:t>
      </w:r>
    </w:p>
    <w:p>
      <w:pPr>
        <w:ind w:left="3240"/>
        <w:spacing w:after="0" w:line="238" w:lineRule="auto"/>
        <w:rPr>
          <w:sz w:val="20"/>
          <w:szCs w:val="20"/>
          <w:color w:val="auto"/>
        </w:rPr>
      </w:pPr>
      <w:r>
        <w:rPr>
          <w:rFonts w:ascii="Courier New" w:cs="Courier New" w:eastAsia="Courier New" w:hAnsi="Courier New"/>
          <w:sz w:val="18"/>
          <w:szCs w:val="18"/>
          <w:color w:val="auto"/>
        </w:rPr>
        <w:t>196</w:t>
      </w:r>
    </w:p>
    <w:p>
      <w:pPr>
        <w:ind w:left="2820"/>
        <w:spacing w:after="0"/>
        <w:rPr>
          <w:sz w:val="20"/>
          <w:szCs w:val="20"/>
          <w:color w:val="auto"/>
        </w:rPr>
      </w:pPr>
      <w:r>
        <w:rPr>
          <w:rFonts w:ascii="Courier New" w:cs="Courier New" w:eastAsia="Courier New" w:hAnsi="Courier New"/>
          <w:sz w:val="18"/>
          <w:szCs w:val="18"/>
          <w:color w:val="auto"/>
        </w:rPr>
        <w:t>0</w:t>
      </w:r>
    </w:p>
    <w:p>
      <w:pPr>
        <w:ind w:left="2180"/>
        <w:spacing w:after="0" w:line="238" w:lineRule="auto"/>
        <w:rPr>
          <w:sz w:val="20"/>
          <w:szCs w:val="20"/>
          <w:color w:val="auto"/>
        </w:rPr>
      </w:pPr>
      <w:r>
        <w:rPr>
          <w:rFonts w:ascii="Courier New" w:cs="Courier New" w:eastAsia="Courier New" w:hAnsi="Courier New"/>
          <w:sz w:val="18"/>
          <w:szCs w:val="18"/>
          <w:color w:val="auto"/>
        </w:rPr>
        <w:t>16,904</w:t>
      </w:r>
    </w:p>
    <w:p>
      <w:pPr>
        <w:ind w:left="2600"/>
        <w:spacing w:after="0"/>
        <w:rPr>
          <w:sz w:val="20"/>
          <w:szCs w:val="20"/>
          <w:color w:val="auto"/>
        </w:rPr>
      </w:pPr>
      <w:r>
        <w:rPr>
          <w:rFonts w:ascii="Courier New" w:cs="Courier New" w:eastAsia="Courier New" w:hAnsi="Courier New"/>
          <w:sz w:val="18"/>
          <w:szCs w:val="18"/>
          <w:color w:val="auto"/>
        </w:rPr>
        <w:t>315</w:t>
      </w:r>
    </w:p>
    <w:p>
      <w:pPr>
        <w:ind w:left="2380"/>
        <w:spacing w:after="0" w:line="238" w:lineRule="auto"/>
        <w:rPr>
          <w:sz w:val="20"/>
          <w:szCs w:val="20"/>
          <w:color w:val="auto"/>
        </w:rPr>
      </w:pPr>
      <w:r>
        <w:rPr>
          <w:rFonts w:ascii="Courier New" w:cs="Courier New" w:eastAsia="Courier New" w:hAnsi="Courier New"/>
          <w:sz w:val="18"/>
          <w:szCs w:val="18"/>
          <w:color w:val="auto"/>
        </w:rPr>
        <w:t>12,189</w:t>
      </w:r>
    </w:p>
    <w:p>
      <w:pPr>
        <w:ind w:left="1860"/>
        <w:spacing w:after="0"/>
        <w:rPr>
          <w:sz w:val="20"/>
          <w:szCs w:val="20"/>
          <w:color w:val="auto"/>
        </w:rPr>
      </w:pPr>
      <w:r>
        <w:rPr>
          <w:rFonts w:ascii="Courier New" w:cs="Courier New" w:eastAsia="Courier New" w:hAnsi="Courier New"/>
          <w:sz w:val="18"/>
          <w:szCs w:val="18"/>
          <w:color w:val="auto"/>
        </w:rPr>
        <w:t>30,047</w:t>
      </w:r>
    </w:p>
    <w:p>
      <w:pPr>
        <w:ind w:left="2920"/>
        <w:spacing w:after="0" w:line="238" w:lineRule="auto"/>
        <w:rPr>
          <w:sz w:val="20"/>
          <w:szCs w:val="20"/>
          <w:color w:val="auto"/>
        </w:rPr>
      </w:pPr>
      <w:r>
        <w:rPr>
          <w:rFonts w:ascii="Courier New" w:cs="Courier New" w:eastAsia="Courier New" w:hAnsi="Courier New"/>
          <w:sz w:val="18"/>
          <w:szCs w:val="18"/>
          <w:color w:val="auto"/>
        </w:rPr>
        <w:t>60,511</w:t>
      </w:r>
    </w:p>
    <w:p>
      <w:pPr>
        <w:ind w:left="2080"/>
        <w:spacing w:after="0"/>
        <w:rPr>
          <w:sz w:val="20"/>
          <w:szCs w:val="20"/>
          <w:color w:val="auto"/>
        </w:rPr>
      </w:pPr>
      <w:r>
        <w:rPr>
          <w:rFonts w:ascii="Courier New" w:cs="Courier New" w:eastAsia="Courier New" w:hAnsi="Courier New"/>
          <w:sz w:val="18"/>
          <w:szCs w:val="18"/>
          <w:color w:val="auto"/>
        </w:rPr>
        <w:t>23,641</w:t>
      </w:r>
    </w:p>
    <w:p>
      <w:pPr>
        <w:ind w:left="2080"/>
        <w:spacing w:after="0" w:line="238" w:lineRule="auto"/>
        <w:rPr>
          <w:sz w:val="20"/>
          <w:szCs w:val="20"/>
          <w:color w:val="auto"/>
        </w:rPr>
      </w:pPr>
      <w:r>
        <w:rPr>
          <w:rFonts w:ascii="Courier New" w:cs="Courier New" w:eastAsia="Courier New" w:hAnsi="Courier New"/>
          <w:sz w:val="18"/>
          <w:szCs w:val="18"/>
          <w:color w:val="auto"/>
        </w:rPr>
        <w:t>66,917</w:t>
      </w:r>
    </w:p>
    <w:p>
      <w:pPr>
        <w:ind w:left="1440"/>
        <w:spacing w:after="0"/>
        <w:rPr>
          <w:sz w:val="20"/>
          <w:szCs w:val="20"/>
          <w:color w:val="auto"/>
        </w:rPr>
      </w:pPr>
      <w:r>
        <w:rPr>
          <w:rFonts w:ascii="Courier New" w:cs="Courier New" w:eastAsia="Courier New" w:hAnsi="Courier New"/>
          <w:sz w:val="18"/>
          <w:szCs w:val="18"/>
          <w:color w:val="auto"/>
        </w:rPr>
        <w:t>9,895</w:t>
      </w:r>
    </w:p>
    <w:p>
      <w:pPr>
        <w:ind w:left="3340"/>
        <w:spacing w:after="0" w:line="238" w:lineRule="auto"/>
        <w:rPr>
          <w:sz w:val="20"/>
          <w:szCs w:val="20"/>
          <w:color w:val="auto"/>
        </w:rPr>
      </w:pPr>
      <w:r>
        <w:rPr>
          <w:rFonts w:ascii="Courier New" w:cs="Courier New" w:eastAsia="Courier New" w:hAnsi="Courier New"/>
          <w:sz w:val="18"/>
          <w:szCs w:val="18"/>
          <w:color w:val="auto"/>
        </w:rPr>
        <w:t>0</w:t>
      </w:r>
    </w:p>
    <w:p>
      <w:pPr>
        <w:ind w:left="1860"/>
        <w:spacing w:after="0"/>
        <w:rPr>
          <w:sz w:val="20"/>
          <w:szCs w:val="20"/>
          <w:color w:val="auto"/>
        </w:rPr>
      </w:pPr>
      <w:r>
        <w:rPr>
          <w:rFonts w:ascii="Courier New" w:cs="Courier New" w:eastAsia="Courier New" w:hAnsi="Courier New"/>
          <w:sz w:val="18"/>
          <w:szCs w:val="18"/>
          <w:color w:val="auto"/>
        </w:rPr>
        <w:t>0</w:t>
      </w:r>
    </w:p>
    <w:p>
      <w:pPr>
        <w:ind w:left="2920"/>
        <w:spacing w:after="0" w:line="238" w:lineRule="auto"/>
        <w:rPr>
          <w:sz w:val="20"/>
          <w:szCs w:val="20"/>
          <w:color w:val="auto"/>
        </w:rPr>
      </w:pPr>
      <w:r>
        <w:rPr>
          <w:rFonts w:ascii="Courier New" w:cs="Courier New" w:eastAsia="Courier New" w:hAnsi="Courier New"/>
          <w:sz w:val="18"/>
          <w:szCs w:val="18"/>
          <w:color w:val="auto"/>
        </w:rPr>
        <w:t>0</w:t>
      </w:r>
    </w:p>
    <w:p>
      <w:pPr>
        <w:ind w:left="3020"/>
        <w:spacing w:after="0"/>
        <w:rPr>
          <w:sz w:val="20"/>
          <w:szCs w:val="20"/>
          <w:color w:val="auto"/>
        </w:rPr>
      </w:pPr>
      <w:r>
        <w:rPr>
          <w:rFonts w:ascii="Courier New" w:cs="Courier New" w:eastAsia="Courier New" w:hAnsi="Courier New"/>
          <w:sz w:val="18"/>
          <w:szCs w:val="18"/>
          <w:color w:val="auto"/>
        </w:rPr>
        <w:t>149</w:t>
      </w:r>
    </w:p>
    <w:p>
      <w:pPr>
        <w:ind w:left="2500"/>
        <w:spacing w:after="0" w:line="238" w:lineRule="auto"/>
        <w:rPr>
          <w:sz w:val="20"/>
          <w:szCs w:val="20"/>
          <w:color w:val="auto"/>
        </w:rPr>
      </w:pPr>
      <w:r>
        <w:rPr>
          <w:rFonts w:ascii="Courier New" w:cs="Courier New" w:eastAsia="Courier New" w:hAnsi="Courier New"/>
          <w:sz w:val="18"/>
          <w:szCs w:val="18"/>
          <w:color w:val="auto"/>
        </w:rPr>
        <w:t>54,042</w:t>
      </w:r>
    </w:p>
    <w:p>
      <w:pPr>
        <w:ind w:left="600"/>
        <w:spacing w:after="0"/>
        <w:rPr>
          <w:sz w:val="20"/>
          <w:szCs w:val="20"/>
          <w:color w:val="auto"/>
        </w:rPr>
      </w:pPr>
      <w:r>
        <w:rPr>
          <w:rFonts w:ascii="Courier New" w:cs="Courier New" w:eastAsia="Courier New" w:hAnsi="Courier New"/>
          <w:sz w:val="18"/>
          <w:szCs w:val="18"/>
          <w:color w:val="auto"/>
        </w:rPr>
        <w:t>66,917</w:t>
      </w:r>
    </w:p>
    <w:p>
      <w:pPr>
        <w:ind w:left="2820"/>
        <w:spacing w:after="0" w:line="238" w:lineRule="auto"/>
        <w:rPr>
          <w:sz w:val="20"/>
          <w:szCs w:val="20"/>
          <w:color w:val="auto"/>
        </w:rPr>
      </w:pPr>
      <w:r>
        <w:rPr>
          <w:rFonts w:ascii="Courier New" w:cs="Courier New" w:eastAsia="Courier New" w:hAnsi="Courier New"/>
          <w:sz w:val="18"/>
          <w:szCs w:val="18"/>
          <w:color w:val="auto"/>
        </w:rPr>
        <w:t>20,886</w:t>
      </w:r>
    </w:p>
    <w:p>
      <w:pPr>
        <w:ind w:left="1860"/>
        <w:spacing w:after="0"/>
        <w:rPr>
          <w:sz w:val="20"/>
          <w:szCs w:val="20"/>
          <w:color w:val="auto"/>
        </w:rPr>
      </w:pPr>
      <w:r>
        <w:rPr>
          <w:rFonts w:ascii="Courier New" w:cs="Courier New" w:eastAsia="Courier New" w:hAnsi="Courier New"/>
          <w:sz w:val="18"/>
          <w:szCs w:val="18"/>
          <w:color w:val="auto"/>
        </w:rPr>
        <w:t>20,886</w:t>
      </w:r>
    </w:p>
    <w:p>
      <w:pPr>
        <w:jc w:val="right"/>
        <w:ind w:right="5359"/>
        <w:spacing w:after="0" w:line="238" w:lineRule="auto"/>
        <w:rPr>
          <w:sz w:val="20"/>
          <w:szCs w:val="20"/>
          <w:color w:val="auto"/>
        </w:rPr>
      </w:pPr>
      <w:r>
        <w:rPr>
          <w:rFonts w:ascii="Courier New" w:cs="Courier New" w:eastAsia="Courier New" w:hAnsi="Courier New"/>
          <w:sz w:val="18"/>
          <w:szCs w:val="18"/>
          <w:color w:val="auto"/>
        </w:rPr>
        <w:t>14,177</w:t>
      </w:r>
    </w:p>
    <w:p>
      <w:pPr>
        <w:ind w:left="2180"/>
        <w:spacing w:after="0"/>
        <w:rPr>
          <w:sz w:val="20"/>
          <w:szCs w:val="20"/>
          <w:color w:val="auto"/>
        </w:rPr>
      </w:pPr>
      <w:r>
        <w:rPr>
          <w:rFonts w:ascii="Courier New" w:cs="Courier New" w:eastAsia="Courier New" w:hAnsi="Courier New"/>
          <w:sz w:val="18"/>
          <w:szCs w:val="18"/>
          <w:color w:val="auto"/>
        </w:rPr>
        <w:t>14,177</w:t>
      </w:r>
    </w:p>
    <w:p>
      <w:pPr>
        <w:ind w:left="1960"/>
        <w:spacing w:after="0" w:line="238" w:lineRule="auto"/>
        <w:rPr>
          <w:sz w:val="20"/>
          <w:szCs w:val="20"/>
          <w:color w:val="auto"/>
        </w:rPr>
      </w:pPr>
      <w:r>
        <w:rPr>
          <w:rFonts w:ascii="Courier New" w:cs="Courier New" w:eastAsia="Courier New" w:hAnsi="Courier New"/>
          <w:sz w:val="18"/>
          <w:szCs w:val="18"/>
          <w:color w:val="auto"/>
        </w:rPr>
        <w:t>4,246</w:t>
      </w:r>
    </w:p>
    <w:p>
      <w:pPr>
        <w:ind w:left="2380"/>
        <w:spacing w:after="0"/>
        <w:rPr>
          <w:sz w:val="20"/>
          <w:szCs w:val="20"/>
          <w:color w:val="auto"/>
        </w:rPr>
      </w:pPr>
      <w:r>
        <w:rPr>
          <w:rFonts w:ascii="Courier New" w:cs="Courier New" w:eastAsia="Courier New" w:hAnsi="Courier New"/>
          <w:sz w:val="18"/>
          <w:szCs w:val="18"/>
          <w:color w:val="auto"/>
        </w:rPr>
        <w:t>0</w:t>
      </w:r>
    </w:p>
    <w:p>
      <w:pPr>
        <w:ind w:left="2080"/>
        <w:spacing w:after="0" w:line="238" w:lineRule="auto"/>
        <w:rPr>
          <w:sz w:val="20"/>
          <w:szCs w:val="20"/>
          <w:color w:val="auto"/>
        </w:rPr>
      </w:pPr>
      <w:r>
        <w:rPr>
          <w:rFonts w:ascii="Courier New" w:cs="Courier New" w:eastAsia="Courier New" w:hAnsi="Courier New"/>
          <w:sz w:val="18"/>
          <w:szCs w:val="18"/>
          <w:color w:val="auto"/>
        </w:rPr>
        <w:t>15</w:t>
      </w:r>
    </w:p>
    <w:p>
      <w:pPr>
        <w:ind w:left="2080"/>
        <w:spacing w:after="0"/>
        <w:rPr>
          <w:sz w:val="20"/>
          <w:szCs w:val="20"/>
          <w:color w:val="auto"/>
        </w:rPr>
      </w:pPr>
      <w:r>
        <w:rPr>
          <w:rFonts w:ascii="Courier New" w:cs="Courier New" w:eastAsia="Courier New" w:hAnsi="Courier New"/>
          <w:sz w:val="18"/>
          <w:szCs w:val="18"/>
          <w:color w:val="auto"/>
        </w:rPr>
        <w:t>4,231</w:t>
      </w:r>
    </w:p>
    <w:p>
      <w:pPr>
        <w:ind w:left="2380"/>
        <w:spacing w:after="0" w:line="238" w:lineRule="auto"/>
        <w:rPr>
          <w:sz w:val="20"/>
          <w:szCs w:val="20"/>
          <w:color w:val="auto"/>
        </w:rPr>
      </w:pPr>
      <w:r>
        <w:rPr>
          <w:rFonts w:ascii="Courier New" w:cs="Courier New" w:eastAsia="Courier New" w:hAnsi="Courier New"/>
          <w:sz w:val="18"/>
          <w:szCs w:val="18"/>
          <w:color w:val="auto"/>
        </w:rPr>
        <w:t>1,564</w:t>
      </w:r>
    </w:p>
    <w:p>
      <w:pPr>
        <w:ind w:left="1660"/>
        <w:spacing w:after="0"/>
        <w:rPr>
          <w:sz w:val="20"/>
          <w:szCs w:val="20"/>
          <w:color w:val="auto"/>
        </w:rPr>
      </w:pPr>
      <w:r>
        <w:rPr>
          <w:rFonts w:ascii="Courier New" w:cs="Courier New" w:eastAsia="Courier New" w:hAnsi="Courier New"/>
          <w:sz w:val="18"/>
          <w:szCs w:val="18"/>
          <w:color w:val="auto"/>
        </w:rPr>
        <w:t>2,667</w:t>
      </w:r>
    </w:p>
    <w:p>
      <w:pPr>
        <w:ind w:left="2600"/>
        <w:spacing w:after="0" w:line="238" w:lineRule="auto"/>
        <w:rPr>
          <w:sz w:val="20"/>
          <w:szCs w:val="20"/>
          <w:color w:val="auto"/>
        </w:rPr>
      </w:pPr>
      <w:r>
        <w:rPr>
          <w:rFonts w:ascii="Courier New" w:cs="Courier New" w:eastAsia="Courier New" w:hAnsi="Courier New"/>
          <w:sz w:val="18"/>
          <w:szCs w:val="18"/>
          <w:color w:val="auto"/>
        </w:rPr>
        <w:t>0</w:t>
      </w:r>
    </w:p>
    <w:p>
      <w:pPr>
        <w:ind w:left="2500"/>
        <w:spacing w:after="0"/>
        <w:rPr>
          <w:sz w:val="20"/>
          <w:szCs w:val="20"/>
          <w:color w:val="auto"/>
        </w:rPr>
      </w:pPr>
      <w:r>
        <w:rPr>
          <w:rFonts w:ascii="Courier New" w:cs="Courier New" w:eastAsia="Courier New" w:hAnsi="Courier New"/>
          <w:sz w:val="18"/>
          <w:szCs w:val="18"/>
          <w:color w:val="auto"/>
        </w:rPr>
        <w:t>0</w:t>
      </w:r>
    </w:p>
    <w:p>
      <w:pPr>
        <w:ind w:left="3120"/>
        <w:spacing w:after="0" w:line="238" w:lineRule="auto"/>
        <w:rPr>
          <w:sz w:val="20"/>
          <w:szCs w:val="20"/>
          <w:color w:val="auto"/>
        </w:rPr>
      </w:pPr>
      <w:r>
        <w:rPr>
          <w:rFonts w:ascii="Courier New" w:cs="Courier New" w:eastAsia="Courier New" w:hAnsi="Courier New"/>
          <w:sz w:val="18"/>
          <w:szCs w:val="18"/>
          <w:color w:val="auto"/>
        </w:rPr>
        <w:t>0</w:t>
      </w:r>
    </w:p>
    <w:p>
      <w:pPr>
        <w:ind w:left="2380"/>
        <w:spacing w:after="0"/>
        <w:rPr>
          <w:sz w:val="20"/>
          <w:szCs w:val="20"/>
          <w:color w:val="auto"/>
        </w:rPr>
      </w:pPr>
      <w:r>
        <w:rPr>
          <w:rFonts w:ascii="Courier New" w:cs="Courier New" w:eastAsia="Courier New" w:hAnsi="Courier New"/>
          <w:sz w:val="18"/>
          <w:szCs w:val="18"/>
          <w:color w:val="auto"/>
        </w:rPr>
        <w:t>2,667</w:t>
      </w:r>
    </w:p>
    <w:p>
      <w:pPr>
        <w:ind w:left="2380"/>
        <w:spacing w:after="0" w:line="238" w:lineRule="auto"/>
        <w:rPr>
          <w:sz w:val="20"/>
          <w:szCs w:val="20"/>
          <w:color w:val="auto"/>
        </w:rPr>
      </w:pPr>
      <w:r>
        <w:rPr>
          <w:rFonts w:ascii="Courier New" w:cs="Courier New" w:eastAsia="Courier New" w:hAnsi="Courier New"/>
          <w:sz w:val="18"/>
          <w:szCs w:val="18"/>
          <w:color w:val="auto"/>
        </w:rPr>
        <w:t>0.18</w:t>
      </w:r>
    </w:p>
    <w:p>
      <w:pPr>
        <w:ind w:left="2380"/>
        <w:spacing w:after="0"/>
        <w:rPr>
          <w:sz w:val="20"/>
          <w:szCs w:val="20"/>
          <w:color w:val="auto"/>
        </w:rPr>
      </w:pPr>
      <w:r>
        <w:rPr>
          <w:rFonts w:ascii="Courier New" w:cs="Courier New" w:eastAsia="Courier New" w:hAnsi="Courier New"/>
          <w:sz w:val="18"/>
          <w:szCs w:val="18"/>
          <w:color w:val="auto"/>
        </w:rPr>
        <w:t>0.18</w:t>
      </w:r>
    </w:p>
    <w:sectPr>
      <w:pgSz w:w="11900" w:h="16838" w:orient="portrait"/>
      <w:cols w:equalWidth="0" w:num="1">
        <w:col w:w="9019"/>
      </w:cols>
      <w:pgMar w:left="1440" w:top="7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Roman"/>
      <w:start w:val="5"/>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2019-12-14T03:10:46Z</dcterms:created>
  <dcterms:modified xsi:type="dcterms:W3CDTF">2019-12-14T03:10:46Z</dcterms:modified>
</cp:coreProperties>
</file>