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April 24, 2003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0"/>
            <w:col w:w="5159"/>
          </w:cols>
          <w:pgMar w:left="240" w:top="649" w:right="1440"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20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0-23486</w:t>
            </w:r>
          </w:p>
        </w:tc>
        <w:tc>
          <w:tcPr>
            <w:tcW w:w="216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560" w:val="left"/>
          <w:tab w:leader="none" w:pos="66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540"/>
        <w:spacing w:after="0"/>
        <w:tabs>
          <w:tab w:leader="none" w:pos="3560" w:val="left"/>
          <w:tab w:leader="none" w:pos="64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280" w:space="0"/>
            <w:col w:w="4939"/>
          </w:cols>
          <w:pgMar w:left="240" w:top="649"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357505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5.</w:t>
      </w:r>
      <w:r>
        <w:rPr>
          <w:sz w:val="20"/>
          <w:szCs w:val="20"/>
          <w:color w:val="auto"/>
        </w:rPr>
        <w:tab/>
      </w:r>
      <w:r>
        <w:rPr>
          <w:rFonts w:ascii="Courier New" w:cs="Courier New" w:eastAsia="Courier New" w:hAnsi="Courier New"/>
          <w:sz w:val="16"/>
          <w:szCs w:val="16"/>
          <w:b w:val="1"/>
          <w:bCs w:val="1"/>
          <w:color w:val="auto"/>
        </w:rPr>
        <w:t>Other Events and Regulation FD Disclosure.</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On April 24, 2003, the Company issued a press release announcing its earnings for the first quarter of 2003. A copy of the press release is attached as Exhibit 99.1 hereto and incorporated herein by reference.</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7" w:lineRule="exact"/>
        <w:rPr>
          <w:sz w:val="24"/>
          <w:szCs w:val="24"/>
          <w:color w:val="auto"/>
        </w:rPr>
      </w:pPr>
    </w:p>
    <w:p>
      <w:pPr>
        <w:ind w:left="960" w:right="3159" w:hanging="4"/>
        <w:spacing w:after="0" w:line="470" w:lineRule="auto"/>
        <w:tabs>
          <w:tab w:leader="none" w:pos="159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 99.1 Press Release dated April 24,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104775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4"/>
          <w:szCs w:val="24"/>
          <w:color w:val="auto"/>
        </w:rPr>
      </w:pPr>
    </w:p>
    <w:p>
      <w:pPr>
        <w:spacing w:after="0" w:line="209"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Date: April 24, 2003</w:t>
      </w:r>
    </w:p>
    <w:p>
      <w:pPr>
        <w:jc w:val="center"/>
        <w:ind w:right="-320"/>
        <w:spacing w:after="0" w:line="238" w:lineRule="auto"/>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3660"/>
        <w:spacing w:after="0"/>
        <w:tabs>
          <w:tab w:leader="none" w:pos="41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William C. Kelly, Jr.</w:t>
      </w:r>
    </w:p>
    <w:p>
      <w:pPr>
        <w:spacing w:after="0" w:line="4"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80"/>
        <w:spacing w:after="0"/>
        <w:rPr>
          <w:sz w:val="20"/>
          <w:szCs w:val="20"/>
          <w:color w:val="auto"/>
        </w:rPr>
      </w:pPr>
      <w:r>
        <w:rPr>
          <w:rFonts w:ascii="Courier New" w:cs="Courier New" w:eastAsia="Courier New" w:hAnsi="Courier New"/>
          <w:sz w:val="18"/>
          <w:szCs w:val="18"/>
          <w:color w:val="auto"/>
        </w:rPr>
        <w:t>William C. Kelly, Jr.,</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6"/>
          <w:szCs w:val="16"/>
          <w:color w:val="auto"/>
        </w:rPr>
        <w:t>Treasurer, Secretary and Chief</w:t>
      </w:r>
    </w:p>
    <w:p>
      <w:pPr>
        <w:spacing w:after="0" w:line="16" w:lineRule="exact"/>
        <w:rPr>
          <w:sz w:val="20"/>
          <w:szCs w:val="20"/>
          <w:color w:val="auto"/>
        </w:rPr>
      </w:pPr>
    </w:p>
    <w:p>
      <w:pPr>
        <w:ind w:left="4180"/>
        <w:spacing w:after="0"/>
        <w:rPr>
          <w:sz w:val="20"/>
          <w:szCs w:val="20"/>
          <w:color w:val="auto"/>
        </w:rPr>
      </w:pPr>
      <w:r>
        <w:rPr>
          <w:rFonts w:ascii="Courier New" w:cs="Courier New" w:eastAsia="Courier New" w:hAnsi="Courier New"/>
          <w:sz w:val="18"/>
          <w:szCs w:val="18"/>
          <w:color w:val="auto"/>
        </w:rPr>
        <w:t>Accounting Officer</w:t>
      </w:r>
    </w:p>
    <w:p>
      <w:pPr>
        <w:sectPr>
          <w:pgSz w:w="11900" w:h="16838" w:orient="portrait"/>
          <w:cols w:equalWidth="0" w:num="1">
            <w:col w:w="9019"/>
          </w:cols>
          <w:pgMar w:left="1440" w:top="339" w:right="1440" w:bottom="1440" w:gutter="0" w:footer="0" w:header="0"/>
        </w:sectPr>
      </w:pPr>
    </w:p>
    <w:bookmarkStart w:id="2" w:name="page3"/>
    <w:bookmarkEnd w:id="2"/>
    <w:p>
      <w:pPr>
        <w:spacing w:after="0" w:line="3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4874260</wp:posOffset>
            </wp:positionH>
            <wp:positionV relativeFrom="page">
              <wp:posOffset>457835</wp:posOffset>
            </wp:positionV>
            <wp:extent cx="252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171513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gridSpan w:val="3"/>
          </w:tcPr>
          <w:p>
            <w:pPr>
              <w:ind w:left="840"/>
              <w:spacing w:after="0"/>
              <w:rPr>
                <w:sz w:val="20"/>
                <w:szCs w:val="20"/>
                <w:color w:val="auto"/>
              </w:rPr>
            </w:pPr>
            <w:r>
              <w:rPr>
                <w:rFonts w:ascii="Courier New" w:cs="Courier New" w:eastAsia="Courier New" w:hAnsi="Courier New"/>
                <w:sz w:val="18"/>
                <w:szCs w:val="18"/>
                <w:color w:val="auto"/>
              </w:rPr>
              <w:t>RE: NN, Inc.</w:t>
            </w:r>
          </w:p>
        </w:tc>
      </w:tr>
      <w:tr>
        <w:trPr>
          <w:trHeight w:val="203"/>
        </w:trPr>
        <w:tc>
          <w:tcPr>
            <w:tcW w:w="14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2000 Waters Edge Drive</w:t>
            </w:r>
          </w:p>
        </w:tc>
      </w:tr>
      <w:tr>
        <w:trPr>
          <w:trHeight w:val="203"/>
        </w:trPr>
        <w:tc>
          <w:tcPr>
            <w:tcW w:w="14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Johnson City, TN  37604</w:t>
            </w:r>
          </w:p>
        </w:tc>
      </w:tr>
      <w:tr>
        <w:trPr>
          <w:trHeight w:val="608"/>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FOR FURTHER INFORMATION:</w:t>
            </w: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7"/>
        </w:trPr>
        <w:tc>
          <w:tcPr>
            <w:tcW w:w="4640" w:type="dxa"/>
            <w:vAlign w:val="bottom"/>
            <w:gridSpan w:val="2"/>
          </w:tcPr>
          <w:p>
            <w:pPr>
              <w:spacing w:after="0"/>
              <w:rPr>
                <w:sz w:val="20"/>
                <w:szCs w:val="20"/>
                <w:color w:val="auto"/>
              </w:rPr>
            </w:pPr>
            <w:r>
              <w:rPr>
                <w:rFonts w:ascii="Courier New" w:cs="Courier New" w:eastAsia="Courier New" w:hAnsi="Courier New"/>
                <w:sz w:val="18"/>
                <w:szCs w:val="18"/>
                <w:b w:val="1"/>
                <w:bCs w:val="1"/>
                <w:color w:val="auto"/>
              </w:rPr>
              <w:t>AT THE COMPANY</w:t>
            </w:r>
          </w:p>
        </w:tc>
        <w:tc>
          <w:tcPr>
            <w:tcW w:w="3700" w:type="dxa"/>
            <w:vAlign w:val="bottom"/>
            <w:gridSpan w:val="4"/>
          </w:tcPr>
          <w:p>
            <w:pPr>
              <w:ind w:left="320"/>
              <w:spacing w:after="0"/>
              <w:rPr>
                <w:sz w:val="20"/>
                <w:szCs w:val="20"/>
                <w:color w:val="auto"/>
              </w:rPr>
            </w:pPr>
            <w:r>
              <w:rPr>
                <w:rFonts w:ascii="Courier New" w:cs="Courier New" w:eastAsia="Courier New" w:hAnsi="Courier New"/>
                <w:sz w:val="18"/>
                <w:szCs w:val="18"/>
                <w:b w:val="1"/>
                <w:bCs w:val="1"/>
                <w:color w:val="auto"/>
              </w:rPr>
              <w:t>AT FRB|WEBER SHANDWICK</w:t>
            </w:r>
          </w:p>
        </w:tc>
      </w:tr>
      <w:tr>
        <w:trPr>
          <w:trHeight w:val="20"/>
        </w:trPr>
        <w:tc>
          <w:tcPr>
            <w:tcW w:w="14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1"/>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Will Kelly</w:t>
            </w:r>
          </w:p>
        </w:tc>
        <w:tc>
          <w:tcPr>
            <w:tcW w:w="3160" w:type="dxa"/>
            <w:vAlign w:val="bottom"/>
          </w:tcPr>
          <w:p>
            <w:pPr>
              <w:spacing w:after="0"/>
              <w:rPr>
                <w:sz w:val="19"/>
                <w:szCs w:val="19"/>
                <w:color w:val="auto"/>
              </w:rPr>
            </w:pPr>
          </w:p>
        </w:tc>
        <w:tc>
          <w:tcPr>
            <w:tcW w:w="20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Kerry Thalheim</w:t>
            </w:r>
          </w:p>
        </w:tc>
        <w:tc>
          <w:tcPr>
            <w:tcW w:w="17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Susan Garland</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Treasurer &amp; Manager of Investor Relations</w:t>
            </w:r>
          </w:p>
        </w:tc>
        <w:tc>
          <w:tcPr>
            <w:tcW w:w="20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(General info)</w:t>
            </w:r>
          </w:p>
        </w:tc>
        <w:tc>
          <w:tcPr>
            <w:tcW w:w="1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(Analyst info)</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(423) 743-9151</w:t>
            </w:r>
          </w:p>
        </w:tc>
        <w:tc>
          <w:tcPr>
            <w:tcW w:w="3160" w:type="dxa"/>
            <w:vAlign w:val="bottom"/>
          </w:tcPr>
          <w:p>
            <w:pPr>
              <w:spacing w:after="0"/>
              <w:rPr>
                <w:sz w:val="17"/>
                <w:szCs w:val="17"/>
                <w:color w:val="auto"/>
              </w:rPr>
            </w:pPr>
          </w:p>
        </w:tc>
        <w:tc>
          <w:tcPr>
            <w:tcW w:w="20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212-445-8437</w:t>
            </w:r>
          </w:p>
        </w:tc>
        <w:tc>
          <w:tcPr>
            <w:tcW w:w="1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212-445-8458</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April 24, 2003</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b w:val="1"/>
          <w:bCs w:val="1"/>
          <w:color w:val="auto"/>
        </w:rPr>
        <w:t>NN, INC. GENERATES EARNINGS PER SHARE IMPROVEMENT OF 91.7% ON REVENUE GROWTH</w:t>
      </w:r>
    </w:p>
    <w:p>
      <w:pPr>
        <w:jc w:val="center"/>
        <w:ind w:right="1879"/>
        <w:spacing w:after="0" w:line="238" w:lineRule="auto"/>
        <w:rPr>
          <w:sz w:val="20"/>
          <w:szCs w:val="20"/>
          <w:color w:val="auto"/>
        </w:rPr>
      </w:pPr>
      <w:r>
        <w:rPr>
          <w:rFonts w:ascii="Courier New" w:cs="Courier New" w:eastAsia="Courier New" w:hAnsi="Courier New"/>
          <w:sz w:val="18"/>
          <w:szCs w:val="18"/>
          <w:b w:val="1"/>
          <w:bCs w:val="1"/>
          <w:color w:val="auto"/>
        </w:rPr>
        <w:t>OF 22.1% IN THE FIRST QUARTER OF 2003</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b w:val="1"/>
          <w:bCs w:val="1"/>
          <w:color w:val="auto"/>
        </w:rPr>
        <w:t xml:space="preserve">Johnson City, Tenn., April 24, 2003 </w:t>
      </w:r>
      <w:r>
        <w:rPr>
          <w:rFonts w:ascii="Courier New" w:cs="Courier New" w:eastAsia="Courier New" w:hAnsi="Courier New"/>
          <w:sz w:val="18"/>
          <w:szCs w:val="18"/>
          <w:color w:val="auto"/>
        </w:rPr>
        <w:t>- NN, Inc. (Nasdaq: NNBR) today reported its</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financial results for the first quarter ended March 31, 2003. Net sales for the first quarter of 2003 reached $57.6 million, up 22.1% from $47.2 million for the same period of 2002. Net income for the first quarter of 2003 totaled $3.6 million or $0.23 per share as compared to $1.8 million or $0.12 per share for the first quarter of 2002.</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David L. Dyckman, Chief Financial Officer, commented, "This is the fourth consecutive quarter that we have experienced year-over-year improvement in revenues and earnings. However, it is important to note that approximately 50% of the $10.4 million increase in revenues was attributable to favorable currency fluctuations. The remainder of the increase consists of overall improvements in demand and new program developments.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a percentage of net sales, the gross profit margin was 25.8% in the first quarter of 2003 versus 24.7% in the first quarter of 2002 and 24.8% in the fourth quarter of 2002. This improvement over the prior year reflects the continuing benefit of the initiatives to lower our cost structure and the associated benefits of higher volumes and inventory builds. Similarly, selling, general and administrative expenses for the first quarter of 2003 declined to 8.0% as a percentage of net sales compared to 9.5% for the same period in the prior year.</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earnings per share of $0.23 exceeded our previous first quarter guidance of $0.16 to $0.18 per share. Driving these better than expected results were three principle factors: volume increases, favorable currency exchange rates, and increases in inventory levels.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"Our revenue growth in the first quarter resulted in incremental working capital needs. This was evidenced by significant increases in accounts receivable, inventories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229870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accounts payable balances during the quarter. Correspondingly, our debt increased $0.1 million from $53.1 million at year end to $53.2 million at the end of the first quarter. Net of cash, our debt increased by $2.0 million. We anticipate our operating cash flow results will improve in subsequent quarters and remain committed to a reduction of debt (excluding the impact of any pending acquisitions) of $11.0 million for 2003", added Mr. Dyckman.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Roderick R. Baty, Chairman and Chief Executive Officer, stated, "We are pleased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our results for the first quarter. We experienced solid growth in a</w:t>
      </w:r>
    </w:p>
    <w:p>
      <w:pPr>
        <w:spacing w:after="0" w:line="238" w:lineRule="auto"/>
        <w:rPr>
          <w:sz w:val="20"/>
          <w:szCs w:val="20"/>
          <w:color w:val="auto"/>
        </w:rPr>
      </w:pPr>
      <w:r>
        <w:rPr>
          <w:rFonts w:ascii="Courier New" w:cs="Courier New" w:eastAsia="Courier New" w:hAnsi="Courier New"/>
          <w:sz w:val="18"/>
          <w:szCs w:val="18"/>
          <w:color w:val="auto"/>
        </w:rPr>
        <w:t>sluggish global economic environment. Looking forward, we remain cautious</w:t>
      </w:r>
    </w:p>
    <w:p>
      <w:pPr>
        <w:spacing w:after="0"/>
        <w:rPr>
          <w:sz w:val="20"/>
          <w:szCs w:val="20"/>
          <w:color w:val="auto"/>
        </w:rPr>
      </w:pPr>
      <w:r>
        <w:rPr>
          <w:rFonts w:ascii="Courier New" w:cs="Courier New" w:eastAsia="Courier New" w:hAnsi="Courier New"/>
          <w:sz w:val="18"/>
          <w:szCs w:val="18"/>
          <w:color w:val="auto"/>
        </w:rPr>
        <w:t>regarding the balance of 2003. However, we continue to believe our businesses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well positioned to achieve good results in the current economic environment.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Consequently, we anticipate second quarter earnings to be in the range of $0.18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$0.19 per share on revenues of approximately $55.0 million. Adjusting for our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favorable first quarter actual results, we expect the 2003 full year earnings</w:t>
      </w:r>
    </w:p>
    <w:p>
      <w:pPr>
        <w:spacing w:after="0" w:line="238" w:lineRule="auto"/>
        <w:rPr>
          <w:sz w:val="20"/>
          <w:szCs w:val="20"/>
          <w:color w:val="auto"/>
        </w:rPr>
      </w:pPr>
      <w:r>
        <w:rPr>
          <w:rFonts w:ascii="Courier New" w:cs="Courier New" w:eastAsia="Courier New" w:hAnsi="Courier New"/>
          <w:sz w:val="18"/>
          <w:szCs w:val="18"/>
          <w:color w:val="auto"/>
        </w:rPr>
        <w:t>per share to be in the range of $0.73 to $0.76 on revenues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$215.0 million. These estimates exclude accretion from any pending acquisitions.</w:t>
      </w:r>
    </w:p>
    <w:p>
      <w:pPr>
        <w:sectPr>
          <w:pgSz w:w="11900" w:h="16838" w:orient="portrait"/>
          <w:cols w:equalWidth="0" w:num="1">
            <w:col w:w="10219"/>
          </w:cols>
          <w:pgMar w:left="240" w:top="1440" w:right="1440" w:bottom="0" w:gutter="0" w:footer="0" w:header="0"/>
        </w:sectPr>
      </w:pPr>
    </w:p>
    <w:bookmarkStart w:id="3" w:name="page4"/>
    <w:bookmarkEnd w:id="3"/>
    <w:p>
      <w:pPr>
        <w:spacing w:after="0" w:line="57" w:lineRule="exact"/>
        <w:rPr>
          <w:sz w:val="20"/>
          <w:szCs w:val="20"/>
          <w:color w:val="auto"/>
        </w:rPr>
      </w:pPr>
    </w:p>
    <w:p>
      <w:pPr>
        <w:jc w:val="both"/>
        <w:ind w:right="3080"/>
        <w:spacing w:after="0" w:line="236" w:lineRule="auto"/>
        <w:rPr>
          <w:sz w:val="20"/>
          <w:szCs w:val="20"/>
          <w:color w:val="auto"/>
        </w:rPr>
      </w:pPr>
      <w:r>
        <w:rPr>
          <w:rFonts w:ascii="Courier New" w:cs="Courier New" w:eastAsia="Courier New" w:hAnsi="Courier New"/>
          <w:sz w:val="18"/>
          <w:szCs w:val="18"/>
          <w:color w:val="auto"/>
        </w:rPr>
        <w:t>"Finally, we are in the final stages of negotiations regarding the acquisitions of SKF's 23% ownership stake in NN Euroball as well as SKF's tapered roller and metal cage business in Veenendaal, The Netherlands."</w:t>
      </w:r>
    </w:p>
    <w:p>
      <w:pPr>
        <w:spacing w:after="0" w:line="209" w:lineRule="exact"/>
        <w:rPr>
          <w:sz w:val="20"/>
          <w:szCs w:val="20"/>
          <w:color w:val="auto"/>
        </w:rPr>
      </w:pPr>
    </w:p>
    <w:p>
      <w:pPr>
        <w:ind w:right="3080"/>
        <w:spacing w:after="0" w:line="275" w:lineRule="auto"/>
        <w:rPr>
          <w:sz w:val="20"/>
          <w:szCs w:val="20"/>
          <w:color w:val="auto"/>
        </w:rPr>
      </w:pPr>
      <w:r>
        <w:rPr>
          <w:rFonts w:ascii="Courier New" w:cs="Courier New" w:eastAsia="Courier New" w:hAnsi="Courier New"/>
          <w:sz w:val="16"/>
          <w:szCs w:val="16"/>
          <w:color w:val="auto"/>
        </w:rPr>
        <w:t>NN, Inc. manufactures and supplies high precision bearing components consisting of balls, rollers, seals, and retainers for leading bearing manufacturers on a global basis. In addition, the Company manufactures a variety of other plastic components. NN, Inc. had sales of US $193 million in 2002.</w:t>
      </w:r>
    </w:p>
    <w:p>
      <w:pPr>
        <w:spacing w:after="0" w:line="182" w:lineRule="exact"/>
        <w:rPr>
          <w:sz w:val="20"/>
          <w:szCs w:val="20"/>
          <w:color w:val="auto"/>
        </w:rPr>
      </w:pPr>
    </w:p>
    <w:p>
      <w:pPr>
        <w:ind w:right="2980"/>
        <w:spacing w:after="0" w:line="238" w:lineRule="auto"/>
        <w:rPr>
          <w:sz w:val="20"/>
          <w:szCs w:val="20"/>
          <w:color w:val="auto"/>
        </w:rPr>
      </w:pPr>
      <w:r>
        <w:rPr>
          <w:rFonts w:ascii="Courier New" w:cs="Courier New" w:eastAsia="Courier New" w:hAnsi="Courier New"/>
          <w:sz w:val="18"/>
          <w:szCs w:val="18"/>
          <w:i w:val="1"/>
          <w:iCs w:val="1"/>
          <w:color w:val="auto"/>
        </w:rPr>
        <w:t>The anticipated second quarter and full year 2003 earnings and the pending acquisitions with SKF are forward-looking statements that are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2002.</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b w:val="1"/>
          <w:bCs w:val="1"/>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228600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980"/>
        <w:spacing w:after="0"/>
        <w:rPr>
          <w:sz w:val="20"/>
          <w:szCs w:val="20"/>
          <w:color w:val="auto"/>
        </w:rPr>
      </w:pPr>
      <w:r>
        <w:rPr>
          <w:rFonts w:ascii="Courier New" w:cs="Courier New" w:eastAsia="Courier New" w:hAnsi="Courier New"/>
          <w:sz w:val="18"/>
          <w:szCs w:val="18"/>
          <w:b w:val="1"/>
          <w:bCs w:val="1"/>
          <w:color w:val="auto"/>
        </w:rPr>
        <w:t>NN, Inc.</w:t>
      </w:r>
    </w:p>
    <w:p>
      <w:pPr>
        <w:jc w:val="center"/>
        <w:ind w:right="2980"/>
        <w:spacing w:after="0" w:line="238" w:lineRule="auto"/>
        <w:rPr>
          <w:sz w:val="20"/>
          <w:szCs w:val="20"/>
          <w:color w:val="auto"/>
        </w:rPr>
      </w:pPr>
      <w:r>
        <w:rPr>
          <w:rFonts w:ascii="Courier New" w:cs="Courier New" w:eastAsia="Courier New" w:hAnsi="Courier New"/>
          <w:sz w:val="18"/>
          <w:szCs w:val="18"/>
          <w:b w:val="1"/>
          <w:bCs w:val="1"/>
          <w:color w:val="auto"/>
        </w:rPr>
        <w:t>Condensed Statements of Income</w:t>
      </w:r>
    </w:p>
    <w:p>
      <w:pPr>
        <w:jc w:val="center"/>
        <w:ind w:right="2980"/>
        <w:spacing w:after="0"/>
        <w:rPr>
          <w:sz w:val="20"/>
          <w:szCs w:val="20"/>
          <w:color w:val="auto"/>
        </w:rPr>
      </w:pPr>
      <w:r>
        <w:rPr>
          <w:rFonts w:ascii="Courier New" w:cs="Courier New" w:eastAsia="Courier New" w:hAnsi="Courier New"/>
          <w:sz w:val="18"/>
          <w:szCs w:val="18"/>
          <w:b w:val="1"/>
          <w:bCs w:val="1"/>
          <w:color w:val="auto"/>
        </w:rPr>
        <w:t>(In Thousands, except per share amounts)</w:t>
      </w:r>
    </w:p>
    <w:tbl>
      <w:tblPr>
        <w:tblLayout w:type="fixed"/>
        <w:tblInd w:w="0" w:type="dxa"/>
        <w:tblCellMar>
          <w:top w:w="0" w:type="dxa"/>
          <w:left w:w="0" w:type="dxa"/>
          <w:bottom w:w="0" w:type="dxa"/>
          <w:right w:w="0" w:type="dxa"/>
        </w:tblCellMar>
      </w:tblPr>
      <w:tr>
        <w:trPr>
          <w:trHeight w:val="202"/>
        </w:trPr>
        <w:tc>
          <w:tcPr>
            <w:tcW w:w="5740" w:type="dxa"/>
            <w:vAlign w:val="bottom"/>
          </w:tcPr>
          <w:p>
            <w:pPr>
              <w:ind w:left="3700"/>
              <w:spacing w:after="0" w:line="202" w:lineRule="exact"/>
              <w:rPr>
                <w:sz w:val="20"/>
                <w:szCs w:val="20"/>
                <w:color w:val="auto"/>
              </w:rPr>
            </w:pPr>
            <w:r>
              <w:rPr>
                <w:rFonts w:ascii="Courier New" w:cs="Courier New" w:eastAsia="Courier New" w:hAnsi="Courier New"/>
                <w:sz w:val="18"/>
                <w:szCs w:val="18"/>
                <w:b w:val="1"/>
                <w:bCs w:val="1"/>
                <w:color w:val="auto"/>
              </w:rPr>
              <w:t>(Unaudited)</w:t>
            </w: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5"/>
        </w:trPr>
        <w:tc>
          <w:tcPr>
            <w:tcW w:w="5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20" w:type="dxa"/>
            <w:vAlign w:val="bottom"/>
            <w:gridSpan w:val="3"/>
          </w:tcPr>
          <w:p>
            <w:pPr>
              <w:jc w:val="right"/>
              <w:ind w:right="2052"/>
              <w:spacing w:after="0"/>
              <w:rPr>
                <w:sz w:val="20"/>
                <w:szCs w:val="20"/>
                <w:color w:val="auto"/>
              </w:rPr>
            </w:pPr>
            <w:r>
              <w:rPr>
                <w:rFonts w:ascii="Courier New" w:cs="Courier New" w:eastAsia="Courier New" w:hAnsi="Courier New"/>
                <w:sz w:val="18"/>
                <w:szCs w:val="18"/>
                <w:b w:val="1"/>
                <w:bCs w:val="1"/>
                <w:color w:val="auto"/>
              </w:rPr>
              <w:t>Three Months Ended</w:t>
            </w:r>
          </w:p>
        </w:tc>
      </w:tr>
      <w:tr>
        <w:trPr>
          <w:trHeight w:val="203"/>
        </w:trPr>
        <w:tc>
          <w:tcPr>
            <w:tcW w:w="5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20" w:type="dxa"/>
            <w:vAlign w:val="bottom"/>
            <w:gridSpan w:val="3"/>
          </w:tcPr>
          <w:p>
            <w:pPr>
              <w:jc w:val="right"/>
              <w:ind w:right="2572"/>
              <w:spacing w:after="0" w:line="203" w:lineRule="exact"/>
              <w:rPr>
                <w:sz w:val="20"/>
                <w:szCs w:val="20"/>
                <w:color w:val="auto"/>
              </w:rPr>
            </w:pPr>
            <w:r>
              <w:rPr>
                <w:rFonts w:ascii="Courier New" w:cs="Courier New" w:eastAsia="Courier New" w:hAnsi="Courier New"/>
                <w:sz w:val="18"/>
                <w:szCs w:val="18"/>
                <w:b w:val="1"/>
                <w:bCs w:val="1"/>
                <w:color w:val="auto"/>
              </w:rPr>
              <w:t>March 31</w:t>
            </w:r>
          </w:p>
        </w:tc>
      </w:tr>
      <w:tr>
        <w:trPr>
          <w:trHeight w:val="203"/>
        </w:trPr>
        <w:tc>
          <w:tcPr>
            <w:tcW w:w="5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b w:val="1"/>
                <w:bCs w:val="1"/>
                <w:color w:val="auto"/>
              </w:rPr>
              <w:t>2003</w:t>
            </w:r>
          </w:p>
        </w:tc>
        <w:tc>
          <w:tcPr>
            <w:tcW w:w="460" w:type="dxa"/>
            <w:vAlign w:val="bottom"/>
          </w:tcPr>
          <w:p>
            <w:pPr>
              <w:spacing w:after="0"/>
              <w:rPr>
                <w:sz w:val="17"/>
                <w:szCs w:val="17"/>
                <w:color w:val="auto"/>
              </w:rPr>
            </w:pPr>
          </w:p>
        </w:tc>
        <w:tc>
          <w:tcPr>
            <w:tcW w:w="2780" w:type="dxa"/>
            <w:vAlign w:val="bottom"/>
          </w:tcPr>
          <w:p>
            <w:pPr>
              <w:jc w:val="right"/>
              <w:ind w:right="1632"/>
              <w:spacing w:after="0" w:line="203" w:lineRule="exact"/>
              <w:rPr>
                <w:sz w:val="20"/>
                <w:szCs w:val="20"/>
                <w:color w:val="auto"/>
              </w:rPr>
            </w:pPr>
            <w:r>
              <w:rPr>
                <w:rFonts w:ascii="Courier New" w:cs="Courier New" w:eastAsia="Courier New" w:hAnsi="Courier New"/>
                <w:sz w:val="18"/>
                <w:szCs w:val="18"/>
                <w:b w:val="1"/>
                <w:bCs w:val="1"/>
                <w:color w:val="auto"/>
              </w:rPr>
              <w:t>2002</w:t>
            </w:r>
          </w:p>
        </w:tc>
      </w:tr>
      <w:tr>
        <w:trPr>
          <w:trHeight w:val="203"/>
        </w:trPr>
        <w:tc>
          <w:tcPr>
            <w:tcW w:w="5740" w:type="dxa"/>
            <w:vAlign w:val="bottom"/>
          </w:tcPr>
          <w:p>
            <w:pPr>
              <w:spacing w:after="0"/>
              <w:rPr>
                <w:sz w:val="17"/>
                <w:szCs w:val="17"/>
                <w:color w:val="auto"/>
              </w:rPr>
            </w:pPr>
          </w:p>
        </w:tc>
        <w:tc>
          <w:tcPr>
            <w:tcW w:w="24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b w:val="1"/>
                <w:bCs w:val="1"/>
                <w:color w:val="auto"/>
              </w:rPr>
              <w:t>-----------------</w:t>
            </w:r>
          </w:p>
        </w:tc>
        <w:tc>
          <w:tcPr>
            <w:tcW w:w="32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b w:val="1"/>
                <w:bCs w:val="1"/>
                <w:color w:val="auto"/>
              </w:rPr>
              <w:t>------------------</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sales</w:t>
            </w:r>
          </w:p>
        </w:tc>
        <w:tc>
          <w:tcPr>
            <w:tcW w:w="10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57,609</w:t>
            </w:r>
          </w:p>
        </w:tc>
        <w:tc>
          <w:tcPr>
            <w:tcW w:w="460" w:type="dxa"/>
            <w:vAlign w:val="bottom"/>
          </w:tcPr>
          <w:p>
            <w:pPr>
              <w:spacing w:after="0"/>
              <w:rPr>
                <w:sz w:val="17"/>
                <w:szCs w:val="17"/>
                <w:color w:val="auto"/>
              </w:rPr>
            </w:pPr>
          </w:p>
        </w:tc>
        <w:tc>
          <w:tcPr>
            <w:tcW w:w="2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w w:val="94"/>
              </w:rPr>
              <w:t>$ 47,200</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Cost of goods sold</w:t>
            </w:r>
          </w:p>
        </w:tc>
        <w:tc>
          <w:tcPr>
            <w:tcW w:w="1060" w:type="dxa"/>
            <w:vAlign w:val="bottom"/>
          </w:tcPr>
          <w:p>
            <w:pPr>
              <w:spacing w:after="0"/>
              <w:rPr>
                <w:sz w:val="17"/>
                <w:szCs w:val="17"/>
                <w:color w:val="auto"/>
              </w:rPr>
            </w:pP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42,743</w:t>
            </w:r>
          </w:p>
        </w:tc>
        <w:tc>
          <w:tcPr>
            <w:tcW w:w="460" w:type="dxa"/>
            <w:vAlign w:val="bottom"/>
          </w:tcPr>
          <w:p>
            <w:pPr>
              <w:spacing w:after="0"/>
              <w:rPr>
                <w:sz w:val="17"/>
                <w:szCs w:val="17"/>
                <w:color w:val="auto"/>
              </w:rPr>
            </w:pPr>
          </w:p>
        </w:tc>
        <w:tc>
          <w:tcPr>
            <w:tcW w:w="2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35,532</w:t>
            </w:r>
          </w:p>
        </w:tc>
      </w:tr>
      <w:tr>
        <w:trPr>
          <w:trHeight w:val="203"/>
        </w:trPr>
        <w:tc>
          <w:tcPr>
            <w:tcW w:w="5740" w:type="dxa"/>
            <w:vAlign w:val="bottom"/>
          </w:tcPr>
          <w:p>
            <w:pPr>
              <w:spacing w:after="0"/>
              <w:rPr>
                <w:sz w:val="17"/>
                <w:szCs w:val="17"/>
                <w:color w:val="auto"/>
              </w:rPr>
            </w:pPr>
          </w:p>
        </w:tc>
        <w:tc>
          <w:tcPr>
            <w:tcW w:w="24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32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Gross profit</w:t>
            </w:r>
          </w:p>
        </w:tc>
        <w:tc>
          <w:tcPr>
            <w:tcW w:w="1060" w:type="dxa"/>
            <w:vAlign w:val="bottom"/>
          </w:tcPr>
          <w:p>
            <w:pPr>
              <w:spacing w:after="0"/>
              <w:rPr>
                <w:sz w:val="17"/>
                <w:szCs w:val="17"/>
                <w:color w:val="auto"/>
              </w:rPr>
            </w:pP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4,866</w:t>
            </w:r>
          </w:p>
        </w:tc>
        <w:tc>
          <w:tcPr>
            <w:tcW w:w="460" w:type="dxa"/>
            <w:vAlign w:val="bottom"/>
          </w:tcPr>
          <w:p>
            <w:pPr>
              <w:spacing w:after="0"/>
              <w:rPr>
                <w:sz w:val="17"/>
                <w:szCs w:val="17"/>
                <w:color w:val="auto"/>
              </w:rPr>
            </w:pPr>
          </w:p>
        </w:tc>
        <w:tc>
          <w:tcPr>
            <w:tcW w:w="2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1,668</w:t>
            </w:r>
          </w:p>
        </w:tc>
      </w:tr>
      <w:tr>
        <w:trPr>
          <w:trHeight w:val="405"/>
        </w:trPr>
        <w:tc>
          <w:tcPr>
            <w:tcW w:w="5740" w:type="dxa"/>
            <w:vAlign w:val="bottom"/>
          </w:tcPr>
          <w:p>
            <w:pPr>
              <w:ind w:left="540"/>
              <w:spacing w:after="0"/>
              <w:rPr>
                <w:sz w:val="20"/>
                <w:szCs w:val="20"/>
                <w:color w:val="auto"/>
              </w:rPr>
            </w:pPr>
            <w:r>
              <w:rPr>
                <w:rFonts w:ascii="Courier New" w:cs="Courier New" w:eastAsia="Courier New" w:hAnsi="Courier New"/>
                <w:sz w:val="18"/>
                <w:szCs w:val="18"/>
                <w:color w:val="auto"/>
              </w:rPr>
              <w:t>Selling, general and administrative</w:t>
            </w:r>
          </w:p>
        </w:tc>
        <w:tc>
          <w:tcPr>
            <w:tcW w:w="1060" w:type="dxa"/>
            <w:vAlign w:val="bottom"/>
          </w:tcPr>
          <w:p>
            <w:pPr>
              <w:spacing w:after="0"/>
              <w:rPr>
                <w:sz w:val="24"/>
                <w:szCs w:val="24"/>
                <w:color w:val="auto"/>
              </w:rPr>
            </w:pPr>
          </w:p>
        </w:tc>
        <w:tc>
          <w:tcPr>
            <w:tcW w:w="13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4,632</w:t>
            </w:r>
          </w:p>
        </w:tc>
        <w:tc>
          <w:tcPr>
            <w:tcW w:w="460" w:type="dxa"/>
            <w:vAlign w:val="bottom"/>
          </w:tcPr>
          <w:p>
            <w:pPr>
              <w:spacing w:after="0"/>
              <w:rPr>
                <w:sz w:val="24"/>
                <w:szCs w:val="24"/>
                <w:color w:val="auto"/>
              </w:rPr>
            </w:pPr>
          </w:p>
        </w:tc>
        <w:tc>
          <w:tcPr>
            <w:tcW w:w="2780" w:type="dxa"/>
            <w:vAlign w:val="bottom"/>
          </w:tcPr>
          <w:p>
            <w:pPr>
              <w:jc w:val="right"/>
              <w:ind w:right="1852"/>
              <w:spacing w:after="0"/>
              <w:rPr>
                <w:sz w:val="20"/>
                <w:szCs w:val="20"/>
                <w:color w:val="auto"/>
              </w:rPr>
            </w:pPr>
            <w:r>
              <w:rPr>
                <w:rFonts w:ascii="Courier New" w:cs="Courier New" w:eastAsia="Courier New" w:hAnsi="Courier New"/>
                <w:sz w:val="18"/>
                <w:szCs w:val="18"/>
                <w:color w:val="auto"/>
              </w:rPr>
              <w:t>4,498</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60" w:type="dxa"/>
            <w:vAlign w:val="bottom"/>
          </w:tcPr>
          <w:p>
            <w:pPr>
              <w:spacing w:after="0"/>
              <w:rPr>
                <w:sz w:val="17"/>
                <w:szCs w:val="17"/>
                <w:color w:val="auto"/>
              </w:rPr>
            </w:pP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3,079</w:t>
            </w:r>
          </w:p>
        </w:tc>
        <w:tc>
          <w:tcPr>
            <w:tcW w:w="460" w:type="dxa"/>
            <w:vAlign w:val="bottom"/>
          </w:tcPr>
          <w:p>
            <w:pPr>
              <w:spacing w:after="0"/>
              <w:rPr>
                <w:sz w:val="17"/>
                <w:szCs w:val="17"/>
                <w:color w:val="auto"/>
              </w:rPr>
            </w:pPr>
          </w:p>
        </w:tc>
        <w:tc>
          <w:tcPr>
            <w:tcW w:w="2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2,825</w:t>
            </w:r>
          </w:p>
        </w:tc>
      </w:tr>
      <w:tr>
        <w:trPr>
          <w:trHeight w:val="405"/>
        </w:trPr>
        <w:tc>
          <w:tcPr>
            <w:tcW w:w="5740" w:type="dxa"/>
            <w:vAlign w:val="bottom"/>
          </w:tcPr>
          <w:p>
            <w:pPr>
              <w:ind w:left="540"/>
              <w:spacing w:after="0"/>
              <w:rPr>
                <w:sz w:val="20"/>
                <w:szCs w:val="20"/>
                <w:color w:val="auto"/>
              </w:rPr>
            </w:pPr>
            <w:r>
              <w:rPr>
                <w:rFonts w:ascii="Courier New" w:cs="Courier New" w:eastAsia="Courier New" w:hAnsi="Courier New"/>
                <w:sz w:val="18"/>
                <w:szCs w:val="18"/>
                <w:color w:val="auto"/>
              </w:rPr>
              <w:t>Restructuring and impairment costs</w:t>
            </w:r>
          </w:p>
        </w:tc>
        <w:tc>
          <w:tcPr>
            <w:tcW w:w="1060" w:type="dxa"/>
            <w:vAlign w:val="bottom"/>
          </w:tcPr>
          <w:p>
            <w:pPr>
              <w:spacing w:after="0"/>
              <w:rPr>
                <w:sz w:val="24"/>
                <w:szCs w:val="24"/>
                <w:color w:val="auto"/>
              </w:rPr>
            </w:pPr>
          </w:p>
        </w:tc>
        <w:tc>
          <w:tcPr>
            <w:tcW w:w="138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24"/>
                <w:szCs w:val="24"/>
                <w:color w:val="auto"/>
              </w:rPr>
            </w:pPr>
          </w:p>
        </w:tc>
        <w:tc>
          <w:tcPr>
            <w:tcW w:w="2780" w:type="dxa"/>
            <w:vAlign w:val="bottom"/>
          </w:tcPr>
          <w:p>
            <w:pPr>
              <w:jc w:val="right"/>
              <w:ind w:right="1852"/>
              <w:spacing w:after="0"/>
              <w:rPr>
                <w:sz w:val="20"/>
                <w:szCs w:val="20"/>
                <w:color w:val="auto"/>
              </w:rPr>
            </w:pPr>
            <w:r>
              <w:rPr>
                <w:rFonts w:ascii="Courier New" w:cs="Courier New" w:eastAsia="Courier New" w:hAnsi="Courier New"/>
                <w:sz w:val="18"/>
                <w:szCs w:val="18"/>
                <w:color w:val="auto"/>
              </w:rPr>
              <w:t>78</w:t>
            </w:r>
          </w:p>
        </w:tc>
      </w:tr>
      <w:tr>
        <w:trPr>
          <w:trHeight w:val="203"/>
        </w:trPr>
        <w:tc>
          <w:tcPr>
            <w:tcW w:w="5740" w:type="dxa"/>
            <w:vAlign w:val="bottom"/>
          </w:tcPr>
          <w:p>
            <w:pPr>
              <w:spacing w:after="0"/>
              <w:rPr>
                <w:sz w:val="17"/>
                <w:szCs w:val="17"/>
                <w:color w:val="auto"/>
              </w:rPr>
            </w:pPr>
          </w:p>
        </w:tc>
        <w:tc>
          <w:tcPr>
            <w:tcW w:w="24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3240" w:type="dxa"/>
            <w:vAlign w:val="bottom"/>
            <w:gridSpan w:val="2"/>
          </w:tcPr>
          <w:p>
            <w:pPr>
              <w:jc w:val="right"/>
              <w:ind w:right="14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Income from operations</w:t>
            </w:r>
          </w:p>
        </w:tc>
        <w:tc>
          <w:tcPr>
            <w:tcW w:w="1060" w:type="dxa"/>
            <w:vAlign w:val="bottom"/>
          </w:tcPr>
          <w:p>
            <w:pPr>
              <w:spacing w:after="0"/>
              <w:rPr>
                <w:sz w:val="17"/>
                <w:szCs w:val="17"/>
                <w:color w:val="auto"/>
              </w:rPr>
            </w:pP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7,155</w:t>
            </w:r>
          </w:p>
        </w:tc>
        <w:tc>
          <w:tcPr>
            <w:tcW w:w="460" w:type="dxa"/>
            <w:vAlign w:val="bottom"/>
          </w:tcPr>
          <w:p>
            <w:pPr>
              <w:spacing w:after="0"/>
              <w:rPr>
                <w:sz w:val="17"/>
                <w:szCs w:val="17"/>
                <w:color w:val="auto"/>
              </w:rPr>
            </w:pPr>
          </w:p>
        </w:tc>
        <w:tc>
          <w:tcPr>
            <w:tcW w:w="2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4,267</w:t>
            </w:r>
          </w:p>
        </w:tc>
      </w:tr>
      <w:tr>
        <w:trPr>
          <w:trHeight w:val="405"/>
        </w:trPr>
        <w:tc>
          <w:tcPr>
            <w:tcW w:w="5740" w:type="dxa"/>
            <w:vAlign w:val="bottom"/>
          </w:tcPr>
          <w:p>
            <w:pPr>
              <w:ind w:left="540"/>
              <w:spacing w:after="0"/>
              <w:rPr>
                <w:sz w:val="20"/>
                <w:szCs w:val="20"/>
                <w:color w:val="auto"/>
              </w:rPr>
            </w:pPr>
            <w:r>
              <w:rPr>
                <w:rFonts w:ascii="Courier New" w:cs="Courier New" w:eastAsia="Courier New" w:hAnsi="Courier New"/>
                <w:sz w:val="18"/>
                <w:szCs w:val="18"/>
                <w:color w:val="auto"/>
              </w:rPr>
              <w:t>Interest expense</w:t>
            </w:r>
          </w:p>
        </w:tc>
        <w:tc>
          <w:tcPr>
            <w:tcW w:w="1060" w:type="dxa"/>
            <w:vAlign w:val="bottom"/>
          </w:tcPr>
          <w:p>
            <w:pPr>
              <w:spacing w:after="0"/>
              <w:rPr>
                <w:sz w:val="24"/>
                <w:szCs w:val="24"/>
                <w:color w:val="auto"/>
              </w:rPr>
            </w:pPr>
          </w:p>
        </w:tc>
        <w:tc>
          <w:tcPr>
            <w:tcW w:w="13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513</w:t>
            </w:r>
          </w:p>
        </w:tc>
        <w:tc>
          <w:tcPr>
            <w:tcW w:w="460" w:type="dxa"/>
            <w:vAlign w:val="bottom"/>
          </w:tcPr>
          <w:p>
            <w:pPr>
              <w:spacing w:after="0"/>
              <w:rPr>
                <w:sz w:val="24"/>
                <w:szCs w:val="24"/>
                <w:color w:val="auto"/>
              </w:rPr>
            </w:pPr>
          </w:p>
        </w:tc>
        <w:tc>
          <w:tcPr>
            <w:tcW w:w="2780" w:type="dxa"/>
            <w:vAlign w:val="bottom"/>
          </w:tcPr>
          <w:p>
            <w:pPr>
              <w:jc w:val="right"/>
              <w:ind w:right="1852"/>
              <w:spacing w:after="0"/>
              <w:rPr>
                <w:sz w:val="20"/>
                <w:szCs w:val="20"/>
                <w:color w:val="auto"/>
              </w:rPr>
            </w:pPr>
            <w:r>
              <w:rPr>
                <w:rFonts w:ascii="Courier New" w:cs="Courier New" w:eastAsia="Courier New" w:hAnsi="Courier New"/>
                <w:sz w:val="18"/>
                <w:szCs w:val="18"/>
                <w:color w:val="auto"/>
              </w:rPr>
              <w:t>601</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 income</w:t>
            </w:r>
          </w:p>
        </w:tc>
        <w:tc>
          <w:tcPr>
            <w:tcW w:w="1060" w:type="dxa"/>
            <w:vAlign w:val="bottom"/>
          </w:tcPr>
          <w:p>
            <w:pPr>
              <w:spacing w:after="0"/>
              <w:rPr>
                <w:sz w:val="17"/>
                <w:szCs w:val="17"/>
                <w:color w:val="auto"/>
              </w:rPr>
            </w:pP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(7)</w:t>
            </w:r>
          </w:p>
        </w:tc>
        <w:tc>
          <w:tcPr>
            <w:tcW w:w="460" w:type="dxa"/>
            <w:vAlign w:val="bottom"/>
          </w:tcPr>
          <w:p>
            <w:pPr>
              <w:spacing w:after="0"/>
              <w:rPr>
                <w:sz w:val="17"/>
                <w:szCs w:val="17"/>
                <w:color w:val="auto"/>
              </w:rPr>
            </w:pPr>
          </w:p>
        </w:tc>
        <w:tc>
          <w:tcPr>
            <w:tcW w:w="2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(355)</w:t>
            </w:r>
          </w:p>
        </w:tc>
      </w:tr>
      <w:tr>
        <w:trPr>
          <w:trHeight w:val="203"/>
        </w:trPr>
        <w:tc>
          <w:tcPr>
            <w:tcW w:w="5740" w:type="dxa"/>
            <w:vAlign w:val="bottom"/>
          </w:tcPr>
          <w:p>
            <w:pPr>
              <w:spacing w:after="0"/>
              <w:rPr>
                <w:sz w:val="17"/>
                <w:szCs w:val="17"/>
                <w:color w:val="auto"/>
              </w:rPr>
            </w:pPr>
          </w:p>
        </w:tc>
        <w:tc>
          <w:tcPr>
            <w:tcW w:w="24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3240" w:type="dxa"/>
            <w:vAlign w:val="bottom"/>
            <w:gridSpan w:val="2"/>
          </w:tcPr>
          <w:p>
            <w:pPr>
              <w:jc w:val="right"/>
              <w:ind w:right="14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before provision for taxes</w:t>
            </w:r>
          </w:p>
        </w:tc>
        <w:tc>
          <w:tcPr>
            <w:tcW w:w="1060" w:type="dxa"/>
            <w:vAlign w:val="bottom"/>
          </w:tcPr>
          <w:p>
            <w:pPr>
              <w:spacing w:after="0"/>
              <w:rPr>
                <w:sz w:val="17"/>
                <w:szCs w:val="17"/>
                <w:color w:val="auto"/>
              </w:rPr>
            </w:pP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6,649</w:t>
            </w:r>
          </w:p>
        </w:tc>
        <w:tc>
          <w:tcPr>
            <w:tcW w:w="460" w:type="dxa"/>
            <w:vAlign w:val="bottom"/>
          </w:tcPr>
          <w:p>
            <w:pPr>
              <w:spacing w:after="0"/>
              <w:rPr>
                <w:sz w:val="17"/>
                <w:szCs w:val="17"/>
                <w:color w:val="auto"/>
              </w:rPr>
            </w:pPr>
          </w:p>
        </w:tc>
        <w:tc>
          <w:tcPr>
            <w:tcW w:w="2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4,021</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1060" w:type="dxa"/>
            <w:vAlign w:val="bottom"/>
          </w:tcPr>
          <w:p>
            <w:pPr>
              <w:spacing w:after="0"/>
              <w:rPr>
                <w:sz w:val="17"/>
                <w:szCs w:val="17"/>
                <w:color w:val="auto"/>
              </w:rPr>
            </w:pP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2,472</w:t>
            </w:r>
          </w:p>
        </w:tc>
        <w:tc>
          <w:tcPr>
            <w:tcW w:w="460" w:type="dxa"/>
            <w:vAlign w:val="bottom"/>
          </w:tcPr>
          <w:p>
            <w:pPr>
              <w:spacing w:after="0"/>
              <w:rPr>
                <w:sz w:val="17"/>
                <w:szCs w:val="17"/>
                <w:color w:val="auto"/>
              </w:rPr>
            </w:pPr>
          </w:p>
        </w:tc>
        <w:tc>
          <w:tcPr>
            <w:tcW w:w="2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1,505</w:t>
            </w:r>
          </w:p>
        </w:tc>
      </w:tr>
      <w:tr>
        <w:trPr>
          <w:trHeight w:val="203"/>
        </w:trPr>
        <w:tc>
          <w:tcPr>
            <w:tcW w:w="5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Minority interest in consolidated subsidiary</w:t>
            </w:r>
          </w:p>
        </w:tc>
        <w:tc>
          <w:tcPr>
            <w:tcW w:w="1060" w:type="dxa"/>
            <w:vAlign w:val="bottom"/>
          </w:tcPr>
          <w:p>
            <w:pPr>
              <w:spacing w:after="0"/>
              <w:rPr>
                <w:sz w:val="17"/>
                <w:szCs w:val="17"/>
                <w:color w:val="auto"/>
              </w:rPr>
            </w:pP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534</w:t>
            </w:r>
          </w:p>
        </w:tc>
        <w:tc>
          <w:tcPr>
            <w:tcW w:w="460" w:type="dxa"/>
            <w:vAlign w:val="bottom"/>
          </w:tcPr>
          <w:p>
            <w:pPr>
              <w:spacing w:after="0"/>
              <w:rPr>
                <w:sz w:val="17"/>
                <w:szCs w:val="17"/>
                <w:color w:val="auto"/>
              </w:rPr>
            </w:pPr>
          </w:p>
        </w:tc>
        <w:tc>
          <w:tcPr>
            <w:tcW w:w="2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668</w:t>
            </w:r>
          </w:p>
        </w:tc>
      </w:tr>
      <w:tr>
        <w:trPr>
          <w:trHeight w:val="203"/>
        </w:trPr>
        <w:tc>
          <w:tcPr>
            <w:tcW w:w="5740" w:type="dxa"/>
            <w:vAlign w:val="bottom"/>
          </w:tcPr>
          <w:p>
            <w:pPr>
              <w:spacing w:after="0"/>
              <w:rPr>
                <w:sz w:val="17"/>
                <w:szCs w:val="17"/>
                <w:color w:val="auto"/>
              </w:rPr>
            </w:pPr>
          </w:p>
        </w:tc>
        <w:tc>
          <w:tcPr>
            <w:tcW w:w="24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3240" w:type="dxa"/>
            <w:vAlign w:val="bottom"/>
            <w:gridSpan w:val="2"/>
          </w:tcPr>
          <w:p>
            <w:pPr>
              <w:jc w:val="right"/>
              <w:ind w:right="14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5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Net income</w:t>
            </w:r>
          </w:p>
        </w:tc>
        <w:tc>
          <w:tcPr>
            <w:tcW w:w="10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3,643</w:t>
            </w:r>
          </w:p>
        </w:tc>
        <w:tc>
          <w:tcPr>
            <w:tcW w:w="4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73"/>
              </w:rPr>
              <w:t>$</w:t>
            </w:r>
          </w:p>
        </w:tc>
        <w:tc>
          <w:tcPr>
            <w:tcW w:w="2780" w:type="dxa"/>
            <w:vAlign w:val="bottom"/>
          </w:tcPr>
          <w:p>
            <w:pPr>
              <w:jc w:val="right"/>
              <w:ind w:right="1852"/>
              <w:spacing w:after="0" w:line="203" w:lineRule="exact"/>
              <w:rPr>
                <w:sz w:val="20"/>
                <w:szCs w:val="20"/>
                <w:color w:val="auto"/>
              </w:rPr>
            </w:pPr>
            <w:r>
              <w:rPr>
                <w:rFonts w:ascii="Courier New" w:cs="Courier New" w:eastAsia="Courier New" w:hAnsi="Courier New"/>
                <w:sz w:val="18"/>
                <w:szCs w:val="18"/>
                <w:color w:val="auto"/>
              </w:rPr>
              <w:t>1,848</w:t>
            </w:r>
          </w:p>
        </w:tc>
      </w:tr>
      <w:tr>
        <w:trPr>
          <w:trHeight w:val="203"/>
        </w:trPr>
        <w:tc>
          <w:tcPr>
            <w:tcW w:w="5740" w:type="dxa"/>
            <w:vAlign w:val="bottom"/>
          </w:tcPr>
          <w:p>
            <w:pPr>
              <w:spacing w:after="0"/>
              <w:rPr>
                <w:sz w:val="17"/>
                <w:szCs w:val="17"/>
                <w:color w:val="auto"/>
              </w:rPr>
            </w:pPr>
          </w:p>
        </w:tc>
        <w:tc>
          <w:tcPr>
            <w:tcW w:w="24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3240" w:type="dxa"/>
            <w:vAlign w:val="bottom"/>
            <w:gridSpan w:val="2"/>
          </w:tcPr>
          <w:p>
            <w:pPr>
              <w:jc w:val="right"/>
              <w:ind w:right="14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5740" w:type="dxa"/>
            <w:vAlign w:val="bottom"/>
          </w:tcPr>
          <w:p>
            <w:pPr>
              <w:ind w:left="540"/>
              <w:spacing w:after="0"/>
              <w:rPr>
                <w:sz w:val="20"/>
                <w:szCs w:val="20"/>
                <w:color w:val="auto"/>
              </w:rPr>
            </w:pPr>
            <w:r>
              <w:rPr>
                <w:rFonts w:ascii="Courier New" w:cs="Courier New" w:eastAsia="Courier New" w:hAnsi="Courier New"/>
                <w:sz w:val="18"/>
                <w:szCs w:val="18"/>
                <w:color w:val="auto"/>
              </w:rPr>
              <w:t>Diluted income per common share</w:t>
            </w:r>
          </w:p>
        </w:tc>
        <w:tc>
          <w:tcPr>
            <w:tcW w:w="1060" w:type="dxa"/>
            <w:vAlign w:val="bottom"/>
          </w:tcPr>
          <w:p>
            <w:pPr>
              <w:ind w:left="900"/>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0.23</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780" w:type="dxa"/>
            <w:vAlign w:val="bottom"/>
          </w:tcPr>
          <w:p>
            <w:pPr>
              <w:jc w:val="right"/>
              <w:ind w:right="1852"/>
              <w:spacing w:after="0"/>
              <w:rPr>
                <w:sz w:val="20"/>
                <w:szCs w:val="20"/>
                <w:color w:val="auto"/>
              </w:rPr>
            </w:pPr>
            <w:r>
              <w:rPr>
                <w:rFonts w:ascii="Courier New" w:cs="Courier New" w:eastAsia="Courier New" w:hAnsi="Courier New"/>
                <w:sz w:val="18"/>
                <w:szCs w:val="18"/>
                <w:color w:val="auto"/>
              </w:rPr>
              <w:t>0.12</w:t>
            </w:r>
          </w:p>
        </w:tc>
      </w:tr>
      <w:tr>
        <w:trPr>
          <w:trHeight w:val="203"/>
        </w:trPr>
        <w:tc>
          <w:tcPr>
            <w:tcW w:w="5740" w:type="dxa"/>
            <w:vAlign w:val="bottom"/>
          </w:tcPr>
          <w:p>
            <w:pPr>
              <w:spacing w:after="0"/>
              <w:rPr>
                <w:sz w:val="17"/>
                <w:szCs w:val="17"/>
                <w:color w:val="auto"/>
              </w:rPr>
            </w:pPr>
          </w:p>
        </w:tc>
        <w:tc>
          <w:tcPr>
            <w:tcW w:w="244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3240" w:type="dxa"/>
            <w:vAlign w:val="bottom"/>
            <w:gridSpan w:val="2"/>
          </w:tcPr>
          <w:p>
            <w:pPr>
              <w:jc w:val="right"/>
              <w:ind w:right="14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387"/>
        </w:trPr>
        <w:tc>
          <w:tcPr>
            <w:tcW w:w="57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b w:val="1"/>
          <w:bCs w:val="1"/>
          <w:color w:val="auto"/>
        </w:rPr>
        <w:t>NN, Inc.</w:t>
      </w:r>
    </w:p>
    <w:p>
      <w:pPr>
        <w:ind w:left="3060"/>
        <w:spacing w:after="0" w:line="238" w:lineRule="auto"/>
        <w:rPr>
          <w:sz w:val="20"/>
          <w:szCs w:val="20"/>
          <w:color w:val="auto"/>
        </w:rPr>
      </w:pPr>
      <w:r>
        <w:rPr>
          <w:rFonts w:ascii="Courier New" w:cs="Courier New" w:eastAsia="Courier New" w:hAnsi="Courier New"/>
          <w:sz w:val="18"/>
          <w:szCs w:val="18"/>
          <w:b w:val="1"/>
          <w:bCs w:val="1"/>
          <w:color w:val="auto"/>
        </w:rPr>
        <w:t>Condensed Balance Sheet</w:t>
      </w:r>
    </w:p>
    <w:p>
      <w:pPr>
        <w:ind w:left="2120"/>
        <w:spacing w:after="0"/>
        <w:rPr>
          <w:sz w:val="20"/>
          <w:szCs w:val="20"/>
          <w:color w:val="auto"/>
        </w:rPr>
      </w:pPr>
      <w:r>
        <w:rPr>
          <w:rFonts w:ascii="Courier New" w:cs="Courier New" w:eastAsia="Courier New" w:hAnsi="Courier New"/>
          <w:sz w:val="18"/>
          <w:szCs w:val="18"/>
          <w:b w:val="1"/>
          <w:bCs w:val="1"/>
          <w:color w:val="auto"/>
        </w:rPr>
        <w:t>(In Thousands, except per share amounts)</w:t>
      </w:r>
    </w:p>
    <w:tbl>
      <w:tblPr>
        <w:tblLayout w:type="fixed"/>
        <w:tblInd w:w="0" w:type="dxa"/>
        <w:tblCellMar>
          <w:top w:w="0" w:type="dxa"/>
          <w:left w:w="0" w:type="dxa"/>
          <w:bottom w:w="0" w:type="dxa"/>
          <w:right w:w="0" w:type="dxa"/>
        </w:tblCellMar>
      </w:tblPr>
      <w:tr>
        <w:trPr>
          <w:trHeight w:val="202"/>
        </w:trPr>
        <w:tc>
          <w:tcPr>
            <w:tcW w:w="3280" w:type="dxa"/>
            <w:vAlign w:val="bottom"/>
          </w:tcPr>
          <w:p>
            <w:pPr>
              <w:spacing w:after="0"/>
              <w:rPr>
                <w:sz w:val="17"/>
                <w:szCs w:val="17"/>
                <w:color w:val="auto"/>
              </w:rPr>
            </w:pPr>
          </w:p>
        </w:tc>
        <w:tc>
          <w:tcPr>
            <w:tcW w:w="3780" w:type="dxa"/>
            <w:vAlign w:val="bottom"/>
          </w:tcPr>
          <w:p>
            <w:pPr>
              <w:jc w:val="right"/>
              <w:ind w:right="2112"/>
              <w:spacing w:after="0" w:line="202" w:lineRule="exact"/>
              <w:rPr>
                <w:sz w:val="20"/>
                <w:szCs w:val="20"/>
                <w:color w:val="auto"/>
              </w:rPr>
            </w:pPr>
            <w:r>
              <w:rPr>
                <w:rFonts w:ascii="Courier New" w:cs="Courier New" w:eastAsia="Courier New" w:hAnsi="Courier New"/>
                <w:sz w:val="18"/>
                <w:szCs w:val="18"/>
                <w:b w:val="1"/>
                <w:bCs w:val="1"/>
                <w:color w:val="auto"/>
              </w:rPr>
              <w:t>(Unaudited)</w:t>
            </w:r>
          </w:p>
        </w:tc>
        <w:tc>
          <w:tcPr>
            <w:tcW w:w="1380" w:type="dxa"/>
            <w:vAlign w:val="bottom"/>
          </w:tcPr>
          <w:p>
            <w:pPr>
              <w:spacing w:after="0"/>
              <w:rPr>
                <w:sz w:val="17"/>
                <w:szCs w:val="17"/>
                <w:color w:val="auto"/>
              </w:rPr>
            </w:pPr>
          </w:p>
        </w:tc>
      </w:tr>
      <w:tr>
        <w:trPr>
          <w:trHeight w:val="405"/>
        </w:trPr>
        <w:tc>
          <w:tcPr>
            <w:tcW w:w="3280" w:type="dxa"/>
            <w:vAlign w:val="bottom"/>
          </w:tcPr>
          <w:p>
            <w:pPr>
              <w:spacing w:after="0"/>
              <w:rPr>
                <w:sz w:val="24"/>
                <w:szCs w:val="24"/>
                <w:color w:val="auto"/>
              </w:rPr>
            </w:pPr>
          </w:p>
        </w:tc>
        <w:tc>
          <w:tcPr>
            <w:tcW w:w="3780" w:type="dxa"/>
            <w:vAlign w:val="bottom"/>
          </w:tcPr>
          <w:p>
            <w:pPr>
              <w:jc w:val="right"/>
              <w:ind w:right="112"/>
              <w:spacing w:after="0"/>
              <w:rPr>
                <w:sz w:val="20"/>
                <w:szCs w:val="20"/>
                <w:color w:val="auto"/>
              </w:rPr>
            </w:pPr>
            <w:r>
              <w:rPr>
                <w:rFonts w:ascii="Courier New" w:cs="Courier New" w:eastAsia="Courier New" w:hAnsi="Courier New"/>
                <w:sz w:val="18"/>
                <w:szCs w:val="18"/>
                <w:b w:val="1"/>
                <w:bCs w:val="1"/>
                <w:color w:val="auto"/>
              </w:rPr>
              <w:t>March 31,</w:t>
            </w:r>
          </w:p>
        </w:tc>
        <w:tc>
          <w:tcPr>
            <w:tcW w:w="1380" w:type="dxa"/>
            <w:vAlign w:val="bottom"/>
          </w:tcPr>
          <w:p>
            <w:pPr>
              <w:ind w:left="120"/>
              <w:spacing w:after="0"/>
              <w:rPr>
                <w:sz w:val="20"/>
                <w:szCs w:val="20"/>
                <w:color w:val="auto"/>
              </w:rPr>
            </w:pPr>
            <w:r>
              <w:rPr>
                <w:rFonts w:ascii="Courier New" w:cs="Courier New" w:eastAsia="Courier New" w:hAnsi="Courier New"/>
                <w:sz w:val="18"/>
                <w:szCs w:val="18"/>
                <w:b w:val="1"/>
                <w:bCs w:val="1"/>
                <w:color w:val="auto"/>
                <w:w w:val="95"/>
              </w:rPr>
              <w:t>December 31,</w:t>
            </w:r>
          </w:p>
        </w:tc>
      </w:tr>
      <w:tr>
        <w:trPr>
          <w:trHeight w:val="203"/>
        </w:trPr>
        <w:tc>
          <w:tcPr>
            <w:tcW w:w="3280" w:type="dxa"/>
            <w:vAlign w:val="bottom"/>
          </w:tcPr>
          <w:p>
            <w:pPr>
              <w:spacing w:after="0"/>
              <w:rPr>
                <w:sz w:val="17"/>
                <w:szCs w:val="17"/>
                <w:color w:val="auto"/>
              </w:rPr>
            </w:pPr>
          </w:p>
        </w:tc>
        <w:tc>
          <w:tcPr>
            <w:tcW w:w="37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b w:val="1"/>
                <w:bCs w:val="1"/>
                <w:color w:val="auto"/>
              </w:rPr>
              <w:t>2003</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b w:val="1"/>
                <w:bCs w:val="1"/>
                <w:color w:val="auto"/>
              </w:rPr>
              <w:t>2002</w:t>
            </w:r>
          </w:p>
        </w:tc>
      </w:tr>
      <w:tr>
        <w:trPr>
          <w:trHeight w:val="203"/>
        </w:trPr>
        <w:tc>
          <w:tcPr>
            <w:tcW w:w="3280" w:type="dxa"/>
            <w:vAlign w:val="bottom"/>
          </w:tcPr>
          <w:p>
            <w:pPr>
              <w:spacing w:after="0"/>
              <w:rPr>
                <w:sz w:val="17"/>
                <w:szCs w:val="17"/>
                <w:color w:val="auto"/>
              </w:rPr>
            </w:pPr>
          </w:p>
        </w:tc>
        <w:tc>
          <w:tcPr>
            <w:tcW w:w="3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b w:val="1"/>
                <w:bCs w:val="1"/>
                <w:color w:val="auto"/>
              </w:rPr>
              <w:t>-----------</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b w:val="1"/>
                <w:bCs w:val="1"/>
                <w:color w:val="auto"/>
              </w:rPr>
              <w:t>---------</w:t>
            </w: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b w:val="1"/>
                <w:bCs w:val="1"/>
                <w:color w:val="auto"/>
              </w:rPr>
              <w:t>Assets</w:t>
            </w:r>
          </w:p>
        </w:tc>
        <w:tc>
          <w:tcPr>
            <w:tcW w:w="37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37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3280" w:type="dxa"/>
            <w:vAlign w:val="bottom"/>
          </w:tcPr>
          <w:p>
            <w:pPr>
              <w:ind w:left="220"/>
              <w:spacing w:after="0"/>
              <w:rPr>
                <w:sz w:val="20"/>
                <w:szCs w:val="20"/>
                <w:color w:val="auto"/>
              </w:rPr>
            </w:pPr>
            <w:r>
              <w:rPr>
                <w:rFonts w:ascii="Courier New" w:cs="Courier New" w:eastAsia="Courier New" w:hAnsi="Courier New"/>
                <w:sz w:val="18"/>
                <w:szCs w:val="18"/>
                <w:color w:val="auto"/>
              </w:rPr>
              <w:t>Cash and cash equivalents</w:t>
            </w:r>
          </w:p>
        </w:tc>
        <w:tc>
          <w:tcPr>
            <w:tcW w:w="37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3,228</w:t>
            </w:r>
          </w:p>
        </w:tc>
        <w:tc>
          <w:tcPr>
            <w:tcW w:w="13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5,144</w:t>
            </w:r>
          </w:p>
        </w:tc>
      </w:tr>
      <w:tr>
        <w:trPr>
          <w:trHeight w:val="203"/>
        </w:trPr>
        <w:tc>
          <w:tcPr>
            <w:tcW w:w="32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w:t>
            </w:r>
          </w:p>
        </w:tc>
        <w:tc>
          <w:tcPr>
            <w:tcW w:w="37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39,092</w:t>
            </w:r>
          </w:p>
        </w:tc>
        <w:tc>
          <w:tcPr>
            <w:tcW w:w="13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28,965</w:t>
            </w:r>
          </w:p>
        </w:tc>
      </w:tr>
    </w:tbl>
    <w:p>
      <w:pPr>
        <w:sectPr>
          <w:pgSz w:w="11900" w:h="16895" w:orient="portrait"/>
          <w:cols w:equalWidth="0" w:num="1">
            <w:col w:w="11420"/>
          </w:cols>
          <w:pgMar w:left="240" w:top="142"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ind w:left="220"/>
              <w:spacing w:after="0"/>
              <w:rPr>
                <w:sz w:val="20"/>
                <w:szCs w:val="20"/>
                <w:color w:val="auto"/>
              </w:rPr>
            </w:pPr>
            <w:r>
              <w:rPr>
                <w:rFonts w:ascii="Courier New" w:cs="Courier New" w:eastAsia="Courier New" w:hAnsi="Courier New"/>
                <w:sz w:val="18"/>
                <w:szCs w:val="18"/>
                <w:color w:val="auto"/>
              </w:rPr>
              <w:t>Inventories, net</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25,594</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23,402</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5,375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3,901</w:t>
            </w:r>
          </w:p>
        </w:tc>
      </w:tr>
      <w:tr>
        <w:trPr>
          <w:trHeight w:val="203"/>
        </w:trPr>
        <w:tc>
          <w:tcPr>
            <w:tcW w:w="56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73,289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61,412</w:t>
            </w:r>
          </w:p>
        </w:tc>
      </w:tr>
      <w:tr>
        <w:trPr>
          <w:trHeight w:val="608"/>
        </w:trPr>
        <w:tc>
          <w:tcPr>
            <w:tcW w:w="5640" w:type="dxa"/>
            <w:vAlign w:val="bottom"/>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89,536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88,199</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 held for sale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1,939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2,214</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 net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42,675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42,166</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4,657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4,016</w:t>
            </w:r>
          </w:p>
        </w:tc>
      </w:tr>
      <w:tr>
        <w:trPr>
          <w:trHeight w:val="203"/>
        </w:trPr>
        <w:tc>
          <w:tcPr>
            <w:tcW w:w="56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assets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$212,096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$198,007</w:t>
            </w:r>
          </w:p>
        </w:tc>
      </w:tr>
      <w:tr>
        <w:trPr>
          <w:trHeight w:val="203"/>
        </w:trPr>
        <w:tc>
          <w:tcPr>
            <w:tcW w:w="56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ind w:left="860"/>
              <w:spacing w:after="0"/>
              <w:rPr>
                <w:sz w:val="20"/>
                <w:szCs w:val="20"/>
                <w:color w:val="auto"/>
              </w:rPr>
            </w:pPr>
            <w:r>
              <w:rPr>
                <w:rFonts w:ascii="Courier New" w:cs="Courier New" w:eastAsia="Courier New" w:hAnsi="Courier New"/>
                <w:sz w:val="18"/>
                <w:szCs w:val="18"/>
                <w:b w:val="1"/>
                <w:bCs w:val="1"/>
                <w:color w:val="auto"/>
              </w:rPr>
              <w:t>Liabilities and Stockholders' Equity</w:t>
            </w: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$ 27,377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$ 23,020</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6,579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6,354</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3,014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portion of long-term notes payable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w:t>
            </w:r>
          </w:p>
        </w:tc>
      </w:tr>
      <w:tr>
        <w:trPr>
          <w:trHeight w:val="203"/>
        </w:trPr>
        <w:tc>
          <w:tcPr>
            <w:tcW w:w="5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liabilities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3,195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3,240</w:t>
            </w:r>
          </w:p>
        </w:tc>
      </w:tr>
      <w:tr>
        <w:trPr>
          <w:trHeight w:val="203"/>
        </w:trPr>
        <w:tc>
          <w:tcPr>
            <w:tcW w:w="56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47,165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40,234</w:t>
            </w:r>
          </w:p>
        </w:tc>
      </w:tr>
      <w:tr>
        <w:trPr>
          <w:trHeight w:val="608"/>
        </w:trPr>
        <w:tc>
          <w:tcPr>
            <w:tcW w:w="5640" w:type="dxa"/>
            <w:vAlign w:val="bottom"/>
          </w:tcPr>
          <w:p>
            <w:pPr>
              <w:spacing w:after="0"/>
              <w:rPr>
                <w:sz w:val="20"/>
                <w:szCs w:val="20"/>
                <w:color w:val="auto"/>
              </w:rPr>
            </w:pPr>
            <w:r>
              <w:rPr>
                <w:rFonts w:ascii="Courier New" w:cs="Courier New" w:eastAsia="Courier New" w:hAnsi="Courier New"/>
                <w:sz w:val="18"/>
                <w:szCs w:val="18"/>
                <w:color w:val="auto"/>
              </w:rPr>
              <w:t>Minority interest in consolidated subsidiaries</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20,987</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19,706</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9,479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9,334</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notes payable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46,236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46,135</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9,840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9,319</w:t>
            </w:r>
          </w:p>
        </w:tc>
      </w:tr>
      <w:tr>
        <w:trPr>
          <w:trHeight w:val="203"/>
        </w:trPr>
        <w:tc>
          <w:tcPr>
            <w:tcW w:w="56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133,707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124,728</w:t>
            </w:r>
          </w:p>
        </w:tc>
      </w:tr>
      <w:tr>
        <w:trPr>
          <w:trHeight w:val="608"/>
        </w:trPr>
        <w:tc>
          <w:tcPr>
            <w:tcW w:w="5640" w:type="dxa"/>
            <w:vAlign w:val="bottom"/>
          </w:tcPr>
          <w:p>
            <w:pPr>
              <w:ind w:left="1060"/>
              <w:spacing w:after="0"/>
              <w:rPr>
                <w:sz w:val="20"/>
                <w:szCs w:val="20"/>
                <w:color w:val="auto"/>
              </w:rPr>
            </w:pPr>
            <w:r>
              <w:rPr>
                <w:rFonts w:ascii="Courier New" w:cs="Courier New" w:eastAsia="Courier New" w:hAnsi="Courier New"/>
                <w:sz w:val="18"/>
                <w:szCs w:val="18"/>
                <w:color w:val="auto"/>
              </w:rPr>
              <w:t>Total stockholders' equity</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78,389</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73,279</w:t>
            </w:r>
          </w:p>
        </w:tc>
      </w:tr>
      <w:tr>
        <w:trPr>
          <w:trHeight w:val="203"/>
        </w:trPr>
        <w:tc>
          <w:tcPr>
            <w:tcW w:w="56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40" w:type="dxa"/>
            <w:vAlign w:val="bottom"/>
          </w:tcPr>
          <w:p>
            <w:pPr>
              <w:ind w:left="1060"/>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$212,096</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$198,007</w:t>
            </w:r>
          </w:p>
        </w:tc>
      </w:tr>
      <w:tr>
        <w:trPr>
          <w:trHeight w:val="203"/>
        </w:trPr>
        <w:tc>
          <w:tcPr>
            <w:tcW w:w="5640" w:type="dxa"/>
            <w:vAlign w:val="bottom"/>
          </w:tcPr>
          <w:p>
            <w:pPr>
              <w:spacing w:after="0"/>
              <w:rPr>
                <w:sz w:val="17"/>
                <w:szCs w:val="17"/>
                <w:color w:val="auto"/>
              </w:rPr>
            </w:pP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2019-12-14T03:09:06Z</dcterms:created>
  <dcterms:modified xsi:type="dcterms:W3CDTF">2019-12-14T03:09:06Z</dcterms:modified>
</cp:coreProperties>
</file>