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3" w:lineRule="exact"/>
        <w:rPr>
          <w:sz w:val="24"/>
          <w:szCs w:val="24"/>
          <w:color w:val="auto"/>
        </w:rPr>
      </w:pPr>
    </w:p>
    <w:p>
      <w:pPr>
        <w:sectPr>
          <w:pgSz w:w="11900" w:h="16838" w:orient="portrait"/>
          <w:cols w:equalWidth="0" w:num="2">
            <w:col w:w="7500" w:space="720"/>
            <w:col w:w="3200"/>
          </w:cols>
          <w:pgMar w:left="240" w:top="226" w:right="239" w:bottom="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26" w:right="239" w:bottom="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6" w:right="239" w:bottom="0" w:gutter="0" w:footer="0" w:header="0"/>
          <w:type w:val="continuous"/>
        </w:sect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260"/>
            <w:col w:w="160" w:space="100"/>
            <w:col w:w="6080" w:space="720"/>
            <w:col w:w="1980" w:space="420"/>
            <w:col w:w="160"/>
          </w:cols>
          <w:pgMar w:left="240" w:top="226" w:right="239" w:bottom="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180" w:space="180"/>
            <w:col w:w="260" w:space="100"/>
            <w:col w:w="160" w:space="180"/>
            <w:col w:w="2360"/>
          </w:cols>
          <w:pgMar w:left="240" w:top="226"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 2017, there were 27,465,072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vMerge w:val="restart"/>
          </w:tcPr>
          <w:p>
            <w:pPr>
              <w:spacing w:after="0"/>
              <w:rPr>
                <w:sz w:val="14"/>
                <w:szCs w:val="14"/>
                <w:color w:val="auto"/>
              </w:rPr>
            </w:pPr>
          </w:p>
        </w:tc>
        <w:tc>
          <w:tcPr>
            <w:tcW w:w="2260" w:type="dxa"/>
            <w:vAlign w:val="bottom"/>
            <w:gridSpan w:val="9"/>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200" w:type="dxa"/>
            <w:vAlign w:val="bottom"/>
            <w:gridSpan w:val="6"/>
            <w:vMerge w:val="restart"/>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61"/>
        </w:trPr>
        <w:tc>
          <w:tcPr>
            <w:tcW w:w="360" w:type="dxa"/>
            <w:vAlign w:val="bottom"/>
            <w:vMerge w:val="continue"/>
          </w:tcPr>
          <w:p>
            <w:pPr>
              <w:spacing w:after="0"/>
              <w:rPr>
                <w:sz w:val="13"/>
                <w:szCs w:val="13"/>
                <w:color w:val="auto"/>
              </w:rPr>
            </w:pPr>
          </w:p>
        </w:tc>
        <w:tc>
          <w:tcPr>
            <w:tcW w:w="2260" w:type="dxa"/>
            <w:vAlign w:val="bottom"/>
            <w:tcBorders>
              <w:bottom w:val="single" w:sz="8" w:color="0000EE"/>
            </w:tcBorders>
            <w:gridSpan w:val="9"/>
            <w:vMerge w:val="continue"/>
          </w:tcPr>
          <w:p>
            <w:pPr>
              <w:spacing w:after="0"/>
              <w:rPr>
                <w:sz w:val="13"/>
                <w:szCs w:val="13"/>
                <w:color w:val="auto"/>
              </w:rPr>
            </w:pPr>
          </w:p>
        </w:tc>
        <w:tc>
          <w:tcPr>
            <w:tcW w:w="8200" w:type="dxa"/>
            <w:vAlign w:val="bottom"/>
            <w:gridSpan w:val="6"/>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83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4"/>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55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460" w:type="dxa"/>
            <w:vAlign w:val="bottom"/>
            <w:gridSpan w:val="15"/>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850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4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80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4"/>
                <w:szCs w:val="24"/>
                <w:color w:val="auto"/>
              </w:rPr>
            </w:pPr>
          </w:p>
        </w:tc>
        <w:tc>
          <w:tcPr>
            <w:tcW w:w="85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460" w:type="dxa"/>
            <w:vAlign w:val="bottom"/>
            <w:gridSpan w:val="1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340" w:type="dxa"/>
            <w:vAlign w:val="bottom"/>
            <w:gridSpan w:val="12"/>
          </w:tcPr>
          <w:p>
            <w:pPr>
              <w:jc w:val="right"/>
              <w:ind w:right="170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80" w:type="dxa"/>
            <w:vAlign w:val="bottom"/>
            <w:gridSpan w:val="5"/>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9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918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sales</w:t>
            </w: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226,314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212,226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166,954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integration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8"/>
        </w:trPr>
        <w:tc>
          <w:tcPr>
            <w:tcW w:w="9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3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 losses on change in interest rate swap fair value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3"/>
        </w:trPr>
        <w:tc>
          <w:tcPr>
            <w:tcW w:w="9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 from joint venture</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expense for income taxes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331"/>
        </w:trPr>
        <w:tc>
          <w:tcPr>
            <w:tcW w:w="9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w:t>
            </w:r>
          </w:p>
        </w:tc>
        <w:tc>
          <w:tcPr>
            <w:tcW w:w="0" w:type="dxa"/>
            <w:vAlign w:val="bottom"/>
          </w:tcPr>
          <w:p>
            <w:pPr>
              <w:spacing w:after="0"/>
              <w:rPr>
                <w:sz w:val="1"/>
                <w:szCs w:val="1"/>
                <w:color w:val="auto"/>
              </w:rPr>
            </w:pPr>
          </w:p>
        </w:tc>
      </w:tr>
      <w:tr>
        <w:trPr>
          <w:trHeight w:val="223"/>
        </w:trPr>
        <w:tc>
          <w:tcPr>
            <w:tcW w:w="9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0"/>
        </w:trPr>
        <w:tc>
          <w:tcPr>
            <w:tcW w:w="9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gridSpan w:val="5"/>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9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gridSpan w:val="5"/>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94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71"/>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1"/>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7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159,569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280,555</w:t>
            </w:r>
          </w:p>
        </w:tc>
        <w:tc>
          <w:tcPr>
            <w:tcW w:w="0" w:type="dxa"/>
            <w:vAlign w:val="bottom"/>
          </w:tcPr>
          <w:p>
            <w:pPr>
              <w:spacing w:after="0"/>
              <w:rPr>
                <w:sz w:val="1"/>
                <w:szCs w:val="1"/>
                <w:color w:val="auto"/>
              </w:rPr>
            </w:pPr>
          </w:p>
        </w:tc>
      </w:tr>
      <w:tr>
        <w:trPr>
          <w:trHeight w:val="324"/>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328,214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451,447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250,112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1,391,043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1,360,386</w:t>
            </w:r>
          </w:p>
        </w:tc>
        <w:tc>
          <w:tcPr>
            <w:tcW w:w="0" w:type="dxa"/>
            <w:vAlign w:val="bottom"/>
          </w:tcPr>
          <w:p>
            <w:pPr>
              <w:spacing w:after="0"/>
              <w:rPr>
                <w:sz w:val="1"/>
                <w:szCs w:val="1"/>
                <w:color w:val="auto"/>
              </w:rPr>
            </w:pPr>
          </w:p>
        </w:tc>
      </w:tr>
      <w:tr>
        <w:trPr>
          <w:trHeight w:val="20"/>
        </w:trPr>
        <w:tc>
          <w:tcPr>
            <w:tcW w:w="9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77,673</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obligation under capital lease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799,450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post-employment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 under capital lease,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1,063,164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327,879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1,391,043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1,360,386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7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0"/>
                <w:szCs w:val="10"/>
                <w:color w:val="auto"/>
              </w:rPr>
            </w:pPr>
          </w:p>
        </w:tc>
        <w:tc>
          <w:tcPr>
            <w:tcW w:w="9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and shares)</w:t>
            </w: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$284,508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$55,509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7,407</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expense</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Restricted and performance based stock compensation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20"/>
                <w:szCs w:val="20"/>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shares forgiven for taxes and forfeited</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Adoption of new accounting standard (see Note 1)</w:t>
            </w: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2017</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286,244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61,746</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327,879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82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8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1"/>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17,348</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9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derivative mark-to-market gains, net of cash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Joint venture net income in excess of cash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9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Compensation expense from issuance of restricted stock and incentive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9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(19,332)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(20,318)</w:t>
            </w:r>
          </w:p>
        </w:tc>
        <w:tc>
          <w:tcPr>
            <w:tcW w:w="0" w:type="dxa"/>
            <w:vAlign w:val="bottom"/>
          </w:tcPr>
          <w:p>
            <w:pPr>
              <w:spacing w:after="0"/>
              <w:rPr>
                <w:sz w:val="1"/>
                <w:szCs w:val="1"/>
                <w:color w:val="auto"/>
              </w:rPr>
            </w:pPr>
          </w:p>
        </w:tc>
      </w:tr>
      <w:tr>
        <w:trPr>
          <w:trHeight w:val="216"/>
        </w:trPr>
        <w:tc>
          <w:tcPr>
            <w:tcW w:w="96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3"/>
        </w:trPr>
        <w:tc>
          <w:tcPr>
            <w:tcW w:w="96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(8,008)</w:t>
            </w:r>
          </w:p>
        </w:tc>
        <w:tc>
          <w:tcPr>
            <w:tcW w:w="0" w:type="dxa"/>
            <w:vAlign w:val="bottom"/>
          </w:tcPr>
          <w:p>
            <w:pPr>
              <w:spacing w:after="0"/>
              <w:rPr>
                <w:sz w:val="1"/>
                <w:szCs w:val="1"/>
                <w:color w:val="auto"/>
              </w:rPr>
            </w:pPr>
          </w:p>
        </w:tc>
      </w:tr>
      <w:tr>
        <w:trPr>
          <w:trHeight w:val="223"/>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(7,991)</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of short-term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stock and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withheld to satisfy income tax withholding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23"/>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Asia. Our business is aggregated into three reportable segments, the Precision Bearing Components Group, the Precision Engineered Products Group and the Autocam Precision Components Group. As used in this Quarterly Report on Form 10-Q, the terms “NN”, the “Company”, “we”, “our”, or “us” mean NN, Inc. and its subsidiaries.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NN, Inc. have not been audited, except that the Condensed Consolidated Balance Sheet at December 31, 2016 was derived from our audited consolidated financial statements included in our Annual Report on Form 10-K for the year ended December 31, 2016 (the “2016 Annual Report”), which was filed with the U.S. Securities and Exchange Commission (the “SEC”), on March 16, 2017. In our opinion, these Condensed Consolidated Financial Statements reflect all adjustments necessary to fairly state the results of operations for the three month periods ended March 31, 2017 and 2016, our financial position at March 31, 2017 and December 31, 2016, and the cash flows for the three month periods ended March 31, 2017 and 2016 on a basis consistent with our audited consolidated financial statements. These adjustments are of a normal recurring nature and are, in the opinion of management, necessary to present fairly our financial position and operating results for the interim periods.</w:t>
      </w:r>
    </w:p>
    <w:p>
      <w:pPr>
        <w:spacing w:after="0" w:line="18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the notes thereto included in the 2016 Annual Report. The results for the three months ended March 31, 2017 are not necessarily indicative of results for the year ending December 31, 2017 or any other future periods.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Newly Adopted Accounting Standards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March 2016, accounting standard update (“ASU”) 2016-09 – Improvements to Employee Share-Based Payment Accounting was issued regarding the guidance of how companies will account for certain aspects of share-based payments to employees. Entities will be required to recognize the income tax effects of awards in the income statement when the awards vest or are settled (i.e., additional paid-in capital or APIC pools will be eliminated). The guidance on employers’ accounting for an employee’s use of shares to satisfy the employer’s statutory income tax withholding obligation and for forfeitures is changing. The guidance is effective for public business entities for fiscal years beginning after December 15, 2016, and interim periods within those fiscal years. As of January 1, 2017, we adopted ASU 2016-09 and the results of the Standard are reflected in the three months ended March 31, 2017 balances. Upon adoption, historical tax benefits were reclassified from deferred taxes to retained earnings, prospective tax benefits will be recognized in income tax expense; tax payments in respect of shares withheld for taxes are now classified in the financing section of the statement of cash flows; and the dilutive earnings per share calculation excludes the tax benefits that generated more diluted shares. The effects of adoption were immaterial to the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New Accounting Standards</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2014, the FASB issued accounting guidance that provides a single, comprehensive revenue recognition model for all contracts with customers and supersedes most of the existing revenue recognition requirements. Under this guidance, an entity should recognize revenue to depict the transfer of promised goods or services to customers in an amount that reflects the consideration to which the entity expects to be entitled in exchange for those goods or services. In August 2015, the FASB issued accounting guidance that delayed the effective date of this standard by one year, making the guidance effective for fiscal years beginning after December 15, 2017. The new revenue guidance may impact the timing of recognition for certain Company’s customer incentives. Factors that will affect pre-and post-implementation include, but are not limited to, identifying all the contracts that exist and whether incidental obligations or marketing incentives included in those contracts are performance obligations. The revenue recognition standard may impact the timing of when revenue received under these performance obligations is recognized. We are still evaluating the impact the adoption of these ASC updates will have on our financial condition, results of operations and cash flows by performing scoping and contract analysis procedures. We intend to adopt these standards effective January 1, 2018 on a full retrospective transition method and also intend on applying all practical expedients related to completed contracts upon adoption. Our final evaluation of the impact of adopting these ASC updates is expected to be completed during 2017.</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 February 25, 2016, the FASB issued ASU 2016-02, Leases (“ASU 2016-02”). ASU 2016-02 creates Topic 842, Leases, in the FASB Accounting Standards Codification (“FASB ASC”) and supersedes FASB ASC 840, Leases. Entities that hold numerous equipment and real estate leases, in particular those with numerous operating leases, will be most affected by the new guidance. The leasing accounting standard is effective for public companies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have also carried out inquiries within segment locations compiling information on operating and capital leases. We are currently evaluating the impacts of the lease accounting standards regarding these and other leases identified on our financial position or results of operations and related disclosures.</w:t>
      </w:r>
    </w:p>
    <w:p>
      <w:pPr>
        <w:spacing w:after="0" w:line="1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FASB issued ASU 2016-15 - Statement of Cash Flows (Topic 230): Classification of Certain Cash Receipts and Cash Payments (a consensus of the Emerging Issues Task Force) (“ASU 2016-15”). This ASU provides clarification on how certain cash receipts and cash payments are presented and classified on the statement of cash flows. This ASU is effective for annual and interim periods beginning in 2018 and is required to be adopted using a retrospective approach if practicable, with early adoption permitted. The Company does not expect the adoption of this ASU to have a material impact on its Consolidated Statement of Cash Flows.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January 2017, the FASB issued ASU 2017-04 – Intangibles – Goodwill and Other (Topic 350) Simplifying the Test for Goodwill Impairment that eliminates the requirement to calculate the implied fair value of goodwill (i.e., Step 2 of today’s goodwill impairment test) to measure a goodwill impairment charge. Instead, entities will record an impairment charge based on the excess of a reporting unit’s carrying amount over its fair value (i.e., measure the charge based on today’s Step 1). The standard has tiered effective dates, starting in 2020 for calendar-year public business entities that meet the definition of an SEC filer. Early adoption is permitted for interim and annual goodwill impairment testing dates after January 1, 2017. We are currently evaluating the impact this new guidance is expected to have on our financial position or results of operations and related disclosures.</w:t>
      </w:r>
    </w:p>
    <w:p>
      <w:pPr>
        <w:spacing w:after="0" w:line="18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dollar amounts presented in the tables in these Notes to the Condensed Consolidated Financial Statements are in thousands.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6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116,561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114,851</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March 31, 2017 and December 31, 2016 totaled $4.4 million and $5.0 million, respectively.</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Income Per Share</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27,303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27,634</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both the three month periods ended March 31, 2017 and 2016, approximately 0.6 million and 0.8 million potentially dilutive stock options, respectively, had the effect of being anti-dilutive and were excluded from the calculation of diluted earnings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the 2016 Annual Report. Our business is aggregated into three reportable segments, the Precision Bearing Components Group, the Precision Engineered Products Group and the Autocam Precision Components Group. We account for inter-segment sales and transfers at current market prices. We did not have any significant inter-segment transactions during the three month period ended March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March 31, 2017</w:t>
            </w: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68,759</w:t>
            </w:r>
          </w:p>
        </w:tc>
        <w:tc>
          <w:tcPr>
            <w:tcW w:w="28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86,446</w:t>
            </w: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71,109</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226,829</w:t>
            </w:r>
          </w:p>
        </w:tc>
        <w:tc>
          <w:tcPr>
            <w:tcW w:w="180" w:type="dxa"/>
            <w:vAlign w:val="bottom"/>
          </w:tcPr>
          <w:p>
            <w:pPr>
              <w:spacing w:after="0"/>
              <w:rPr>
                <w:sz w:val="20"/>
                <w:szCs w:val="20"/>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428,512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727,418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1,391,043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Three Months ended March 31, 2016</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64,745</w:t>
            </w:r>
          </w:p>
        </w:tc>
        <w:tc>
          <w:tcPr>
            <w:tcW w:w="28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83,990</w:t>
            </w: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63,491</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227,852</w:t>
            </w:r>
          </w:p>
        </w:tc>
        <w:tc>
          <w:tcPr>
            <w:tcW w:w="180" w:type="dxa"/>
            <w:vAlign w:val="bottom"/>
          </w:tcPr>
          <w:p>
            <w:pPr>
              <w:spacing w:after="0"/>
              <w:rPr>
                <w:sz w:val="20"/>
                <w:szCs w:val="20"/>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426,741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737,956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1,395,617</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March 31, 2017 and December 31, 2016 consisted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9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$545.0 million Senior Secured Term Loan B (“Senior Secured Term Loan”) bearing</w:t>
            </w: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at the greater of 0.75% or 1 month LIBOR (0.98% at March 31, 2017) plus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 applicable margin of 4.25% at March 31, 2017, expiring October 19, 2022, net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debt issuance costs of $18.2 million at March 31, 2017 and $19.0 million at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$523,884</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524,539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$143.0 million Senior Secured Revolver (“Senior Secured Revolver”) bearing</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at LIBOR (0.98% at March 31, 2017) plus an applicable margin of 3.50% at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2017, expiring October 19, 2020, net of debt issuance costs of</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million at March 31, 2017 and $2.7 million at December 31, 2016.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38,021</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$250.0 million Senior Notes (“Senior Notes”)bearing interest at 10.25%, maturing</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November 1, 2020, net of debt issuance costs of $4.7 million at March 31, 2017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$4.9 million at December 31, 2016.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245,340</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Safeguard Obligations (Autocam)</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 (Autocam)</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line of credit (Autocam)</w:t>
            </w:r>
          </w:p>
        </w:tc>
        <w:tc>
          <w:tcPr>
            <w:tcW w:w="2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799,450</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subsequent event footnote related to amending the Senior Secured Term Loan for the Incremental Term Loan and the redemption of the Senior Notes.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part of Autocam Corporation (“Autocam”), we assumed certain foreign credit facilities. These facilities relate to local borrowings in France, Brazil and China. These facilities are with financial institutions in the countries in which foreign plants operate and are used to fund working capital and equipment purchases in those countries. The following paragraphs describe these foreign credit facilities.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March 31, 2017 to those creditors opting to be paid over a 10-year period totaled $0.4 million, of which $0.1 million is included in current maturities of long-term debt and $0.3 million is included in long-term debt, net of current portion, on the Condensed Consolidated Balance Sheet.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Chinese line of credit is a working capital line of credit with a Chinese bank bearing an annual interest rate of approximately 4.6%.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net, for the three months ended March 31, 2017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50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Group</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70,717</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$ 370,685</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$ 450,311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70,821</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4"/>
              </w:rPr>
              <w:t>$ 371,629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451,447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goodwill balances are tested for impairment on an annual basis during the fourth quarter and more often if a triggering event occurs. As of March 31, 2017, there were no indications of impairment at the reporting units with goodwill balances.</w:t>
      </w:r>
    </w:p>
    <w:p>
      <w:pPr>
        <w:sectPr>
          <w:pgSz w:w="11900" w:h="16838" w:orient="portrait"/>
          <w:cols w:equalWidth="0" w:num="1">
            <w:col w:w="11260"/>
          </w:cols>
          <w:pgMar w:left="240" w:top="455" w:right="399" w:bottom="1440" w:gutter="0" w:footer="0" w:header="0"/>
        </w:sectPr>
      </w:pP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net, for the three months ended March 31, 2017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3"/>
                <w:szCs w:val="13"/>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42,928</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$ 211,335</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(874)</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(4,966)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$ 206,369</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250,112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Shared-Based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compensation expense during the three months ended March 31, 2017 and 2016 consisted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share units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1,152</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we granted 125,700 option awards to officers and certain other key employees. The weighted average grant date fair value of options granted during the three months ended March 31, 2017, was $11.84. The fair value of our options cannot be determined by market value, because our options are not traded in an open market. Accordingly, we utilized the Black Scholes financial pricing model to estimate the fair value. The weighted average assumptions relevant to determining the fair value of the 2017 stock option grants are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2"/>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6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56.56%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months ended March 31, 2017: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740" w:type="dxa"/>
            <w:vAlign w:val="bottom"/>
            <w:gridSpan w:val="2"/>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(000)</w:t>
            </w:r>
          </w:p>
        </w:tc>
        <w:tc>
          <w:tcPr>
            <w:tcW w:w="360" w:type="dxa"/>
            <w:vAlign w:val="bottom"/>
            <w:gridSpan w:val="2"/>
            <w:vMerge w:val="restart"/>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740" w:type="dxa"/>
            <w:vAlign w:val="bottom"/>
            <w:tcBorders>
              <w:bottom w:val="single" w:sz="8" w:color="CCEEFF"/>
            </w:tcBorders>
            <w:gridSpan w:val="2"/>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gridSpan w:val="2"/>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20" w:type="dxa"/>
            <w:vAlign w:val="bottom"/>
            <w:tcBorders>
              <w:bottom w:val="single" w:sz="8" w:color="CCEEFF"/>
            </w:tcBorders>
            <w:gridSpan w:val="2"/>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11.45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13.88</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 (1)</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color w:val="auto"/>
              </w:rPr>
              <w:t>Exercisable at March 31,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line="20" w:lineRule="exact"/>
              <w:rPr>
                <w:sz w:val="1"/>
                <w:szCs w:val="1"/>
                <w:color w:val="auto"/>
              </w:rPr>
            </w:pPr>
          </w:p>
        </w:tc>
      </w:tr>
      <w:tr>
        <w:trPr>
          <w:trHeight w:val="210"/>
        </w:trPr>
        <w:tc>
          <w:tcPr>
            <w:tcW w:w="5700" w:type="dxa"/>
            <w:vAlign w:val="bottom"/>
            <w:gridSpan w:val="4"/>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6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6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intrinsic value is the amount by which the market price of our stock was greater than the exercise price of any individual option grant at March 31,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we granted 83,135 restricted stock awards to non-executive directors, officers and certain other key employees. The shares of restricted stock granted during the three months ended March 31, 2017, vest pro-rata over three years for officers and certain other key employees and over one year for non-executive directors. The fair value of the shares issued was determined by using the grant date closing price of our common stock, or $24.20.</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2017, we granted 98,618 restricted stock awards to officers and certain other key employees. The performance share units granted will be satisfied in the form of shares of common stock during 2020 if certain performance and/or market conditions are met. We are recognizing the compensation expense over the three-year period in which the performance and market conditions are measured. The fair value of the performance share units issued was determined by using the grant date closing price of our common stock for the units with a performance condition, or $24.20, and a Monte Carlo valuation model for the units that have a market condition, or $29.84.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Provision for 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three-month period ended March 31, 2017 was 29% as compared to 21% for the three-month period ended March 31, 2016. Our effective tax rate for 2017 and 2016 differs from the U.S. federal statutory rate of 34% due primarily to our earnings outside the United States that are indefinitely reinvested and taxed at rates lower than the U.S. federal statutory rate.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believes that it is reasonably possible that the amount of unrecognized income tax benefits and interest may decrease during the next 12 months by approximately $0.6 million related to the expiration of the statutes of limitations, of which $0.5 million would reduce income tax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March 31, 2017 for this matter. There was no material change in the status of this matter from December 31, 2016 to March 31, 2017.</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 Legal Matters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Investment in Non-Consolidated Joint Venture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part of the Autocam acquisition, we own a 49% investment in a joint venture with an unrelated entity called Wuxi Weifu Autocam Precision Machinery Company, Ltd. (the “JV”), a Chinese company located in Wuxi, China. The JV is jointly controlled and managed, and is being accounted for under the equity method.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5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Below are the components of our JV investment balance and activity for the period ending March 31, 2017: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6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Our share of cumulative earnings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basis difference from purchase accounting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42,387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the JV:</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$ 37,441</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$ 60,904</w:t>
            </w: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6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$ 15,853</w:t>
            </w:r>
          </w:p>
        </w:tc>
        <w:tc>
          <w:tcPr>
            <w:tcW w:w="54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$ 15,853</w:t>
            </w: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spacing w:after="0" w:line="282" w:lineRule="auto"/>
        <w:rPr>
          <w:sz w:val="20"/>
          <w:szCs w:val="20"/>
          <w:color w:val="auto"/>
        </w:rPr>
      </w:pPr>
      <w:r>
        <w:rPr>
          <w:rFonts w:ascii="Times New Roman" w:cs="Times New Roman" w:eastAsia="Times New Roman" w:hAnsi="Times New Roman"/>
          <w:sz w:val="18"/>
          <w:szCs w:val="18"/>
          <w:color w:val="auto"/>
        </w:rPr>
        <w:t>We had sales to the JV of approximately $0.1 million during the three months ended March 31, 2017. Amounts due to us from the JV were $0.1 million as of March 31,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the 2016 Annual Report.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At March 31, 2017, the carrying values of all of these financial instruments, except the long-term debt with fixed interest rates, approximated fair value. The fair value of floating-rate debt approximates the carrying amount because the interest rates paid are based on short-term maturities. The fair value of our fixed-rate long-term debt is estimated based on the Bloomberg algorithm, which takes into account similar sized and industry debt (a Level 2 category fair value measurement). As of March 31, 2017, the fair value of our fixed-rate debt was $250.1 million, and $245.4 net of debt issuance costs.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46"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measured at fair value on a recurring basis for our interest rate swap derivative financial instrument:</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7"/>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2017</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700" w:type="dxa"/>
            <w:vAlign w:val="bottom"/>
          </w:tcPr>
          <w:p>
            <w:pPr>
              <w:spacing w:after="0"/>
              <w:rPr>
                <w:sz w:val="10"/>
                <w:szCs w:val="10"/>
                <w:color w:val="auto"/>
              </w:rPr>
            </w:pPr>
          </w:p>
        </w:tc>
        <w:tc>
          <w:tcPr>
            <w:tcW w:w="15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7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4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720" w:type="dxa"/>
            <w:vAlign w:val="bottom"/>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 - current</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asset - noncurrent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 current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liability - noncurrent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(2,110)</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2016</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700" w:type="dxa"/>
            <w:vAlign w:val="bottom"/>
          </w:tcPr>
          <w:p>
            <w:pPr>
              <w:spacing w:after="0"/>
              <w:rPr>
                <w:sz w:val="10"/>
                <w:szCs w:val="10"/>
                <w:color w:val="auto"/>
              </w:rPr>
            </w:pPr>
          </w:p>
        </w:tc>
        <w:tc>
          <w:tcPr>
            <w:tcW w:w="15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7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4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720" w:type="dxa"/>
            <w:vAlign w:val="bottom"/>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 - current</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asset - noncurrent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 current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liability - noncurrent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(2,856)</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00"/>
        <w:spacing w:after="0" w:line="313" w:lineRule="auto"/>
        <w:rPr>
          <w:sz w:val="20"/>
          <w:szCs w:val="20"/>
          <w:color w:val="auto"/>
        </w:rPr>
      </w:pPr>
      <w:r>
        <w:rPr>
          <w:rFonts w:ascii="Times New Roman" w:cs="Times New Roman" w:eastAsia="Times New Roman" w:hAnsi="Times New Roman"/>
          <w:sz w:val="17"/>
          <w:szCs w:val="17"/>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$150 million interest rate swap went into effect on December 29, 2015, at which time our interest rate was effectively 6.966%. The objective of the hedge was to eliminate the variability of cash flows in interest payments on the first $150 million of variable interest rate debt (the Term Loan B). The variable rate benchmark was the three month LIBOR rate for both the Term Loan B and the interest rate swap. The changes in cash flows of the interest rate swap were expected to exactly offset the changes in cash flows of the Term Loan B. The hedged risk was the interest rate risk exposure to changes in the interest payments, attributable to changes in the benchmark three month LIBOR interest rates (subject to a 1.0% LIBOR index floor) from December 29, 2015 through December 31, 2018. As amended, the LIBOR floor index was lowered to 0.75% on September 30, 2016, and our intent regarding future interest rate resets changed. Three-month LIBOR was above the floor, and it was more economical to use one month LIBOR. Therefore, our intentions called into question the probability of the amounts deferred in accumulated other comprehensive income (“AOCI”) as the forecasted transactions would not be probable. As a result, we chose to discontinue hedge accounting, reclassified all amounts in AOCI to earnings, and began to account for the interest rate swap on a mark-to-market basis during 2016. The change in reporting will have no impact on our reported cash flows, although future results of operations on a generally accepted accounting principles basis will be affected by the potential volatility of mark-to-market gains and losses which fluctuate with changes in interest rates.</w:t>
      </w:r>
    </w:p>
    <w:p>
      <w:pPr>
        <w:spacing w:after="0" w:line="19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elected to present the derivative contracts on a gross basis in the Consolidated Balance Sheet included within other current assets and other non-current assets and other current liabilities and other non-current liabilities. To the extent we presented the derivative contract on a net basis, we would have a derivative in a net liability position of $2.1 million as of March 31, 2017. We do not have any cash collateral due under such agreements.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March 31, 2017, we reported no gains or losses in AOCI related to the interest rate swaps. Additionally, during 2016 when the interest rate swap was accounted for in accordance with hedge accounting, the periodic settlements and related reclassification of other comprehensive income was $1.4 million of net hedging losses on the interest rate swap in the interest expense line on the Consolidated Statements of Operations. We recognized $0.5 million of interest rate swap settlements for the first quarter of 2017 in Derivative losses on change in interest rate swap fair value line on the Consolidated Statement of Operations. If there are no changes in the interest rates for the next twelve months, we expect $1.5 million in cash payments related to the interest rates swap. See the following “Derivatives’ Hedging Relationships” section of this Note for more information regarding the impact of the interest rate swaps on our Condensed Consolidated Financial Statements.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 Cash Flow Hedging 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18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0" w:type="dxa"/>
            <w:vAlign w:val="bottom"/>
          </w:tcPr>
          <w:p>
            <w:pPr>
              <w:spacing w:after="0"/>
              <w:rPr>
                <w:sz w:val="1"/>
                <w:szCs w:val="1"/>
                <w:color w:val="auto"/>
              </w:rPr>
            </w:pPr>
          </w:p>
        </w:tc>
      </w:tr>
      <w:tr>
        <w:trPr>
          <w:trHeight w:val="146"/>
        </w:trPr>
        <w:tc>
          <w:tcPr>
            <w:tcW w:w="18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7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7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AOCI into</w:t>
            </w:r>
          </w:p>
        </w:tc>
        <w:tc>
          <w:tcPr>
            <w:tcW w:w="0" w:type="dxa"/>
            <w:vAlign w:val="bottom"/>
          </w:tcPr>
          <w:p>
            <w:pPr>
              <w:spacing w:after="0"/>
              <w:rPr>
                <w:sz w:val="1"/>
                <w:szCs w:val="1"/>
                <w:color w:val="auto"/>
              </w:rPr>
            </w:pPr>
          </w:p>
        </w:tc>
      </w:tr>
      <w:tr>
        <w:trPr>
          <w:trHeight w:val="131"/>
        </w:trPr>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Net Income (effective</w:t>
            </w:r>
          </w:p>
        </w:tc>
        <w:tc>
          <w:tcPr>
            <w:tcW w:w="0" w:type="dxa"/>
            <w:vAlign w:val="bottom"/>
          </w:tcPr>
          <w:p>
            <w:pPr>
              <w:spacing w:after="0"/>
              <w:rPr>
                <w:sz w:val="1"/>
                <w:szCs w:val="1"/>
                <w:color w:val="auto"/>
              </w:rPr>
            </w:pPr>
          </w:p>
        </w:tc>
      </w:tr>
      <w:tr>
        <w:trPr>
          <w:trHeight w:val="171"/>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-1412875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9" w:right="60"/>
        <w:spacing w:after="0" w:line="233" w:lineRule="auto"/>
        <w:rPr>
          <w:sz w:val="20"/>
          <w:szCs w:val="20"/>
          <w:color w:val="auto"/>
        </w:rPr>
      </w:pPr>
      <w:r>
        <w:rPr>
          <w:rFonts w:ascii="Times New Roman" w:cs="Times New Roman" w:eastAsia="Times New Roman" w:hAnsi="Times New Roman"/>
          <w:sz w:val="14"/>
          <w:szCs w:val="14"/>
          <w:b w:val="1"/>
          <w:bCs w:val="1"/>
          <w:color w:val="auto"/>
        </w:rPr>
        <w:t>Pre-tax amount of gain/(loss) reclassified from AOCI in Net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wp:posOffset>
            </wp:positionV>
            <wp:extent cx="12865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ind w:left="180"/>
        <w:spacing w:after="0" w:line="230" w:lineRule="auto"/>
        <w:tabs>
          <w:tab w:leader="none" w:pos="13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p>
    <w:p>
      <w:pPr>
        <w:sectPr>
          <w:pgSz w:w="11900" w:h="16838" w:orient="portrait"/>
          <w:cols w:equalWidth="0" w:num="3">
            <w:col w:w="4680" w:space="720"/>
            <w:col w:w="3540" w:space="380"/>
            <w:col w:w="210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2860" w:type="dxa"/>
            <w:vAlign w:val="bottom"/>
            <w:shd w:val="clear" w:color="auto" w:fill="000000"/>
          </w:tcPr>
          <w:p>
            <w:pPr>
              <w:spacing w:after="0" w:line="20" w:lineRule="exact"/>
              <w:rPr>
                <w:sz w:val="1"/>
                <w:szCs w:val="1"/>
                <w:color w:val="auto"/>
              </w:rPr>
            </w:pPr>
          </w:p>
        </w:tc>
        <w:tc>
          <w:tcPr>
            <w:tcW w:w="2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Forward starting interest rate swap contract</w:t>
            </w: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ind w:lef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w w:val="98"/>
              </w:rPr>
              <w:t>Interest Expense</w:t>
            </w:r>
          </w:p>
        </w:tc>
        <w:tc>
          <w:tcPr>
            <w:tcW w:w="34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(1,393)</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March 31, 2017, we did not own derivative instruments that were classified as fair value hedges or trading securities. In addition, as of March 31, 2017, we did not own derivative instruments containing credit risk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Restructuring and Integration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integration costs totaling $0.1 million and $2.5 million were recognized in the three months ended March 31, 2017 and 2016.</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Within the Precision Bearing Components Group, restructuring initiatives to optimize operations in the U.S., Italy, the Netherlands, Mexico and at segment headquarters resulted in a charge of $0.1 and $0.7 million for the three months ended March 31, 2017 and 2016, respectively. These charges consisted primarily of severance and other employee costs relating to personnel reductions.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Within the Autocam Precision Components Group, certain restructuring programs, including the closure of one facility, the Wheeling Plant, resulted in a charge of $10 thousand and $1.5 million for the three months ended March 31, 2017 and 2016,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Within the Precision Engineered Products Group, initiatives resulted in integration, site closure and employee costs of $0.3 million for the three months ended March 31, 2016. There were no charges in the three months ended March 31,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restructuring and integration activity related to actions incurred for the three months ended March 31, 2017 and 2016:</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6"/>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Integration and other associated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88"/>
              </w:rPr>
              <w:t>140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line="20" w:lineRule="exact"/>
              <w:rPr>
                <w:sz w:val="1"/>
                <w:szCs w:val="1"/>
                <w:color w:val="auto"/>
              </w:rPr>
            </w:pPr>
          </w:p>
        </w:tc>
      </w:tr>
      <w:tr>
        <w:trPr>
          <w:trHeight w:val="361"/>
        </w:trPr>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64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4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6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140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Integration and other associated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140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total restructuring and impairment costs are still being identified at the various segments; therefore, we are not able to estimate the ultimate costs at this time. We will include in future filings updates to these activities along with a reconciliation of beginning and ending liabilities recorded. The amounts recorded for the three months ended March 31, 2017 for restructuring charges that have been incurred are primarily expected to be paid out during 2017. Some amounts related to foreign locations extend through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2017, we redeemed our Senior Notes for $281.6 million resulting in a loss on debt extinguishment of $36.3 million. The Senior Notes were redeemed with the proceeds of a new $300 million Incremental Term Loan (the “Incremental Term Loan”) that was added by amendment to our existing Senior Secured Term Loan. The interest rate on the Incremental Term Loan was priced at LIBOR plus 3.75%, and the Incremental Term Loan has a maturity date of April 3, 2021.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our 2016 Annual Report on Form 10-K for the fiscal year ended December 31, 2016, which we filed with the SEC on March 16, 2017 (the “2016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Influence Results of Operations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factors that have influenced our three months ended March 31, 2017 results of operations that we believe are important to provide an understanding of our business and results of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 Compared to the Three Months Ended March 31, 2016</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7"/>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9"/>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226,314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212,226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14,088</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pass-through/mix</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1,990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w:t>
            </w:r>
          </w:p>
        </w:tc>
        <w:tc>
          <w:tcPr>
            <w:tcW w:w="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166,954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159,754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7,200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Mix</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1,747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Cost reduction projects/other</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(4,180)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Infrastructure and staffing costs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764</w:t>
            </w: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15,568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17,348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Amortization of Backlog/unfavorable leasehold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Increase in expense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integration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(2,398)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22,158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w w:val="96"/>
              </w:rPr>
              <w:t>10,284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(gains) losses on change in interest rate swap fair value</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 from</w:t>
            </w: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c>
          <w:tcPr>
            <w:tcW w:w="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w w:val="96"/>
              </w:rPr>
              <w:t>11,433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joint venture</w:t>
            </w: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expense for income taxes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during the first quarter of 2017 from the first quarter of 2016 by $14.1 million, principally due to higher volumes and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product mix. The higher volumes were primarily due to improvements within the industrial and medical market demand. Overall, sales were ahead of prior year by $4.0 million, $2.5 million and $7.6 million for PBC, APC and PEP. Partially offsetting these increases were the impact of devaluation of the euro and other currency denominated sales.</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The increase in cost of products sold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demand and production volumes. Partially offsetting these increases was the impact of the devaluation of the euro and other currency denominated costs. Additionally, increases were partially offset by cost savings from production process improvement projects.</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The majority of the increase during the first quarter of 2017 from the first quarter of 2016 was due to the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staffing costs incurred related to our strategic initiatives.</w:t>
      </w:r>
    </w:p>
    <w:p>
      <w:pPr>
        <w:spacing w:after="0" w:line="1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 decrease in depreciation and amortization during the first quarter of 2017 from the first quarter of 2016 is principally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remaining backlog and unfavorable leasehold intangibles amortized during the first quarter of 2016. Partially offsetting the overall decrease were additional increases in depreciation expense from new capital projects capitalized.</w:t>
      </w:r>
    </w:p>
    <w:p>
      <w:pPr>
        <w:spacing w:after="0" w:line="174" w:lineRule="exact"/>
        <w:rPr>
          <w:sz w:val="20"/>
          <w:szCs w:val="20"/>
          <w:color w:val="auto"/>
        </w:rPr>
      </w:pPr>
    </w:p>
    <w:p>
      <w:pPr>
        <w:jc w:val="both"/>
        <w:ind w:right="280"/>
        <w:spacing w:after="0" w:line="290"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decreased $1.5 million due to lower interest rates subsequent to the third quarter 2016 refinancing of the Senior Secured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Loan and Senior Secured Revolver and the change in accounting for derivative interest rate swaps in the same period. Interest rate swap settlements, along with the non-cash mark-to-market gains and losses, are recorded in the Derivative (gains) losses on change in interest rate swap fair value line item.</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Interest</w:t>
            </w:r>
          </w:p>
        </w:tc>
        <w:tc>
          <w:tcPr>
            <w:tcW w:w="60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primarily relates to the equipment construction efforts at the various plants.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BEARING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9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68,759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64,745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$4,014</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(2,151)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pass-through/mix</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2,191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6,326</w:t>
            </w:r>
          </w:p>
        </w:tc>
        <w:tc>
          <w:tcPr>
            <w:tcW w:w="15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$4.0 million during the first quarter of 2017 from the first quarter of 2016 due to higher demand volumes and changes to product mix. The higher volumes were primarily due to demand improvements within the industrial and automotive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from operations was consistent with the increase in net sales and from continuous improvement projects.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AUTOCAM PRECISION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$86,446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83,990</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$2,456</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pass-through/mix</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(484)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10,601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6,527</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4,074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sales increased $2.5 million during the first quarter of 2017 from the first quarter of 2016 due to industrial market demand improvements in the US and new automotive program launches in Asia and Brazil.</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increase in income from operations was consistent with the increase in net sales. Additionally, in the prior year, income from operations included $2.3 million in restructuring costs that did not reoccur.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ENGINEERED PRODUCTS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$71,109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63,491</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$7,618</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pass-through/mix</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283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10,914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5,421</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5,493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sales increased $7.6 million during the first quarter of 2017 from the first quarter of 2016 due to the overall improvement in demand across the medical market from new program wins and generally market growth. Additional growth was driven through new customers within the aerospace market.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increase in income from operations was consistent with the increase in net sales; additionally, amortization decreased due to the lack of 2017 backlog amortized, which occurred during the first quarter of 2016 and impacted operations by $2.5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2016 to March 31, 2017.</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December 31, 2016 to March 31, 2017, total assets increased by $30.7 million, and current assets increased by $29.8 million. The asset balance during 2017 was driven by an increase in accounts receivable and cash and cash equivalents, offset partially by amortization expense of intangibles. Despite the increase in net sales, we held inventory levels relatively flat with days inventory outstanding decreasing approximately 5 days.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December 31, 2016 to March 31, 2017, total liabilities increased by $18.0 million. The majority of the increase was due to the $5.9 million increase in income taxes payable, and $11.7 million increase in debt.</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and current maturities of long-term debt, was $160.2 million at March 31, 2017, compared to $141.9 million at December 31, 2016. The increase in working capital was due primarily to the increase in accounts receivable and cash and cash equivalents, as discussed above.</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Cash provided by operations was $5.2 million in 2017 compared with cash provided by operations of $3.4 million in 2016. The difference was due to increased earnings, net of noncash activity, offset by increased accounts receivables.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used by investing activities was $8.5 million in 2017 compared with cash used by investing activities of $8.0 million in 2016. The primary difference was capital spending related to an increased basis of plants to support and maintain.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$8.3 million in 2017 compared with cash provided by financing activities of $5.4 million in 2016. The driver in 2017 was primarily related to proceeds of debt to fund working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Amounts outstanding under our Senior Secured Term Loan, Senior Notes, and our Senior Secured Revolver as of March 31, 2017, were $832.7 million (without regard to debt issuance costs). As of March 31, 2017, we could borrow up to $92.0 million under our Senior Secured Revolver subject to certain limitations. The $92.0 million of availability is net of $10.4 million of outstanding letters of credit at March 31, 2017, which are considered as usage of the Senior Secured Revolver.</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Senior Secured Term Loan requires us to pay quarterly 0.25% (or $1.4 million) of the initial principal amount through September 30, 2022 with the remaining principal amount due on the maturity date. Additionally, as long as LIBOR stays below 0.75%, we will be paying 5.00% per annum in interest. If the LIBOR exceeds 0.75%, then the rate will be the variable LIBOR rate plus an applicable margin of 4.25%. Based on the outstanding balance at March 31, 2017, the annual interest payments would have been $28.4 million.</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Senior Secured Revolver requires us to pay interest rate of LIBOR plus an applicable margin of 3.50%. Based on the outstanding balance at March 31, 2017, the annual interest payments would have been $1.7 million.</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Senior Notes require us to pay annual interest of 10.25% payable semi-annually in arrears on May 1 and November 1 of each year. Based on the outstanding balance at March 31, 2017, the annual interest payments would have been $25.6 million. However, based upon the retirement of the Senior Notes discussed in Note 14 of the Notes to the Consolidated Financial Statements for information related to amending the Senior Secured Term Loan to provide for the Incremental Term Loan and the retirement of the Senior Notes, the interest paid was $10.8 million for the period November 1, 2016 through April 3, 2017.</w:t>
      </w:r>
    </w:p>
    <w:p>
      <w:pPr>
        <w:sectPr>
          <w:pgSz w:w="11900" w:h="16838" w:orient="portrait"/>
          <w:cols w:equalWidth="0" w:num="1">
            <w:col w:w="11420"/>
          </w:cols>
          <w:pgMar w:left="240" w:top="455"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Subsequent to March 31, 2017, we redeemed our Senior Notes for $281.6 million resulting in a loss on debt extinguishment of $36.3 million. The Senior Notes were redeemed with the proceeds of a new $300 million Incremental Term Loan (the “Incremental Term Loan”) that was added by amendment to our existing Senior Secured Term Loan. The interest rate on the Incremental Term Loan was priced at LIBOR plus 3.75%, and the Incremental Term Loan has a maturity date of April 3, 2021.</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that funds generated from our consolidated operations will provide sufficient cash flow to service these required debt and interest payments under these facilities.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March 31, 2017, no currency hedges were in place. In addition, a strengthening of the U.S. dollar and/or euro against foreign currencies could impair our ability to compete with international competitors for foreign as well as domestic sales.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next twelve months, we expect capital expenditures to remain relatively consistent,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$92.0 million and our forecasted positive cash flow from operations for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medical device sales are often stronger in the fourth calendar quarter and sales to OEMs are often stronger immediately preceding and following the launch of new products. However, as a whole, we are not subject to material seasonality.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2016 Annual Report, including those policies as discussed in Note 1 to the Notes to Consolidated Financial Statements included in the 2016 Annual Report. There have been no changes to these policies during the three months ended March 31, 2017, except as discussed in Note 1 to the Notes to Condensed Consolidated Financial Statements included in this Quarterly Report on Form 10-Q.</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March 31, 2017, we had $40.5 million outstanding under our variable rate revolving credit facilities, without regard to debt issuance costs. See Note 5 of the Notes to Condensed Consolidated Financial Statements in this Quarterly Report on Form 10-Q. At March 31, 2017, a one-percent increase in the interest rate charged on our outstanding variable rate borrowings under our Senior Secured Revolver would result in interest expense increasing annually by approximately $0.4 million.</w:t>
      </w:r>
    </w:p>
    <w:p>
      <w:pPr>
        <w:sectPr>
          <w:pgSz w:w="11900" w:h="16838" w:orient="portrait"/>
          <w:cols w:equalWidth="0" w:num="1">
            <w:col w:w="11380"/>
          </w:cols>
          <w:pgMar w:left="240" w:top="455" w:right="279" w:bottom="144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March 31, 2017, we had $542.1 million outstanding under our variable rate Senior Secured Term Loan B, without regard to debt issuance costs. See Note 5 of the Notes to Condensed Consolidated Financial Statements in this Quarterly Report on Form 10-Q. At March 31, 2017, a one-percent increase in the interest rate charged on this outstanding variable rate borrowings under the Senior Secured Term Loan B would result in interest expense increasing annually by approximately $5.4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policy is to manage interest expense using a mix of fixed and variable rate debt. As such, we entered into a $150.0 million interest rate swap that went into effect on December 29, 2015, which was amended and restated on September 30, 2016 to change the LIBOR indexed floor from 1.0% to 0.75%, and fix our interest rate at 6.466% for a portion of our Senior Secured Term Loan B. The nature and amount of our borrowings may vary as a result of future business requirements, market conditions and other factors.</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hold a position in any foreign currency hedging instruments as of March 31, 2017.</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as a result of the material weaknesses in internal control over financial reporting described below, our Chief Executive Officer and Chief Financial Officer concluded that our disclosure controls and procedures were not effective as of March 31, 2017 to ensure that information required to be disclosed in the reports that we file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for timely decisions regarding required disclosure.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6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previously disclosed in the 2016 Annual Report the following material weaknesses, which still existed as of March 31, 2017. We did not maintain an effective control environment due to a lack of a sufficient complement of personnel with an appropriate level of knowledge, experience and training commensurate with our financial reporting requirements. This material weakness in the control environment contributed to the following material weaknesses: we did not design and maintain effective internal control over: (i) the accounting for business combinations, which specifically included not designing and maintaining controls over the (a) accuracy, valuation and presentation and disclosure for allocating goodwill to its international businesses and</w:t>
      </w:r>
    </w:p>
    <w:p>
      <w:pPr>
        <w:spacing w:after="0" w:line="3" w:lineRule="exact"/>
        <w:rPr>
          <w:sz w:val="20"/>
          <w:szCs w:val="20"/>
          <w:color w:val="auto"/>
        </w:rPr>
      </w:pPr>
    </w:p>
    <w:p>
      <w:pPr>
        <w:ind w:right="34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accuracy and valuation of deferred income taxes recorded in connection with business combinations; and (ii)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material weaknesses resulted in immaterial errors to goodwill, non-current deferred tax liabilities, income taxes and other comprehensive income in our consolidated financial statements for the years ended December 31, 2016, 2015 and 2014. Additionally, these control deficiencies could result in a misstatement of substantially all account balances or disclosures that would result in a material misstatement to the annual or interim consolidated financial statements that would not be prevented or detected. Notwithstanding such material weaknesses, our Chief Executive Officers and Chief Financial Officers have concluded that our consolidated financial statements in this Quarterly Report on Form 10-Q present fairly, and in all material respects, our financial position, results of operations and cash flows for the periods presented in conformity with GAAP.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Building on our efforts during 2016, our management, with the oversight of the Audit Committee of our board of directors, continued in the first quarter of 2017 to dedicate significant resources and efforts to improve our control environment and take steps to remediate the material weaknesses identified above. While certain remedial actions have been completed, we continue to actively plan for and implement additional control procedures. The remediation efforts, outlined below are intended both to address the identified material weaknesses and to enhance our overall financial control environment.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we augmented the personnel within our finance and accounting organization by hiring two additional tax personnel, we are in the process of implementing automated tax software, and are in the process of hiring additional personnel to address technical expertise in SEC reporting;</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and will continue to provide, additional training programs for our finance and accounting personnel;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business combination and income tax control process with improved accounting policies, documentation standards, technical oversight and training, as well as the recent hires noted above.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material weaknesses will not be considered remediated until the applicable remedial controls operate for a sufficient period of time and management has concluded, through testing, that these controls are operating effectively.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determine to take additional measures to address control deficiencies or determine to modify, or in appropriate circumstances not to complete, certain of the remediation measures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noted above in the “Remediation Plan for Material Weaknesses” section above, there were no changes in the fiscal quarter ended March 31, 2017 in our internal control over financial reporting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March 31, 2017 for this matter. There was no material change in the status of this matter from December 31, 2016 to March 31, 2017.</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 Legal Matters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2016 Annual Report on Form 10-K for the fiscal year ended December 31, 2016, which was filed with the SEC on March 16, 2017 under Item 1A. “Risk Factors.” .</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6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Unregistered Sales of Equity Securities and Use of Proceeds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7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360" w:type="dxa"/>
            <w:vAlign w:val="bottom"/>
          </w:tcPr>
          <w:p>
            <w:pPr>
              <w:spacing w:after="0"/>
              <w:rPr>
                <w:sz w:val="12"/>
                <w:szCs w:val="12"/>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7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72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 or</w:t>
            </w: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2"/>
                <w:szCs w:val="12"/>
                <w:b w:val="1"/>
                <w:bCs w:val="1"/>
                <w:color w:val="auto"/>
              </w:rPr>
              <w:t>(1)</w:t>
            </w:r>
          </w:p>
        </w:tc>
        <w:tc>
          <w:tcPr>
            <w:tcW w:w="7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2017</w:t>
            </w: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2017</w:t>
            </w:r>
          </w:p>
        </w:tc>
        <w:tc>
          <w:tcPr>
            <w:tcW w:w="1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2017</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14,123</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23.18</w:t>
            </w: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720" w:type="dxa"/>
            <w:vAlign w:val="bottom"/>
          </w:tcPr>
          <w:p>
            <w:pPr>
              <w:spacing w:after="0"/>
              <w:rPr>
                <w:sz w:val="19"/>
                <w:szCs w:val="19"/>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40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furnished or incorporated by reference as part of this Quarterly Report.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17145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17145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17145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4900" w:space="720"/>
            <w:col w:w="5600"/>
          </w:cols>
          <w:pgMar w:left="240" w:top="455" w:right="4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40" w:type="dxa"/>
            <w:vAlign w:val="bottom"/>
          </w:tcPr>
          <w:p>
            <w:pPr>
              <w:spacing w:after="0"/>
              <w:rPr>
                <w:sz w:val="16"/>
                <w:szCs w:val="16"/>
                <w:color w:val="auto"/>
              </w:rPr>
            </w:pPr>
          </w:p>
        </w:tc>
        <w:tc>
          <w:tcPr>
            <w:tcW w:w="9860" w:type="dxa"/>
            <w:vAlign w:val="bottom"/>
            <w:gridSpan w:val="3"/>
          </w:tcPr>
          <w:p>
            <w:pPr>
              <w:ind w:left="5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91"/>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Employment Agreement, dated as of October 19, 2015, by and between NN, Inc. and John A. Manzi</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Separation Agreement, dated as of April 1, 2017, by and between NN, Inc. and Matthew S. Heiter</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XBRLTaxonomy Label Linkbase</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0780"/>
          </w:cols>
          <w:pgMar w:left="240" w:top="455" w:right="8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this 19th day of October, 2015, by and between NN, Inc., a Delaware Corporation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 Johnson City, Tennessee (the “Company”), and John A. Manzi (the “Executive”).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right="8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mutually desire that their employment relationship be set forth under the terms of this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155"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hereby agree that the terms of their employment relationship are as follows:</w:t>
      </w:r>
    </w:p>
    <w:p>
      <w:pPr>
        <w:spacing w:after="0" w:line="76" w:lineRule="exact"/>
        <w:rPr>
          <w:sz w:val="20"/>
          <w:szCs w:val="20"/>
          <w:color w:val="auto"/>
        </w:rPr>
      </w:pPr>
    </w:p>
    <w:p>
      <w:pPr>
        <w:ind w:left="460" w:right="20" w:hanging="452"/>
        <w:spacing w:after="0" w:line="286" w:lineRule="auto"/>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Employment. </w:t>
      </w:r>
      <w:r>
        <w:rPr>
          <w:rFonts w:ascii="Times New Roman" w:cs="Times New Roman" w:eastAsia="Times New Roman" w:hAnsi="Times New Roman"/>
          <w:sz w:val="18"/>
          <w:szCs w:val="18"/>
          <w:color w:val="auto"/>
        </w:rPr>
        <w:t>The Company agrees to employ the Executive, and the Executive agrees to be employed by the Company, on the terms and conditions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herein. All capitalized terms that are not defined elsewhere in this Agreement have the meanings in Section 27.</w:t>
      </w:r>
    </w:p>
    <w:p>
      <w:pPr>
        <w:spacing w:after="0" w:line="60" w:lineRule="exact"/>
        <w:rPr>
          <w:rFonts w:ascii="Times New Roman" w:cs="Times New Roman" w:eastAsia="Times New Roman" w:hAnsi="Times New Roman"/>
          <w:sz w:val="18"/>
          <w:szCs w:val="18"/>
          <w:b w:val="1"/>
          <w:bCs w:val="1"/>
          <w:i w:val="1"/>
          <w:iCs w:val="1"/>
          <w:color w:val="auto"/>
        </w:rPr>
      </w:pPr>
    </w:p>
    <w:p>
      <w:pPr>
        <w:ind w:left="460" w:right="40" w:hanging="452"/>
        <w:spacing w:after="0" w:line="255" w:lineRule="auto"/>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Term of Employment. </w:t>
      </w:r>
      <w:r>
        <w:rPr>
          <w:rFonts w:ascii="Times New Roman" w:cs="Times New Roman" w:eastAsia="Times New Roman" w:hAnsi="Times New Roman"/>
          <w:sz w:val="18"/>
          <w:szCs w:val="18"/>
          <w:color w:val="auto"/>
        </w:rPr>
        <w:t>The term of this Agreement shall commence on October 19, 2015 (the “Commencement Date”), and shall end on October 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(the “End Date”) unless sooner terminated as hereinafter provided. If Executive is employed with Company on or after the End Date, Executive’s employment will be at-will and subject to the Company’s executive employment policies then in effect; provided, however, that if the Company has not adopted executive employment policies on or before the End Date, then the term of this Agreement shall automatically extend for additional one-year periods until such time as such executive employment policies have been adopted, at which time this Agreement shall terminate. Notwithstanding the foregoing or any other provision in this Agreement, nothing in this paragraph 2 will affect either party’s ability to terminate Executive’s employment during the term of this Agreement by delivery of a Notice of Termination and, in such event, Executive will not be paid for the remainder of the then existing term, and said separation shall be evaluated pursuant to the applicable provisions of paragraph 6.</w:t>
      </w:r>
    </w:p>
    <w:p>
      <w:pPr>
        <w:spacing w:after="0" w:line="90" w:lineRule="exact"/>
        <w:rPr>
          <w:rFonts w:ascii="Times New Roman" w:cs="Times New Roman" w:eastAsia="Times New Roman" w:hAnsi="Times New Roman"/>
          <w:sz w:val="18"/>
          <w:szCs w:val="18"/>
          <w:b w:val="1"/>
          <w:bCs w:val="1"/>
          <w:i w:val="1"/>
          <w:iCs w:val="1"/>
          <w:color w:val="auto"/>
        </w:rPr>
      </w:pPr>
    </w:p>
    <w:p>
      <w:pPr>
        <w:ind w:left="460" w:right="20" w:hanging="452"/>
        <w:spacing w:after="0" w:line="257" w:lineRule="auto"/>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Position and Duties. </w:t>
      </w:r>
      <w:r>
        <w:rPr>
          <w:rFonts w:ascii="Times New Roman" w:cs="Times New Roman" w:eastAsia="Times New Roman" w:hAnsi="Times New Roman"/>
          <w:sz w:val="18"/>
          <w:szCs w:val="18"/>
          <w:color w:val="auto"/>
        </w:rPr>
        <w:t>The Executive shall serve as the Precision Engineered Products Group Senior Vice President of the Company with responsibilities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and/or the Board of Directors of the Company.</w:t>
      </w:r>
    </w:p>
    <w:p>
      <w:pPr>
        <w:spacing w:after="0" w:line="88" w:lineRule="exact"/>
        <w:rPr>
          <w:rFonts w:ascii="Times New Roman" w:cs="Times New Roman" w:eastAsia="Times New Roman" w:hAnsi="Times New Roman"/>
          <w:sz w:val="18"/>
          <w:szCs w:val="18"/>
          <w:b w:val="1"/>
          <w:bCs w:val="1"/>
          <w:i w:val="1"/>
          <w:iCs w:val="1"/>
          <w:color w:val="auto"/>
        </w:rPr>
      </w:pPr>
    </w:p>
    <w:p>
      <w:pPr>
        <w:ind w:left="460" w:right="40" w:hanging="452"/>
        <w:spacing w:after="0" w:line="268" w:lineRule="auto"/>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In consideration of the Executive’s performance of his duties hereunder, the Company shall provide the Executive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compensation and benefits during the term of this Agreement. Amounts paid under this section are subject to applicable taxes, deductions and withholdings, and will be prorated for the period of time Executive is employed by the Company.</w:t>
      </w:r>
    </w:p>
    <w:p>
      <w:pPr>
        <w:sectPr>
          <w:pgSz w:w="11900" w:h="16838" w:orient="portrait"/>
          <w:cols w:equalWidth="0" w:num="1">
            <w:col w:w="11420"/>
          </w:cols>
          <w:pgMar w:left="240" w:top="121" w:right="239" w:bottom="1440" w:gutter="0" w:footer="0" w:header="0"/>
        </w:sectPr>
      </w:pPr>
    </w:p>
    <w:bookmarkStart w:id="26" w:name="page27"/>
    <w:bookmarkEnd w:id="26"/>
    <w:p>
      <w:pPr>
        <w:ind w:left="892" w:hanging="446"/>
        <w:spacing w:after="0"/>
        <w:tabs>
          <w:tab w:leader="none" w:pos="892"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Salary.</w:t>
      </w:r>
      <w:r>
        <w:rPr>
          <w:rFonts w:ascii="Times New Roman" w:cs="Times New Roman" w:eastAsia="Times New Roman" w:hAnsi="Times New Roman"/>
          <w:sz w:val="18"/>
          <w:szCs w:val="18"/>
          <w:color w:val="auto"/>
        </w:rPr>
        <w:t xml:space="preserve"> The Company shall pay to the Executive an aggregate base salary at a rate of Three Hundred Nineteen Thousand Dollars (USD</w:t>
      </w:r>
    </w:p>
    <w:p>
      <w:pPr>
        <w:spacing w:after="0" w:line="27" w:lineRule="exact"/>
        <w:rPr>
          <w:rFonts w:ascii="Times New Roman" w:cs="Times New Roman" w:eastAsia="Times New Roman" w:hAnsi="Times New Roman"/>
          <w:sz w:val="18"/>
          <w:szCs w:val="18"/>
          <w:u w:val="single" w:color="auto"/>
          <w:color w:val="auto"/>
        </w:rPr>
      </w:pPr>
    </w:p>
    <w:p>
      <w:pPr>
        <w:ind w:left="892" w:right="60"/>
        <w:spacing w:after="0" w:line="254"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$319,000.00) per annum, payable in accordance with the Company’s normal payroll practices. Such base salary shall be subject to annual review by the Board of Directors of the Company and/or its Compensation Committee and may be changed from time to time in the discretion of the Board of Directors and/or the Compensation Committee or in accordance with the normal business practices of the Company. Effective as of February 1, 2017, the aggregate base salary in effect at such time shall be increased by $14,400.</w:t>
      </w:r>
    </w:p>
    <w:p>
      <w:pPr>
        <w:spacing w:after="0" w:line="78" w:lineRule="exact"/>
        <w:rPr>
          <w:sz w:val="20"/>
          <w:szCs w:val="20"/>
          <w:color w:val="auto"/>
        </w:rPr>
      </w:pPr>
    </w:p>
    <w:p>
      <w:pPr>
        <w:ind w:left="912"/>
        <w:spacing w:after="0" w:line="255" w:lineRule="auto"/>
        <w:rPr>
          <w:sz w:val="20"/>
          <w:szCs w:val="20"/>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xml:space="preserve"> Beginning in fiscal year 2016, the Executive shall be given the opportunity to earn an annual incentive bonus for each fiscal year of the Company in accordance with the annual bonus plan and payment policies generally applicable to the Company’s officers, as the same may be in effect from time to time. The Executive’s target annual incentive bonus opportunity shall be no less than 50% of his base salary for such year, but shall be dependent upon the achievement of the applicable performance goals established for such year. The Executive will be eligible to participate beginning 2016. For the year ending December 31, 2015, the Executive shall be paid a bonus with respect to the performance of the Company’s subsidiary, Precision Engineered Products Holdings, Inc., in accordance with the terms and conditions of the Amended and Restated Precision Engineered Products LLC CEO, CFO and President’s Annual Corporate Bonus Plan.</w:t>
      </w:r>
    </w:p>
    <w:p>
      <w:pPr>
        <w:spacing w:after="0" w:line="95" w:lineRule="exact"/>
        <w:rPr>
          <w:sz w:val="20"/>
          <w:szCs w:val="20"/>
          <w:color w:val="auto"/>
        </w:rPr>
      </w:pPr>
    </w:p>
    <w:p>
      <w:pPr>
        <w:ind w:left="892" w:right="80" w:hanging="446"/>
        <w:spacing w:after="0" w:line="281" w:lineRule="auto"/>
        <w:tabs>
          <w:tab w:leader="none" w:pos="892" w:val="left"/>
        </w:tabs>
        <w:numPr>
          <w:ilvl w:val="1"/>
          <w:numId w:val="1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Other Benefits.</w:t>
      </w:r>
      <w:r>
        <w:rPr>
          <w:rFonts w:ascii="Times New Roman" w:cs="Times New Roman" w:eastAsia="Times New Roman" w:hAnsi="Times New Roman"/>
          <w:sz w:val="17"/>
          <w:szCs w:val="17"/>
          <w:color w:val="auto"/>
        </w:rPr>
        <w:t xml:space="preserve"> The Executive shall be entitled to participate in all Company employee benefit plans, policies and programs generally applicable to the Company’s officers (including, but not limited to, life, disability, health insurance, vacation or other paid time off, incentive compensation and equity incentive plans, and savings plans and programs), as such plans, policies and programs may continue or be altered by the Company from time to time. The Executive shall be entitled to four weeks of paid vacation for each calendar year during the term of this Agreement.</w:t>
      </w:r>
    </w:p>
    <w:p>
      <w:pPr>
        <w:spacing w:after="0" w:line="66" w:lineRule="exact"/>
        <w:rPr>
          <w:rFonts w:ascii="Times New Roman" w:cs="Times New Roman" w:eastAsia="Times New Roman" w:hAnsi="Times New Roman"/>
          <w:sz w:val="17"/>
          <w:szCs w:val="17"/>
          <w:u w:val="single" w:color="auto"/>
          <w:color w:val="auto"/>
        </w:rPr>
      </w:pPr>
    </w:p>
    <w:p>
      <w:pPr>
        <w:ind w:left="452" w:right="220" w:hanging="452"/>
        <w:spacing w:after="0" w:line="28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the provisions of Paragraphs 7, 8, 9, 10, and 11, which shall continue in full force and effect, this Agreement shall terminate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first to occur of the following with respect to the Executive:</w:t>
      </w:r>
    </w:p>
    <w:p>
      <w:pPr>
        <w:spacing w:after="0" w:line="64"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1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w:t>
      </w:r>
    </w:p>
    <w:p>
      <w:pPr>
        <w:spacing w:after="0" w:line="1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126" w:lineRule="exact"/>
        <w:rPr>
          <w:rFonts w:ascii="Times New Roman" w:cs="Times New Roman" w:eastAsia="Times New Roman" w:hAnsi="Times New Roman"/>
          <w:sz w:val="18"/>
          <w:szCs w:val="18"/>
          <w:color w:val="auto"/>
        </w:rPr>
      </w:pPr>
    </w:p>
    <w:p>
      <w:pPr>
        <w:ind w:left="452" w:right="180" w:hanging="452"/>
        <w:spacing w:after="0" w:line="28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and Benefits in the Event of Separation from Service. </w:t>
      </w:r>
      <w:r>
        <w:rPr>
          <w:rFonts w:ascii="Times New Roman" w:cs="Times New Roman" w:eastAsia="Times New Roman" w:hAnsi="Times New Roman"/>
          <w:sz w:val="18"/>
          <w:szCs w:val="18"/>
          <w:color w:val="auto"/>
        </w:rPr>
        <w:t>In the event of the Executive’s Separation from Service during the term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or any renewal thereof, compensation and benefits shall be paid as set forth below.</w:t>
      </w:r>
    </w:p>
    <w:p>
      <w:pPr>
        <w:spacing w:after="0" w:line="64" w:lineRule="exact"/>
        <w:rPr>
          <w:rFonts w:ascii="Times New Roman" w:cs="Times New Roman" w:eastAsia="Times New Roman" w:hAnsi="Times New Roman"/>
          <w:sz w:val="18"/>
          <w:szCs w:val="18"/>
          <w:color w:val="auto"/>
        </w:rPr>
      </w:pPr>
    </w:p>
    <w:p>
      <w:pPr>
        <w:ind w:left="892" w:right="80" w:hanging="446"/>
        <w:spacing w:after="0" w:line="282" w:lineRule="auto"/>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Prior To A Change In Control.</w:t>
      </w:r>
      <w:r>
        <w:rPr>
          <w:rFonts w:ascii="Times New Roman" w:cs="Times New Roman" w:eastAsia="Times New Roman" w:hAnsi="Times New Roman"/>
          <w:sz w:val="18"/>
          <w:szCs w:val="18"/>
          <w:color w:val="auto"/>
        </w:rPr>
        <w:t xml:space="preserve"> If the Executive has a Qualifying Termination after the Commencement Date and prior to a Change in Control, then upon such Qualifying Termination the Executive shall be entitled to receive the following:</w:t>
      </w:r>
    </w:p>
    <w:p>
      <w:pPr>
        <w:spacing w:after="0" w:line="67" w:lineRule="exact"/>
        <w:rPr>
          <w:sz w:val="20"/>
          <w:szCs w:val="20"/>
          <w:color w:val="auto"/>
        </w:rPr>
      </w:pPr>
    </w:p>
    <w:p>
      <w:pPr>
        <w:ind w:left="892" w:right="80" w:hanging="446"/>
        <w:spacing w:after="0" w:line="282"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ectPr>
          <w:pgSz w:w="11900" w:h="16838" w:orient="portrait"/>
          <w:cols w:equalWidth="0" w:num="1">
            <w:col w:w="11392"/>
          </w:cols>
          <w:pgMar w:left="248" w:top="270" w:right="259" w:bottom="1440" w:gutter="0" w:footer="0" w:header="0"/>
        </w:sectPr>
      </w:pPr>
    </w:p>
    <w:bookmarkStart w:id="27" w:name="page28"/>
    <w:bookmarkEnd w:id="27"/>
    <w:p>
      <w:pPr>
        <w:ind w:left="892" w:right="180" w:hanging="446"/>
        <w:spacing w:after="0" w:line="266"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consideration of Executive’s prior service to Precision Engineered Products Holdings, Inc., an amount equal to 18 months of his annual base salary in effect on the date of his Separation from Service. These amounts shall be payable in accordance with the Company’s regular payroll procedures over the 18 month period following the Executive’s Separation from Service.</w:t>
      </w:r>
    </w:p>
    <w:p>
      <w:pPr>
        <w:spacing w:after="0" w:line="81" w:lineRule="exact"/>
        <w:rPr>
          <w:rFonts w:ascii="Times New Roman" w:cs="Times New Roman" w:eastAsia="Times New Roman" w:hAnsi="Times New Roman"/>
          <w:sz w:val="18"/>
          <w:szCs w:val="18"/>
          <w:color w:val="auto"/>
        </w:rPr>
      </w:pPr>
    </w:p>
    <w:p>
      <w:pPr>
        <w:ind w:left="892" w:hanging="446"/>
        <w:spacing w:after="0" w:line="261"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are distributed after completion of the Company’s fiscal year end audit).</w:t>
      </w:r>
    </w:p>
    <w:p>
      <w:pPr>
        <w:spacing w:after="0" w:line="85" w:lineRule="exact"/>
        <w:rPr>
          <w:rFonts w:ascii="Times New Roman" w:cs="Times New Roman" w:eastAsia="Times New Roman" w:hAnsi="Times New Roman"/>
          <w:sz w:val="18"/>
          <w:szCs w:val="18"/>
          <w:color w:val="auto"/>
        </w:rPr>
      </w:pPr>
    </w:p>
    <w:p>
      <w:pPr>
        <w:ind w:left="892" w:right="700" w:hanging="446"/>
        <w:spacing w:after="0" w:line="282"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payable in a single lump sum to assist with the Executive’s transition from employment.</w:t>
      </w:r>
    </w:p>
    <w:p>
      <w:pPr>
        <w:spacing w:after="0" w:line="117" w:lineRule="exact"/>
        <w:rPr>
          <w:sz w:val="20"/>
          <w:szCs w:val="20"/>
          <w:color w:val="auto"/>
        </w:rPr>
      </w:pPr>
    </w:p>
    <w:p>
      <w:pPr>
        <w:ind w:left="452" w:right="520"/>
        <w:spacing w:after="0" w:line="282" w:lineRule="auto"/>
        <w:rPr>
          <w:sz w:val="20"/>
          <w:szCs w:val="20"/>
          <w:color w:val="auto"/>
        </w:rPr>
      </w:pPr>
      <w:r>
        <w:rPr>
          <w:rFonts w:ascii="Times New Roman" w:cs="Times New Roman" w:eastAsia="Times New Roman" w:hAnsi="Times New Roman"/>
          <w:sz w:val="18"/>
          <w:szCs w:val="18"/>
          <w:color w:val="auto"/>
        </w:rPr>
        <w:t>Payments under (ii) and (v) above shall commence or shall be paid within 60 days following the Executive’s Separation from Service; provided, however, that the Executive is in full compliance with the covenants under paragraphs 7, 8, 9, and 11 of this Agreement.</w:t>
      </w:r>
    </w:p>
    <w:p>
      <w:pPr>
        <w:spacing w:after="0" w:line="67" w:lineRule="exact"/>
        <w:rPr>
          <w:sz w:val="20"/>
          <w:szCs w:val="20"/>
          <w:color w:val="auto"/>
        </w:rPr>
      </w:pPr>
    </w:p>
    <w:p>
      <w:pPr>
        <w:ind w:left="452" w:hanging="452"/>
        <w:spacing w:after="0"/>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Executive’s Separation from Service is terminated</w:t>
      </w:r>
    </w:p>
    <w:p>
      <w:pPr>
        <w:spacing w:after="0" w:line="27" w:lineRule="exact"/>
        <w:rPr>
          <w:rFonts w:ascii="Times New Roman" w:cs="Times New Roman" w:eastAsia="Times New Roman" w:hAnsi="Times New Roman"/>
          <w:sz w:val="18"/>
          <w:szCs w:val="18"/>
          <w:color w:val="auto"/>
        </w:rPr>
      </w:pPr>
    </w:p>
    <w:p>
      <w:pPr>
        <w:ind w:left="452"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85" w:lineRule="exact"/>
        <w:rPr>
          <w:sz w:val="20"/>
          <w:szCs w:val="20"/>
          <w:color w:val="auto"/>
        </w:rPr>
      </w:pPr>
    </w:p>
    <w:p>
      <w:pPr>
        <w:ind w:left="892" w:right="60" w:hanging="446"/>
        <w:spacing w:after="0" w:line="28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67"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892" w:right="700" w:hanging="446"/>
        <w:spacing w:after="0" w:line="28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Following a Change in Control.</w:t>
      </w:r>
    </w:p>
    <w:p>
      <w:pPr>
        <w:spacing w:after="0" w:line="130" w:lineRule="exact"/>
        <w:rPr>
          <w:rFonts w:ascii="Times New Roman" w:cs="Times New Roman" w:eastAsia="Times New Roman" w:hAnsi="Times New Roman"/>
          <w:sz w:val="18"/>
          <w:szCs w:val="18"/>
          <w:color w:val="auto"/>
        </w:rPr>
      </w:pPr>
    </w:p>
    <w:p>
      <w:pPr>
        <w:ind w:left="892" w:right="40" w:hanging="446"/>
        <w:spacing w:after="0" w:line="282" w:lineRule="auto"/>
        <w:tabs>
          <w:tab w:leader="none" w:pos="8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has a Qualifying Termination within 24 months following a Change in Control, Executive shall receive the following, subject to paragraph 6(c)(ii):</w:t>
      </w:r>
    </w:p>
    <w:p>
      <w:pPr>
        <w:spacing w:after="0" w:line="67"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salary due to the Executive through the date of his Separation from Service.</w:t>
      </w:r>
    </w:p>
    <w:p>
      <w:pPr>
        <w:spacing w:after="0" w:line="130" w:lineRule="exact"/>
        <w:rPr>
          <w:rFonts w:ascii="Times New Roman" w:cs="Times New Roman" w:eastAsia="Times New Roman" w:hAnsi="Times New Roman"/>
          <w:sz w:val="18"/>
          <w:szCs w:val="18"/>
          <w:color w:val="auto"/>
        </w:rPr>
      </w:pPr>
    </w:p>
    <w:p>
      <w:pPr>
        <w:jc w:val="both"/>
        <w:ind w:left="1472" w:hanging="567"/>
        <w:spacing w:after="0" w:line="266" w:lineRule="auto"/>
        <w:tabs>
          <w:tab w:leader="none" w:pos="14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(the “Severance Payment”). The Severance Payment shall be made by wire transfer or immediately available funds to an account designated by Executive following the date of the Separation from Service.</w:t>
      </w:r>
    </w:p>
    <w:p>
      <w:pPr>
        <w:sectPr>
          <w:pgSz w:w="11900" w:h="16838" w:orient="portrait"/>
          <w:cols w:equalWidth="0" w:num="1">
            <w:col w:w="11372"/>
          </w:cols>
          <w:pgMar w:left="248" w:top="270" w:right="279" w:bottom="1440" w:gutter="0" w:footer="0" w:header="0"/>
        </w:sectPr>
      </w:pPr>
    </w:p>
    <w:bookmarkStart w:id="28" w:name="page29"/>
    <w:bookmarkEnd w:id="28"/>
    <w:p>
      <w:pPr>
        <w:ind w:left="1026" w:right="20" w:hanging="567"/>
        <w:spacing w:after="0" w:line="266" w:lineRule="auto"/>
        <w:tabs>
          <w:tab w:leader="none" w:pos="10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payment equal to the target annual bonus to which Executive would have been entitled but for Executive’s Separation from Service, for the year of Executive’s termination; pro-rated for the portion of the year during which he was employed by the Company (“Pro-rated Bonus”).</w:t>
      </w:r>
    </w:p>
    <w:p>
      <w:pPr>
        <w:spacing w:after="0" w:line="81"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1026" w:right="160" w:hanging="567"/>
        <w:spacing w:after="0" w:line="282" w:lineRule="auto"/>
        <w:tabs>
          <w:tab w:leader="none" w:pos="10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payable in a single lump sum to assist with the Executive’s transition from employment.</w:t>
      </w:r>
    </w:p>
    <w:p>
      <w:pPr>
        <w:spacing w:after="0" w:line="117" w:lineRule="exact"/>
        <w:rPr>
          <w:sz w:val="20"/>
          <w:szCs w:val="20"/>
          <w:color w:val="auto"/>
        </w:rPr>
      </w:pPr>
    </w:p>
    <w:p>
      <w:pPr>
        <w:ind w:left="466" w:right="400"/>
        <w:spacing w:after="0" w:line="282" w:lineRule="auto"/>
        <w:rPr>
          <w:sz w:val="20"/>
          <w:szCs w:val="20"/>
          <w:color w:val="auto"/>
        </w:rPr>
      </w:pPr>
      <w:r>
        <w:rPr>
          <w:rFonts w:ascii="Times New Roman" w:cs="Times New Roman" w:eastAsia="Times New Roman" w:hAnsi="Times New Roman"/>
          <w:sz w:val="18"/>
          <w:szCs w:val="18"/>
          <w:color w:val="auto"/>
        </w:rPr>
        <w:t>Payments under (2), (3) and (6) above shall be paid in full in a lump sum within 60 days following the Executive’s Separation from Service; provided, however, that the Executive is in full compliance with the covenants under paragraphs 7, 8, 9, and 11 of this Agreement.</w:t>
      </w:r>
    </w:p>
    <w:p>
      <w:pPr>
        <w:spacing w:after="0" w:line="67" w:lineRule="exact"/>
        <w:rPr>
          <w:sz w:val="20"/>
          <w:szCs w:val="20"/>
          <w:color w:val="auto"/>
        </w:rPr>
      </w:pPr>
    </w:p>
    <w:p>
      <w:pPr>
        <w:ind w:left="446" w:hanging="446"/>
        <w:spacing w:after="0"/>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Excise Tax.</w:t>
      </w:r>
    </w:p>
    <w:p>
      <w:pPr>
        <w:spacing w:after="0" w:line="130" w:lineRule="exact"/>
        <w:rPr>
          <w:rFonts w:ascii="Times New Roman" w:cs="Times New Roman" w:eastAsia="Times New Roman" w:hAnsi="Times New Roman"/>
          <w:sz w:val="18"/>
          <w:szCs w:val="18"/>
          <w:color w:val="auto"/>
        </w:rPr>
      </w:pPr>
    </w:p>
    <w:p>
      <w:pPr>
        <w:ind w:left="1026" w:right="40" w:hanging="567"/>
        <w:spacing w:after="0" w:line="272" w:lineRule="auto"/>
        <w:tabs>
          <w:tab w:leader="none" w:pos="102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“Change in Control Payment”),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6(c)(i)(1) of this Agreement and then, to the extent necessary, paragraph 6(c)(i)(2) of this Agreement.</w:t>
      </w:r>
    </w:p>
    <w:p>
      <w:pPr>
        <w:spacing w:after="0" w:line="77" w:lineRule="exact"/>
        <w:rPr>
          <w:rFonts w:ascii="Times New Roman" w:cs="Times New Roman" w:eastAsia="Times New Roman" w:hAnsi="Times New Roman"/>
          <w:sz w:val="17"/>
          <w:szCs w:val="17"/>
          <w:color w:val="auto"/>
        </w:rPr>
      </w:pPr>
    </w:p>
    <w:p>
      <w:pPr>
        <w:ind w:left="1026" w:hanging="567"/>
        <w:spacing w:after="0" w:line="258" w:lineRule="auto"/>
        <w:tabs>
          <w:tab w:leader="none" w:pos="10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to be made under this paragraph 6(c)(ii) shall be made by an independent public accounting firm selected by the Company immediately prior to the Change in Control (the “Accounting Firm”),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6(c)(iii) shall be borne solely by the Company.</w:t>
      </w:r>
    </w:p>
    <w:p>
      <w:pPr>
        <w:spacing w:after="0" w:line="89" w:lineRule="exact"/>
        <w:rPr>
          <w:sz w:val="20"/>
          <w:szCs w:val="20"/>
          <w:color w:val="auto"/>
        </w:rPr>
      </w:pPr>
    </w:p>
    <w:p>
      <w:pPr>
        <w:ind w:left="446" w:right="100" w:hanging="446"/>
        <w:spacing w:after="0" w:line="266" w:lineRule="auto"/>
        <w:tabs>
          <w:tab w:leader="none" w:pos="446"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1" w:lineRule="exact"/>
        <w:rPr>
          <w:rFonts w:ascii="Times New Roman" w:cs="Times New Roman" w:eastAsia="Times New Roman" w:hAnsi="Times New Roman"/>
          <w:sz w:val="18"/>
          <w:szCs w:val="18"/>
          <w:u w:val="single" w:color="auto"/>
          <w:color w:val="auto"/>
        </w:rPr>
      </w:pPr>
    </w:p>
    <w:p>
      <w:pPr>
        <w:ind w:left="446" w:right="420" w:hanging="446"/>
        <w:spacing w:after="0" w:line="266" w:lineRule="auto"/>
        <w:tabs>
          <w:tab w:leader="none" w:pos="446"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xml:space="preserve"> Except as expressly set forth in this paragraph 6, the Company shall have no obligation to Executive under this Agreement following Executive’s Separation from Service. Without limiting the generality of the provision of the foregoing sentence, the Company</w:t>
      </w:r>
    </w:p>
    <w:p>
      <w:pPr>
        <w:sectPr>
          <w:pgSz w:w="11900" w:h="16838" w:orient="portrait"/>
          <w:cols w:equalWidth="0" w:num="1">
            <w:col w:w="10966"/>
          </w:cols>
          <w:pgMar w:left="694" w:top="270" w:right="239" w:bottom="1440" w:gutter="0" w:footer="0" w:header="0"/>
        </w:sectPr>
      </w:pPr>
    </w:p>
    <w:bookmarkStart w:id="29" w:name="page30"/>
    <w:bookmarkEnd w:id="29"/>
    <w:p>
      <w:pPr>
        <w:ind w:left="91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following Executive’s Separation from Service, have any obligation to provide any further benefit to Executive under this Agreement or make any further contribution for Executive’s benefit under this Agreement except as provided in this paragraph 6.</w:t>
      </w:r>
    </w:p>
    <w:p>
      <w:pPr>
        <w:spacing w:after="0" w:line="63" w:lineRule="exact"/>
        <w:rPr>
          <w:sz w:val="20"/>
          <w:szCs w:val="20"/>
          <w:color w:val="auto"/>
        </w:rPr>
      </w:pPr>
    </w:p>
    <w:p>
      <w:pPr>
        <w:ind w:left="452" w:right="80" w:hanging="452"/>
        <w:spacing w:after="0" w:line="252" w:lineRule="auto"/>
        <w:tabs>
          <w:tab w:leader="none" w:pos="452"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Disclosure of Confidential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developed confidential information, strategies and programs, which include customer lists,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95" w:lineRule="exact"/>
        <w:rPr>
          <w:rFonts w:ascii="Times New Roman" w:cs="Times New Roman" w:eastAsia="Times New Roman" w:hAnsi="Times New Roman"/>
          <w:sz w:val="18"/>
          <w:szCs w:val="18"/>
          <w:b w:val="1"/>
          <w:bCs w:val="1"/>
          <w:i w:val="1"/>
          <w:iCs w:val="1"/>
          <w:color w:val="auto"/>
        </w:rPr>
      </w:pPr>
    </w:p>
    <w:p>
      <w:pPr>
        <w:ind w:left="452" w:right="180" w:hanging="452"/>
        <w:spacing w:after="0" w:line="256" w:lineRule="auto"/>
        <w:tabs>
          <w:tab w:leader="none" w:pos="452"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Non-Interference with Personnel Relations. </w:t>
      </w:r>
      <w:r>
        <w:rPr>
          <w:rFonts w:ascii="Times New Roman" w:cs="Times New Roman" w:eastAsia="Times New Roman" w:hAnsi="Times New Roman"/>
          <w:sz w:val="18"/>
          <w:szCs w:val="18"/>
          <w:color w:val="auto"/>
        </w:rPr>
        <w:t>At any time while Executive is employed by the Company and at any time during the Restrictive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such employment ends for any reason,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(“Restricted Employees”).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88" w:lineRule="exact"/>
        <w:rPr>
          <w:rFonts w:ascii="Times New Roman" w:cs="Times New Roman" w:eastAsia="Times New Roman" w:hAnsi="Times New Roman"/>
          <w:sz w:val="18"/>
          <w:szCs w:val="18"/>
          <w:b w:val="1"/>
          <w:bCs w:val="1"/>
          <w:i w:val="1"/>
          <w:iCs w:val="1"/>
          <w:color w:val="auto"/>
        </w:rPr>
      </w:pPr>
    </w:p>
    <w:p>
      <w:pPr>
        <w:ind w:left="452" w:right="160" w:hanging="452"/>
        <w:spacing w:after="0" w:line="262" w:lineRule="auto"/>
        <w:tabs>
          <w:tab w:leader="none" w:pos="452"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Executive is employed by the Company and for the Restrictive Period after such employment ends, Executive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w:t>
      </w:r>
    </w:p>
    <w:p>
      <w:pPr>
        <w:sectPr>
          <w:pgSz w:w="11900" w:h="16838" w:orient="portrait"/>
          <w:cols w:equalWidth="0" w:num="1">
            <w:col w:w="11412"/>
          </w:cols>
          <w:pgMar w:left="248" w:top="270" w:right="239" w:bottom="1440" w:gutter="0" w:footer="0" w:header="0"/>
        </w:sectPr>
      </w:pPr>
    </w:p>
    <w:bookmarkStart w:id="30" w:name="page31"/>
    <w:bookmarkEnd w:id="30"/>
    <w:p>
      <w:pPr>
        <w:ind w:left="452"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87" w:lineRule="exact"/>
        <w:rPr>
          <w:sz w:val="20"/>
          <w:szCs w:val="20"/>
          <w:color w:val="auto"/>
        </w:rPr>
      </w:pPr>
    </w:p>
    <w:p>
      <w:pPr>
        <w:ind w:left="452" w:right="100" w:hanging="452"/>
        <w:spacing w:after="0" w:line="268" w:lineRule="auto"/>
        <w:tabs>
          <w:tab w:leader="none" w:pos="45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Notification to Subsequent Employers. </w:t>
      </w:r>
      <w:r>
        <w:rPr>
          <w:rFonts w:ascii="Times New Roman" w:cs="Times New Roman" w:eastAsia="Times New Roman" w:hAnsi="Times New Roman"/>
          <w:sz w:val="18"/>
          <w:szCs w:val="18"/>
          <w:color w:val="auto"/>
        </w:rPr>
        <w:t>Executive grants the Company the right to notify any future employer or prospective employer of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existence of and terms of this Agreement and grants the Company the right to provide a copy of this Agreement to any such subsequent employer or prospective employer.</w:t>
      </w:r>
    </w:p>
    <w:p>
      <w:pPr>
        <w:spacing w:after="0" w:line="76" w:lineRule="exact"/>
        <w:rPr>
          <w:rFonts w:ascii="Times New Roman" w:cs="Times New Roman" w:eastAsia="Times New Roman" w:hAnsi="Times New Roman"/>
          <w:sz w:val="18"/>
          <w:szCs w:val="18"/>
          <w:b w:val="1"/>
          <w:bCs w:val="1"/>
          <w:i w:val="1"/>
          <w:iCs w:val="1"/>
          <w:color w:val="auto"/>
        </w:rPr>
      </w:pPr>
    </w:p>
    <w:p>
      <w:pPr>
        <w:ind w:left="452" w:hanging="452"/>
        <w:spacing w:after="0"/>
        <w:tabs>
          <w:tab w:leader="none" w:pos="45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Company Proprietary Rights</w:t>
      </w:r>
      <w:r>
        <w:rPr>
          <w:rFonts w:ascii="Times New Roman" w:cs="Times New Roman" w:eastAsia="Times New Roman" w:hAnsi="Times New Roman"/>
          <w:sz w:val="18"/>
          <w:szCs w:val="18"/>
          <w:i w:val="1"/>
          <w:iCs w:val="1"/>
          <w:color w:val="auto"/>
        </w:rPr>
        <w:t>.</w:t>
      </w:r>
    </w:p>
    <w:p>
      <w:pPr>
        <w:spacing w:after="0" w:line="134" w:lineRule="exact"/>
        <w:rPr>
          <w:rFonts w:ascii="Times New Roman" w:cs="Times New Roman" w:eastAsia="Times New Roman" w:hAnsi="Times New Roman"/>
          <w:sz w:val="18"/>
          <w:szCs w:val="18"/>
          <w:b w:val="1"/>
          <w:bCs w:val="1"/>
          <w:i w:val="1"/>
          <w:iCs w:val="1"/>
          <w:color w:val="auto"/>
        </w:rPr>
      </w:pPr>
    </w:p>
    <w:p>
      <w:pPr>
        <w:ind w:left="892" w:right="80" w:hanging="446"/>
        <w:spacing w:after="0" w:line="277" w:lineRule="auto"/>
        <w:tabs>
          <w:tab w:leader="none" w:pos="89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to Retain Rights.</w:t>
      </w:r>
      <w:r>
        <w:rPr>
          <w:rFonts w:ascii="Times New Roman" w:cs="Times New Roman" w:eastAsia="Times New Roman" w:hAnsi="Times New Roman"/>
          <w:sz w:val="17"/>
          <w:szCs w:val="17"/>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Executive shall have no interest therein.</w:t>
      </w:r>
    </w:p>
    <w:p>
      <w:pPr>
        <w:spacing w:after="0" w:line="73" w:lineRule="exact"/>
        <w:rPr>
          <w:rFonts w:ascii="Times New Roman" w:cs="Times New Roman" w:eastAsia="Times New Roman" w:hAnsi="Times New Roman"/>
          <w:sz w:val="17"/>
          <w:szCs w:val="17"/>
          <w:color w:val="auto"/>
        </w:rPr>
      </w:pPr>
    </w:p>
    <w:p>
      <w:pPr>
        <w:ind w:left="892" w:hanging="446"/>
        <w:spacing w:after="0" w:line="261" w:lineRule="auto"/>
        <w:tabs>
          <w:tab w:leader="none" w:pos="892"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85" w:lineRule="exact"/>
        <w:rPr>
          <w:rFonts w:ascii="Times New Roman" w:cs="Times New Roman" w:eastAsia="Times New Roman" w:hAnsi="Times New Roman"/>
          <w:sz w:val="18"/>
          <w:szCs w:val="18"/>
          <w:u w:val="single" w:color="auto"/>
          <w:color w:val="auto"/>
        </w:rPr>
      </w:pPr>
    </w:p>
    <w:p>
      <w:pPr>
        <w:ind w:left="892" w:right="160" w:hanging="446"/>
        <w:spacing w:after="0" w:line="266" w:lineRule="auto"/>
        <w:tabs>
          <w:tab w:leader="none" w:pos="892"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xml:space="preserve"> Upon the termination of the Executive’s employment under this Agreement at the Company’s written request,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77" w:lineRule="exact"/>
        <w:rPr>
          <w:rFonts w:ascii="Times New Roman" w:cs="Times New Roman" w:eastAsia="Times New Roman" w:hAnsi="Times New Roman"/>
          <w:sz w:val="18"/>
          <w:szCs w:val="18"/>
          <w:u w:val="single" w:color="auto"/>
          <w:color w:val="auto"/>
        </w:rPr>
      </w:pPr>
    </w:p>
    <w:p>
      <w:pPr>
        <w:ind w:left="572" w:right="280" w:hanging="572"/>
        <w:spacing w:after="0" w:line="268" w:lineRule="auto"/>
        <w:tabs>
          <w:tab w:leader="none" w:pos="57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Representation and Warranty of Executive. </w:t>
      </w:r>
      <w:r>
        <w:rPr>
          <w:rFonts w:ascii="Times New Roman" w:cs="Times New Roman" w:eastAsia="Times New Roman" w:hAnsi="Times New Roman"/>
          <w:sz w:val="18"/>
          <w:szCs w:val="18"/>
          <w:color w:val="auto"/>
        </w:rPr>
        <w:t>Executive represents and warrants to the Company that he is not now under any obligation,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nature or otherwise, to any person, partnership, company or corporation that is inconsistent or in conflict with this Agreement or which would prevent, limit or impair in any way the performance by him of his obligations hereunder.</w:t>
      </w:r>
    </w:p>
    <w:p>
      <w:pPr>
        <w:spacing w:after="0" w:line="76" w:lineRule="exact"/>
        <w:rPr>
          <w:rFonts w:ascii="Times New Roman" w:cs="Times New Roman" w:eastAsia="Times New Roman" w:hAnsi="Times New Roman"/>
          <w:sz w:val="18"/>
          <w:szCs w:val="18"/>
          <w:b w:val="1"/>
          <w:bCs w:val="1"/>
          <w:i w:val="1"/>
          <w:iCs w:val="1"/>
          <w:color w:val="auto"/>
        </w:rPr>
      </w:pPr>
    </w:p>
    <w:p>
      <w:pPr>
        <w:ind w:left="572" w:right="40" w:hanging="572"/>
        <w:spacing w:after="0" w:line="262" w:lineRule="auto"/>
        <w:tabs>
          <w:tab w:leader="none" w:pos="57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Withholding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provision of this Agreement to the contrary notwithstanding, all payments made by the Company hereunder to the Executive or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ectPr>
          <w:pgSz w:w="11900" w:h="16838" w:orient="portrait"/>
          <w:cols w:equalWidth="0" w:num="1">
            <w:col w:w="11412"/>
          </w:cols>
          <w:pgMar w:left="248" w:top="270" w:right="239" w:bottom="1440" w:gutter="0" w:footer="0" w:header="0"/>
        </w:sectPr>
      </w:pPr>
    </w:p>
    <w:bookmarkStart w:id="31" w:name="page32"/>
    <w:bookmarkEnd w:id="31"/>
    <w:p>
      <w:pPr>
        <w:ind w:left="452" w:hanging="452"/>
        <w:spacing w:after="0" w:line="259" w:lineRule="auto"/>
        <w:tabs>
          <w:tab w:leader="none" w:pos="452"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Mitigation. </w:t>
      </w:r>
      <w:r>
        <w:rPr>
          <w:rFonts w:ascii="Times New Roman" w:cs="Times New Roman" w:eastAsia="Times New Roman" w:hAnsi="Times New Roman"/>
          <w:sz w:val="18"/>
          <w:szCs w:val="18"/>
          <w:color w:val="auto"/>
        </w:rPr>
        <w:t>The Company’s obligation to make the payments provided for in this Agreement and otherwise to perform its obligations hereunder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85" w:lineRule="exact"/>
        <w:rPr>
          <w:rFonts w:ascii="Times New Roman" w:cs="Times New Roman" w:eastAsia="Times New Roman" w:hAnsi="Times New Roman"/>
          <w:sz w:val="18"/>
          <w:szCs w:val="18"/>
          <w:b w:val="1"/>
          <w:bCs w:val="1"/>
          <w:i w:val="1"/>
          <w:iCs w:val="1"/>
          <w:color w:val="auto"/>
        </w:rPr>
      </w:pPr>
    </w:p>
    <w:p>
      <w:pPr>
        <w:ind w:left="452" w:right="80" w:hanging="452"/>
        <w:spacing w:after="0" w:line="268" w:lineRule="auto"/>
        <w:tabs>
          <w:tab w:leader="none" w:pos="452"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Notices. </w:t>
      </w:r>
      <w:r>
        <w:rPr>
          <w:rFonts w:ascii="Times New Roman" w:cs="Times New Roman" w:eastAsia="Times New Roman" w:hAnsi="Times New Roman"/>
          <w:sz w:val="18"/>
          <w:szCs w:val="18"/>
          <w:color w:val="auto"/>
        </w:rPr>
        <w:t>All notices, requests, demands and other communications provided for by this Agreement shall be in writing and shall be sufficiently given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352"/>
          </w:cols>
          <w:pgMar w:left="248" w:top="266" w:right="299" w:bottom="1440" w:gutter="0" w:footer="0" w:header="0"/>
        </w:sectPr>
      </w:pPr>
    </w:p>
    <w:p>
      <w:pPr>
        <w:spacing w:after="0" w:line="202"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Gail Nixon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207 Mockingbird Lane Johnson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TN 37604</w:t>
      </w:r>
    </w:p>
    <w:p>
      <w:pPr>
        <w:spacing w:after="0" w:line="200" w:lineRule="exact"/>
        <w:rPr>
          <w:sz w:val="20"/>
          <w:szCs w:val="20"/>
          <w:color w:val="auto"/>
        </w:rPr>
      </w:pPr>
    </w:p>
    <w:p>
      <w:pPr>
        <w:sectPr>
          <w:pgSz w:w="11900" w:h="16838" w:orient="portrait"/>
          <w:cols w:equalWidth="0" w:num="2">
            <w:col w:w="3392" w:space="720"/>
            <w:col w:w="7240"/>
          </w:cols>
          <w:pgMar w:left="248" w:top="266" w:right="299" w:bottom="1440" w:gutter="0" w:footer="0" w:header="0"/>
          <w:type w:val="continuous"/>
        </w:sectPr>
      </w:pPr>
    </w:p>
    <w:p>
      <w:pPr>
        <w:spacing w:after="0" w:line="7"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John A. Manzi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Falcon Lane Cranston, 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02921</w:t>
      </w:r>
    </w:p>
    <w:p>
      <w:pPr>
        <w:spacing w:after="0" w:line="200" w:lineRule="exact"/>
        <w:rPr>
          <w:sz w:val="20"/>
          <w:szCs w:val="20"/>
          <w:color w:val="auto"/>
        </w:rPr>
      </w:pPr>
    </w:p>
    <w:p>
      <w:pPr>
        <w:sectPr>
          <w:pgSz w:w="11900" w:h="16838" w:orient="portrait"/>
          <w:cols w:equalWidth="0" w:num="2">
            <w:col w:w="3392" w:space="720"/>
            <w:col w:w="7240"/>
          </w:cols>
          <w:pgMar w:left="248" w:top="266" w:right="299" w:bottom="1440" w:gutter="0" w:footer="0" w:header="0"/>
          <w:type w:val="continuous"/>
        </w:sectPr>
      </w:pPr>
    </w:p>
    <w:p>
      <w:pPr>
        <w:spacing w:after="0" w:line="30" w:lineRule="exact"/>
        <w:rPr>
          <w:sz w:val="20"/>
          <w:szCs w:val="20"/>
          <w:color w:val="auto"/>
        </w:rPr>
      </w:pPr>
    </w:p>
    <w:p>
      <w:pPr>
        <w:ind w:left="452" w:hanging="452"/>
        <w:spacing w:after="0" w:line="256" w:lineRule="auto"/>
        <w:tabs>
          <w:tab w:leader="none" w:pos="452"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Successors: Binding Agreement. </w:t>
      </w:r>
      <w:r>
        <w:rPr>
          <w:rFonts w:ascii="Times New Roman" w:cs="Times New Roman" w:eastAsia="Times New Roman" w:hAnsi="Times New Roman"/>
          <w:sz w:val="18"/>
          <w:szCs w:val="18"/>
          <w:color w:val="auto"/>
        </w:rPr>
        <w:t>The Company shall require any successor (whether direct or indirect, by purchase, merger, consolidation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79" w:lineRule="exact"/>
        <w:rPr>
          <w:rFonts w:ascii="Times New Roman" w:cs="Times New Roman" w:eastAsia="Times New Roman" w:hAnsi="Times New Roman"/>
          <w:sz w:val="18"/>
          <w:szCs w:val="18"/>
          <w:b w:val="1"/>
          <w:bCs w:val="1"/>
          <w:i w:val="1"/>
          <w:iCs w:val="1"/>
          <w:color w:val="auto"/>
        </w:rPr>
      </w:pPr>
    </w:p>
    <w:p>
      <w:pPr>
        <w:ind w:left="452" w:right="2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81" w:lineRule="exact"/>
        <w:rPr>
          <w:rFonts w:ascii="Times New Roman" w:cs="Times New Roman" w:eastAsia="Times New Roman" w:hAnsi="Times New Roman"/>
          <w:sz w:val="18"/>
          <w:szCs w:val="18"/>
          <w:b w:val="1"/>
          <w:bCs w:val="1"/>
          <w:i w:val="1"/>
          <w:iCs w:val="1"/>
          <w:color w:val="auto"/>
        </w:rPr>
      </w:pPr>
    </w:p>
    <w:p>
      <w:pPr>
        <w:ind w:left="452" w:right="40" w:hanging="452"/>
        <w:spacing w:after="0" w:line="257" w:lineRule="auto"/>
        <w:tabs>
          <w:tab w:leader="none" w:pos="452"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Modification, Waiver or Discharge. </w:t>
      </w:r>
      <w:r>
        <w:rPr>
          <w:rFonts w:ascii="Times New Roman" w:cs="Times New Roman" w:eastAsia="Times New Roman" w:hAnsi="Times New Roman"/>
          <w:sz w:val="18"/>
          <w:szCs w:val="18"/>
          <w:color w:val="auto"/>
        </w:rPr>
        <w:t>No provision of this Agreement may be modified or discharged unless such modification or discharge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w:t>
      </w:r>
    </w:p>
    <w:p>
      <w:pPr>
        <w:sectPr>
          <w:pgSz w:w="11900" w:h="16838" w:orient="portrait"/>
          <w:cols w:equalWidth="0" w:num="1">
            <w:col w:w="11352"/>
          </w:cols>
          <w:pgMar w:left="248" w:top="266" w:right="299" w:bottom="1440" w:gutter="0" w:footer="0" w:header="0"/>
          <w:type w:val="continuous"/>
        </w:sectPr>
      </w:pPr>
    </w:p>
    <w:bookmarkStart w:id="32" w:name="page33"/>
    <w:bookmarkEnd w:id="32"/>
    <w:p>
      <w:pPr>
        <w:ind w:left="452"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63" w:lineRule="exact"/>
        <w:rPr>
          <w:sz w:val="20"/>
          <w:szCs w:val="20"/>
          <w:color w:val="auto"/>
        </w:rPr>
      </w:pPr>
    </w:p>
    <w:p>
      <w:pPr>
        <w:ind w:left="452" w:right="20" w:hanging="452"/>
        <w:spacing w:after="0" w:line="255" w:lineRule="auto"/>
        <w:tabs>
          <w:tab w:leader="none" w:pos="452"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Entire Agreement. </w:t>
      </w:r>
      <w:r>
        <w:rPr>
          <w:rFonts w:ascii="Times New Roman" w:cs="Times New Roman" w:eastAsia="Times New Roman" w:hAnsi="Times New Roman"/>
          <w:sz w:val="18"/>
          <w:szCs w:val="18"/>
          <w:color w:val="auto"/>
        </w:rPr>
        <w:t>This Agreement constitutes the entire understanding of the parties hereto with respect to its subject matter and supersedes all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 The Executive acknowledges that (i) the Employment Agreement between the Executive and Precision Engineered Products Holdings, Inc. dated December 22, 2010 (the “PEP Employment Agreement”), has been terminated and is no longer in effect, including, without limitation, Section 7 of the PEP Employment Agreement and (ii) that the restrictive covenants contained in Sections 8A. and 8B. of the Award Letter between the Executive and PEP are terminated and are no longer in effect.</w:t>
      </w:r>
    </w:p>
    <w:p>
      <w:pPr>
        <w:spacing w:after="0" w:line="90" w:lineRule="exact"/>
        <w:rPr>
          <w:rFonts w:ascii="Times New Roman" w:cs="Times New Roman" w:eastAsia="Times New Roman" w:hAnsi="Times New Roman"/>
          <w:sz w:val="18"/>
          <w:szCs w:val="18"/>
          <w:b w:val="1"/>
          <w:bCs w:val="1"/>
          <w:i w:val="1"/>
          <w:iCs w:val="1"/>
          <w:color w:val="auto"/>
        </w:rPr>
      </w:pPr>
    </w:p>
    <w:p>
      <w:pPr>
        <w:ind w:left="452" w:hanging="452"/>
        <w:spacing w:after="0" w:line="286" w:lineRule="auto"/>
        <w:tabs>
          <w:tab w:leader="none" w:pos="452"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validity, interpretation, construction and performance of this Agreement shall be governed by the laws of the State of Tennessee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federal law does not apply.</w:t>
      </w:r>
    </w:p>
    <w:p>
      <w:pPr>
        <w:spacing w:after="0" w:line="60" w:lineRule="exact"/>
        <w:rPr>
          <w:rFonts w:ascii="Times New Roman" w:cs="Times New Roman" w:eastAsia="Times New Roman" w:hAnsi="Times New Roman"/>
          <w:sz w:val="18"/>
          <w:szCs w:val="18"/>
          <w:b w:val="1"/>
          <w:bCs w:val="1"/>
          <w:i w:val="1"/>
          <w:iCs w:val="1"/>
          <w:color w:val="auto"/>
        </w:rPr>
      </w:pPr>
    </w:p>
    <w:p>
      <w:pPr>
        <w:ind w:left="452" w:right="140" w:hanging="452"/>
        <w:spacing w:after="0" w:line="262" w:lineRule="auto"/>
        <w:tabs>
          <w:tab w:leader="none" w:pos="452"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Resolution of Disputes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dispute or claim arising out of or relating to this Agreement shall be settled by final and binding arbitration in Johnson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82" w:lineRule="exact"/>
        <w:rPr>
          <w:rFonts w:ascii="Times New Roman" w:cs="Times New Roman" w:eastAsia="Times New Roman" w:hAnsi="Times New Roman"/>
          <w:sz w:val="18"/>
          <w:szCs w:val="18"/>
          <w:b w:val="1"/>
          <w:bCs w:val="1"/>
          <w:i w:val="1"/>
          <w:iCs w:val="1"/>
          <w:color w:val="auto"/>
        </w:rPr>
      </w:pPr>
    </w:p>
    <w:p>
      <w:pPr>
        <w:ind w:left="452" w:right="240" w:hanging="452"/>
        <w:spacing w:after="0" w:line="286" w:lineRule="auto"/>
        <w:tabs>
          <w:tab w:leader="none" w:pos="4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Validity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invalidity or unenforceability of any provision of this Agreement shall not affect the validity or enforceability of the other provisions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which latter provisions shall remain in full force and effect.</w:t>
      </w:r>
    </w:p>
    <w:p>
      <w:pPr>
        <w:spacing w:after="0" w:line="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Compliance with Section 409A</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ind w:left="452" w:right="20" w:hanging="452"/>
        <w:spacing w:after="0" w:line="252" w:lineRule="auto"/>
        <w:tabs>
          <w:tab w:leader="none" w:pos="452"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It is intended that the Agreement will comply with Section 409A of the Code and the regulations and other guidance thereunder (“Section 409A”),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ectPr>
          <w:pgSz w:w="11900" w:h="16838" w:orient="portrait"/>
          <w:cols w:equalWidth="0" w:num="1">
            <w:col w:w="11412"/>
          </w:cols>
          <w:pgMar w:left="248" w:top="270" w:right="239" w:bottom="1440" w:gutter="0" w:footer="0" w:header="0"/>
        </w:sectPr>
      </w:pPr>
    </w:p>
    <w:bookmarkStart w:id="33" w:name="page34"/>
    <w:bookmarkEnd w:id="33"/>
    <w:p>
      <w:pPr>
        <w:ind w:left="452" w:hanging="452"/>
        <w:spacing w:after="0" w:line="281" w:lineRule="auto"/>
        <w:tabs>
          <w:tab w:leader="none" w:pos="452" w:val="left"/>
        </w:tabs>
        <w:numPr>
          <w:ilvl w:val="0"/>
          <w:numId w:val="2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 Month Delay for Specified Employees.</w:t>
      </w:r>
      <w:r>
        <w:rPr>
          <w:rFonts w:ascii="Times New Roman" w:cs="Times New Roman" w:eastAsia="Times New Roman" w:hAnsi="Times New Roman"/>
          <w:sz w:val="17"/>
          <w:szCs w:val="17"/>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66" w:lineRule="exact"/>
        <w:rPr>
          <w:sz w:val="20"/>
          <w:szCs w:val="20"/>
          <w:color w:val="auto"/>
        </w:rPr>
      </w:pPr>
    </w:p>
    <w:p>
      <w:pPr>
        <w:ind w:left="452" w:right="40" w:hanging="452"/>
        <w:spacing w:after="0" w:line="262" w:lineRule="auto"/>
        <w:tabs>
          <w:tab w:leader="none" w:pos="45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Adequate Remedy At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the Executive recognize that each party may have no adequate remedy at law for breach by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82" w:lineRule="exact"/>
        <w:rPr>
          <w:rFonts w:ascii="Times New Roman" w:cs="Times New Roman" w:eastAsia="Times New Roman" w:hAnsi="Times New Roman"/>
          <w:sz w:val="18"/>
          <w:szCs w:val="18"/>
          <w:b w:val="1"/>
          <w:bCs w:val="1"/>
          <w:i w:val="1"/>
          <w:iCs w:val="1"/>
          <w:color w:val="auto"/>
        </w:rPr>
      </w:pPr>
    </w:p>
    <w:p>
      <w:pPr>
        <w:ind w:left="452" w:hanging="452"/>
        <w:spacing w:after="0" w:line="259" w:lineRule="auto"/>
        <w:tabs>
          <w:tab w:leader="none" w:pos="45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85" w:lineRule="exact"/>
        <w:rPr>
          <w:rFonts w:ascii="Times New Roman" w:cs="Times New Roman" w:eastAsia="Times New Roman" w:hAnsi="Times New Roman"/>
          <w:sz w:val="18"/>
          <w:szCs w:val="18"/>
          <w:b w:val="1"/>
          <w:bCs w:val="1"/>
          <w:i w:val="1"/>
          <w:iCs w:val="1"/>
          <w:color w:val="auto"/>
        </w:rPr>
      </w:pPr>
    </w:p>
    <w:p>
      <w:pPr>
        <w:ind w:left="452" w:right="440" w:hanging="452"/>
        <w:spacing w:after="0" w:line="286" w:lineRule="auto"/>
        <w:tabs>
          <w:tab w:leader="none" w:pos="45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or construction of any provision of this Agreement. Reference to Paragraphs are to Paragraphs in this Agreement.</w:t>
      </w:r>
    </w:p>
    <w:p>
      <w:pPr>
        <w:spacing w:after="0" w:line="60" w:lineRule="exact"/>
        <w:rPr>
          <w:rFonts w:ascii="Times New Roman" w:cs="Times New Roman" w:eastAsia="Times New Roman" w:hAnsi="Times New Roman"/>
          <w:sz w:val="18"/>
          <w:szCs w:val="18"/>
          <w:b w:val="1"/>
          <w:bCs w:val="1"/>
          <w:i w:val="1"/>
          <w:iCs w:val="1"/>
          <w:color w:val="auto"/>
        </w:rPr>
      </w:pPr>
    </w:p>
    <w:p>
      <w:pPr>
        <w:ind w:left="452" w:right="260" w:hanging="452"/>
        <w:spacing w:after="0" w:line="286" w:lineRule="auto"/>
        <w:tabs>
          <w:tab w:leader="none" w:pos="45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constitute one and the same instrument.</w:t>
      </w:r>
    </w:p>
    <w:p>
      <w:pPr>
        <w:spacing w:after="0" w:line="60" w:lineRule="exact"/>
        <w:rPr>
          <w:rFonts w:ascii="Times New Roman" w:cs="Times New Roman" w:eastAsia="Times New Roman" w:hAnsi="Times New Roman"/>
          <w:sz w:val="18"/>
          <w:szCs w:val="18"/>
          <w:b w:val="1"/>
          <w:bCs w:val="1"/>
          <w:i w:val="1"/>
          <w:iCs w:val="1"/>
          <w:color w:val="auto"/>
        </w:rPr>
      </w:pPr>
    </w:p>
    <w:p>
      <w:pPr>
        <w:ind w:left="452" w:hanging="452"/>
        <w:spacing w:after="0"/>
        <w:tabs>
          <w:tab w:leader="none" w:pos="45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134" w:lineRule="exact"/>
        <w:rPr>
          <w:rFonts w:ascii="Times New Roman" w:cs="Times New Roman" w:eastAsia="Times New Roman" w:hAnsi="Times New Roman"/>
          <w:sz w:val="18"/>
          <w:szCs w:val="18"/>
          <w:b w:val="1"/>
          <w:bCs w:val="1"/>
          <w:i w:val="1"/>
          <w:iCs w:val="1"/>
          <w:color w:val="auto"/>
        </w:rPr>
      </w:pPr>
    </w:p>
    <w:p>
      <w:pPr>
        <w:ind w:left="892" w:hanging="446"/>
        <w:spacing w:after="0"/>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any of the following:</w:t>
      </w:r>
    </w:p>
    <w:p>
      <w:pPr>
        <w:spacing w:after="0" w:line="131" w:lineRule="exact"/>
        <w:rPr>
          <w:sz w:val="20"/>
          <w:szCs w:val="20"/>
          <w:color w:val="auto"/>
        </w:rPr>
      </w:pPr>
    </w:p>
    <w:p>
      <w:pPr>
        <w:ind w:left="892" w:right="60" w:hanging="446"/>
        <w:spacing w:after="0" w:line="266"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Executive to perform the Executive’s duties under this Agreement (other than as a result of physical or mental illness or injury), which failure, if correctable, and provided it does not constitute willful misconduct or gross negligence, remains uncorrected for 10 days following written notice to Executive by the Chief Executive Officer or the Board of Directors of the Company of such breach;</w:t>
      </w:r>
    </w:p>
    <w:p>
      <w:pPr>
        <w:spacing w:after="0" w:line="81" w:lineRule="exact"/>
        <w:rPr>
          <w:rFonts w:ascii="Times New Roman" w:cs="Times New Roman" w:eastAsia="Times New Roman" w:hAnsi="Times New Roman"/>
          <w:sz w:val="18"/>
          <w:szCs w:val="18"/>
          <w:color w:val="auto"/>
        </w:rPr>
      </w:pPr>
    </w:p>
    <w:p>
      <w:pPr>
        <w:ind w:left="892" w:right="660" w:hanging="446"/>
        <w:spacing w:after="0" w:line="282"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by the Executive in either case that results in material damage to the business or reputation of the Company;</w:t>
      </w:r>
    </w:p>
    <w:p>
      <w:pPr>
        <w:spacing w:after="0" w:line="67" w:lineRule="exact"/>
        <w:rPr>
          <w:rFonts w:ascii="Times New Roman" w:cs="Times New Roman" w:eastAsia="Times New Roman" w:hAnsi="Times New Roman"/>
          <w:sz w:val="18"/>
          <w:szCs w:val="18"/>
          <w:color w:val="auto"/>
        </w:rPr>
      </w:pPr>
    </w:p>
    <w:p>
      <w:pPr>
        <w:ind w:left="892" w:right="20" w:hanging="446"/>
        <w:spacing w:after="0" w:line="282"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ectPr>
          <w:pgSz w:w="11900" w:h="16838" w:orient="portrait"/>
          <w:cols w:equalWidth="0" w:num="1">
            <w:col w:w="11392"/>
          </w:cols>
          <w:pgMar w:left="248" w:top="270" w:right="259" w:bottom="1440" w:gutter="0" w:footer="0" w:header="0"/>
        </w:sectPr>
      </w:pPr>
    </w:p>
    <w:bookmarkStart w:id="34" w:name="page35"/>
    <w:bookmarkEnd w:id="34"/>
    <w:p>
      <w:pPr>
        <w:ind w:left="892" w:right="220" w:hanging="446"/>
        <w:spacing w:after="0" w:line="282"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is convicted of a felony or any other crime (other than traffic violations) involving moral turpitude (whether or not in connection with the performance by Executive of his duties under this Agreement).</w:t>
      </w:r>
    </w:p>
    <w:p>
      <w:pPr>
        <w:spacing w:after="0" w:line="67" w:lineRule="exact"/>
        <w:rPr>
          <w:sz w:val="20"/>
          <w:szCs w:val="20"/>
          <w:color w:val="auto"/>
        </w:rPr>
      </w:pPr>
    </w:p>
    <w:p>
      <w:pPr>
        <w:ind w:left="892" w:hanging="446"/>
        <w:spacing w:after="0"/>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and shall occur on the date that any of the following occurs:</w:t>
      </w:r>
    </w:p>
    <w:p>
      <w:pPr>
        <w:spacing w:after="0" w:line="131" w:lineRule="exact"/>
        <w:rPr>
          <w:sz w:val="20"/>
          <w:szCs w:val="20"/>
          <w:color w:val="auto"/>
        </w:rPr>
      </w:pPr>
    </w:p>
    <w:p>
      <w:pPr>
        <w:ind w:left="892" w:right="140" w:hanging="446"/>
        <w:spacing w:after="0" w:line="261" w:lineRule="auto"/>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NN, Inc., (“NN”) and beneficially owns fifty percent (50%) or more of the issued and outstanding voting stock of NN after such tender or exchange offer, or</w:t>
      </w:r>
    </w:p>
    <w:p>
      <w:pPr>
        <w:ind w:left="89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92" w:lineRule="exact"/>
        <w:rPr>
          <w:rFonts w:ascii="Times New Roman" w:cs="Times New Roman" w:eastAsia="Times New Roman" w:hAnsi="Times New Roman"/>
          <w:sz w:val="18"/>
          <w:szCs w:val="18"/>
          <w:color w:val="auto"/>
        </w:rPr>
      </w:pPr>
    </w:p>
    <w:p>
      <w:pPr>
        <w:ind w:left="892" w:right="440" w:hanging="446"/>
        <w:spacing w:after="0" w:line="266" w:lineRule="auto"/>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sells fifty percent (50%) or more of its assets to any other person or persons (other than an affiliate or affiliates of NN); or</w:t>
      </w:r>
    </w:p>
    <w:p>
      <w:pPr>
        <w:spacing w:after="0" w:line="130" w:lineRule="exact"/>
        <w:rPr>
          <w:rFonts w:ascii="Times New Roman" w:cs="Times New Roman" w:eastAsia="Times New Roman" w:hAnsi="Times New Roman"/>
          <w:sz w:val="18"/>
          <w:szCs w:val="18"/>
          <w:color w:val="auto"/>
        </w:rPr>
      </w:pPr>
    </w:p>
    <w:p>
      <w:pPr>
        <w:ind w:left="892" w:hanging="446"/>
        <w:spacing w:after="0" w:line="256" w:lineRule="auto"/>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during any 12-month period, constitute the Board (the “Incumbent Board”)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8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It is not intended that a Change in Control, in and of itself, will serve as an event which entitles Executive to any payment hereunder.</w:t>
      </w:r>
    </w:p>
    <w:p>
      <w:pPr>
        <w:spacing w:after="0" w:line="131" w:lineRule="exact"/>
        <w:rPr>
          <w:sz w:val="20"/>
          <w:szCs w:val="20"/>
          <w:color w:val="auto"/>
        </w:rPr>
      </w:pPr>
    </w:p>
    <w:p>
      <w:pPr>
        <w:ind w:left="452" w:hanging="452"/>
        <w:spacing w:after="0"/>
        <w:tabs>
          <w:tab w:leader="none" w:pos="4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452" w:right="40" w:hanging="452"/>
        <w:spacing w:after="0" w:line="255" w:lineRule="auto"/>
        <w:tabs>
          <w:tab w:leader="none" w:pos="4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w:t>
      </w:r>
    </w:p>
    <w:p>
      <w:pPr>
        <w:sectPr>
          <w:pgSz w:w="11900" w:h="16838" w:orient="portrait"/>
          <w:cols w:equalWidth="0" w:num="1">
            <w:col w:w="11392"/>
          </w:cols>
          <w:pgMar w:left="248" w:top="270" w:right="259" w:bottom="1440" w:gutter="0" w:footer="0" w:header="0"/>
        </w:sectPr>
      </w:pPr>
    </w:p>
    <w:bookmarkStart w:id="35" w:name="page36"/>
    <w:bookmarkEnd w:id="35"/>
    <w:p>
      <w:pPr>
        <w:ind w:left="452"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67" w:lineRule="exact"/>
        <w:rPr>
          <w:sz w:val="20"/>
          <w:szCs w:val="20"/>
          <w:color w:val="auto"/>
        </w:rPr>
      </w:pPr>
    </w:p>
    <w:p>
      <w:pPr>
        <w:ind w:left="452" w:hanging="452"/>
        <w:spacing w:after="0"/>
        <w:tabs>
          <w:tab w:leader="none" w:pos="4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any of the following events if not remedied by the Company within 30 days after receipt of notice thereof from the Executive:</w:t>
      </w:r>
    </w:p>
    <w:p>
      <w:pPr>
        <w:spacing w:after="0" w:line="27" w:lineRule="exact"/>
        <w:rPr>
          <w:rFonts w:ascii="Times New Roman" w:cs="Times New Roman" w:eastAsia="Times New Roman" w:hAnsi="Times New Roman"/>
          <w:sz w:val="18"/>
          <w:szCs w:val="18"/>
          <w:color w:val="auto"/>
        </w:rPr>
      </w:pPr>
    </w:p>
    <w:p>
      <w:pPr>
        <w:ind w:left="452"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any material adverse change in Executive’s annual compensation and other benefits; or (iv) a requirement to relocate Executive’s place of employment in excess of fifty (50) miles from the current principal office of Precision Engineered Products Holdings Inc. and its subsidiaries located at 110 Frank Mossberg Drive, Attleboro, Massachusetts.</w:t>
      </w:r>
    </w:p>
    <w:p>
      <w:pPr>
        <w:spacing w:after="0" w:line="79" w:lineRule="exact"/>
        <w:rPr>
          <w:sz w:val="20"/>
          <w:szCs w:val="20"/>
          <w:color w:val="auto"/>
        </w:rPr>
      </w:pPr>
    </w:p>
    <w:p>
      <w:pPr>
        <w:ind w:left="452" w:right="6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86" w:lineRule="exact"/>
        <w:rPr>
          <w:sz w:val="20"/>
          <w:szCs w:val="20"/>
          <w:color w:val="auto"/>
        </w:rPr>
      </w:pPr>
    </w:p>
    <w:p>
      <w:pPr>
        <w:ind w:left="452" w:right="120" w:hanging="452"/>
        <w:spacing w:after="0" w:line="261" w:lineRule="auto"/>
        <w:tabs>
          <w:tab w:leader="none" w:pos="4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Termination”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85" w:lineRule="exact"/>
        <w:rPr>
          <w:rFonts w:ascii="Times New Roman" w:cs="Times New Roman" w:eastAsia="Times New Roman" w:hAnsi="Times New Roman"/>
          <w:sz w:val="18"/>
          <w:szCs w:val="18"/>
          <w:color w:val="auto"/>
        </w:rPr>
      </w:pPr>
    </w:p>
    <w:p>
      <w:pPr>
        <w:ind w:left="452" w:right="140" w:hanging="452"/>
        <w:spacing w:after="0" w:line="282" w:lineRule="auto"/>
        <w:tabs>
          <w:tab w:leader="none" w:pos="4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a Separation from Service by action of the Company that is not for Cause, or a Separation from Service by action of the Executive that is for Good Reason.</w:t>
      </w:r>
    </w:p>
    <w:p>
      <w:pPr>
        <w:spacing w:after="0" w:line="67"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Period” means (i) a number of months following Executive’s termination of employment pursuant to paragraph 6(a) or 6(c) above which is equal to the number of months for which the Executive is entitled to receive his base salary under paragraph 6(a) or 6(c) above, or a period of 12 months following Executive’s termination of employment pursuant to paragraph 6(b) above.</w:t>
      </w:r>
    </w:p>
    <w:p>
      <w:pPr>
        <w:spacing w:after="0" w:line="8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Executive’s “separation from service” as defined in Treasury Regulation Section 1.409A-1(h).</w:t>
      </w:r>
    </w:p>
    <w:p>
      <w:pPr>
        <w:sectPr>
          <w:pgSz w:w="11900" w:h="16838" w:orient="portrait"/>
          <w:cols w:equalWidth="0" w:num="1">
            <w:col w:w="11352"/>
          </w:cols>
          <w:pgMar w:left="248" w:top="270" w:right="299" w:bottom="1440" w:gutter="0" w:footer="0" w:header="0"/>
        </w:sectPr>
      </w:pPr>
    </w:p>
    <w:bookmarkStart w:id="36" w:name="page37"/>
    <w:bookmarkEnd w:id="36"/>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Richard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John Manzi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SVP/GM, Precision Engineered Products Group</w:t>
      </w:r>
    </w:p>
    <w:p>
      <w:pPr>
        <w:sectPr>
          <w:pgSz w:w="11900" w:h="16838" w:orient="portrait"/>
          <w:cols w:equalWidth="0" w:num="1">
            <w:col w:w="11000"/>
          </w:cols>
          <w:pgMar w:left="240" w:top="266" w:right="659" w:bottom="1440" w:gutter="0" w:footer="0" w:header="0"/>
        </w:sectPr>
      </w:pPr>
    </w:p>
    <w:bookmarkStart w:id="37" w:name="page38"/>
    <w:bookmarkEnd w:id="37"/>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Severance Payment subsequent to a Change in Control as provided in paragraph 6(c)(i) shall be a lump sum payment equal to:</w:t>
      </w:r>
    </w:p>
    <w:p>
      <w:pPr>
        <w:spacing w:after="0" w:line="131"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times Executive’s target bonus, which is calculated as 50% of the Executive’s base salary.</w:t>
      </w:r>
    </w:p>
    <w:p>
      <w:pPr>
        <w:sectPr>
          <w:pgSz w:w="11900" w:h="16838" w:orient="portrait"/>
          <w:cols w:equalWidth="0" w:num="1">
            <w:col w:w="10219"/>
          </w:cols>
          <w:pgMar w:left="240" w:top="266"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SEPERATION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this 1st day of April, 2017,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NN,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with its principal place of business in Johnson City, Tennessee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Matthew S. Heiter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will employ the Executive for the success of the Company and recognizes that the Executive will perform key functions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w:t>
      </w:r>
    </w:p>
    <w:p>
      <w:pPr>
        <w:spacing w:after="0" w:line="155"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determined that it is in the best interests of the Company to institute a formalized separation arrangement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the event of a separation of employment; and</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desires to enter into this Agreement with the Company;</w:t>
      </w:r>
    </w:p>
    <w:p>
      <w:pPr>
        <w:spacing w:after="0" w:line="225"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hereby agree as follows:</w:t>
      </w:r>
    </w:p>
    <w:p>
      <w:pPr>
        <w:spacing w:after="0" w:line="60" w:lineRule="exact"/>
        <w:rPr>
          <w:sz w:val="20"/>
          <w:szCs w:val="20"/>
          <w:color w:val="auto"/>
        </w:rPr>
      </w:pPr>
    </w:p>
    <w:p>
      <w:pPr>
        <w:ind w:left="460" w:right="460" w:hanging="452"/>
        <w:spacing w:after="0" w:line="286" w:lineRule="auto"/>
        <w:tabs>
          <w:tab w:leader="none" w:pos="46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 in the Event of Separation from Service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the Executive’s Separation from Service, compensation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shall be paid as set forth below.</w:t>
      </w:r>
    </w:p>
    <w:p>
      <w:pPr>
        <w:spacing w:after="0" w:line="64" w:lineRule="exact"/>
        <w:rPr>
          <w:sz w:val="20"/>
          <w:szCs w:val="20"/>
          <w:color w:val="auto"/>
        </w:rPr>
      </w:pPr>
    </w:p>
    <w:p>
      <w:pPr>
        <w:ind w:left="460" w:right="160" w:hanging="452"/>
        <w:spacing w:after="0" w:line="282"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Prior To A Change In Control.</w:t>
      </w:r>
      <w:r>
        <w:rPr>
          <w:rFonts w:ascii="Times New Roman" w:cs="Times New Roman" w:eastAsia="Times New Roman" w:hAnsi="Times New Roman"/>
          <w:sz w:val="18"/>
          <w:szCs w:val="18"/>
          <w:color w:val="auto"/>
        </w:rPr>
        <w:t xml:space="preserve"> If the Executive has a Qualifying Termination after the Effective Date and prior to a Change in Control, then upon such Qualifying Termination the Executive shall be entitled to receive the following:</w:t>
      </w:r>
    </w:p>
    <w:p>
      <w:pPr>
        <w:spacing w:after="0" w:line="67" w:lineRule="exact"/>
        <w:rPr>
          <w:rFonts w:ascii="Times New Roman" w:cs="Times New Roman" w:eastAsia="Times New Roman" w:hAnsi="Times New Roman"/>
          <w:sz w:val="18"/>
          <w:szCs w:val="18"/>
          <w:color w:val="auto"/>
        </w:rPr>
      </w:pPr>
    </w:p>
    <w:p>
      <w:pPr>
        <w:ind w:left="900" w:right="740" w:hanging="446"/>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Executive’s prior service to the Company an amount equal to 18 months of his annual base salary in effect on the date of his Separation from Service. These amounts shall be payable in accordance with the Company’s regular payroll procedures over the 18 month period following the Executive’s Separation from Service.</w:t>
      </w:r>
    </w:p>
    <w:p>
      <w:pPr>
        <w:spacing w:after="0" w:line="81"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distributed after completion of the Company’s fiscal year end audit).</w:t>
      </w:r>
    </w:p>
    <w:p>
      <w:pPr>
        <w:spacing w:after="0" w:line="86" w:lineRule="exact"/>
        <w:rPr>
          <w:sz w:val="20"/>
          <w:szCs w:val="20"/>
          <w:color w:val="auto"/>
        </w:rPr>
      </w:pPr>
    </w:p>
    <w:p>
      <w:pPr>
        <w:ind w:left="900" w:right="74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payable in a single lump sum to assist with the Executive’s transition from employment.</w:t>
      </w:r>
    </w:p>
    <w:p>
      <w:pPr>
        <w:sectPr>
          <w:pgSz w:w="11900" w:h="16838" w:orient="portrait"/>
          <w:cols w:equalWidth="0" w:num="1">
            <w:col w:w="11420"/>
          </w:cols>
          <w:pgMar w:left="240" w:top="121" w:right="239" w:bottom="1440" w:gutter="0" w:footer="0" w:header="0"/>
        </w:sectPr>
      </w:pPr>
    </w:p>
    <w:bookmarkStart w:id="39" w:name="page40"/>
    <w:bookmarkEnd w:id="39"/>
    <w:p>
      <w:pPr>
        <w:ind w:left="452"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under (ii) and (v) above shall commence or shall be paid within 60 days following the Executive’s Separation from Service; provided, however, that the Executive is in full compliance with the covenants under paragraphs 2, 3, 4, and 6 of this Agreement.</w:t>
      </w:r>
    </w:p>
    <w:p>
      <w:pPr>
        <w:spacing w:after="0" w:line="67" w:lineRule="exact"/>
        <w:rPr>
          <w:sz w:val="20"/>
          <w:szCs w:val="20"/>
          <w:color w:val="auto"/>
        </w:rPr>
      </w:pPr>
    </w:p>
    <w:p>
      <w:pPr>
        <w:ind w:left="452" w:hanging="452"/>
        <w:spacing w:after="0"/>
        <w:tabs>
          <w:tab w:leader="none" w:pos="4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Executive’s Separation from Service is terminated</w:t>
      </w:r>
    </w:p>
    <w:p>
      <w:pPr>
        <w:spacing w:after="0" w:line="27" w:lineRule="exact"/>
        <w:rPr>
          <w:rFonts w:ascii="Times New Roman" w:cs="Times New Roman" w:eastAsia="Times New Roman" w:hAnsi="Times New Roman"/>
          <w:sz w:val="18"/>
          <w:szCs w:val="18"/>
          <w:color w:val="auto"/>
        </w:rPr>
      </w:pPr>
    </w:p>
    <w:p>
      <w:pPr>
        <w:ind w:left="45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85" w:lineRule="exact"/>
        <w:rPr>
          <w:sz w:val="20"/>
          <w:szCs w:val="20"/>
          <w:color w:val="auto"/>
        </w:rPr>
      </w:pPr>
    </w:p>
    <w:p>
      <w:pPr>
        <w:ind w:left="892" w:right="20" w:hanging="446"/>
        <w:spacing w:after="0" w:line="282" w:lineRule="auto"/>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67"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892" w:right="720" w:hanging="446"/>
        <w:spacing w:after="0" w:line="282" w:lineRule="auto"/>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Following a Change in Control.</w:t>
      </w:r>
    </w:p>
    <w:p>
      <w:pPr>
        <w:spacing w:after="0" w:line="117" w:lineRule="exact"/>
        <w:rPr>
          <w:rFonts w:ascii="Times New Roman" w:cs="Times New Roman" w:eastAsia="Times New Roman" w:hAnsi="Times New Roman"/>
          <w:sz w:val="18"/>
          <w:szCs w:val="18"/>
          <w:color w:val="auto"/>
        </w:rPr>
      </w:pPr>
    </w:p>
    <w:p>
      <w:pPr>
        <w:ind w:left="452" w:right="140" w:firstLine="4"/>
        <w:spacing w:after="0" w:line="282" w:lineRule="auto"/>
        <w:tabs>
          <w:tab w:leader="none" w:pos="802"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has a Qualifying Termination within 24 months following a Change in Control, Executive shall receive the following, subject to paragraph 1(c)(ii):</w:t>
      </w:r>
    </w:p>
    <w:p>
      <w:pPr>
        <w:spacing w:after="0" w:line="67"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salary due to the Executive through the date of his Separation from Service.</w:t>
      </w:r>
    </w:p>
    <w:p>
      <w:pPr>
        <w:spacing w:after="0" w:line="130" w:lineRule="exact"/>
        <w:rPr>
          <w:rFonts w:ascii="Times New Roman" w:cs="Times New Roman" w:eastAsia="Times New Roman" w:hAnsi="Times New Roman"/>
          <w:sz w:val="18"/>
          <w:szCs w:val="18"/>
          <w:color w:val="auto"/>
        </w:rPr>
      </w:pPr>
    </w:p>
    <w:p>
      <w:pPr>
        <w:jc w:val="both"/>
        <w:ind w:left="1472" w:right="20" w:hanging="567"/>
        <w:spacing w:after="0" w:line="266" w:lineRule="auto"/>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made by wire transfer or immediately available funds to an account designated by Executive following the date of the Separation from Service.</w:t>
      </w:r>
    </w:p>
    <w:p>
      <w:pPr>
        <w:spacing w:after="0" w:line="81" w:lineRule="exact"/>
        <w:rPr>
          <w:rFonts w:ascii="Times New Roman" w:cs="Times New Roman" w:eastAsia="Times New Roman" w:hAnsi="Times New Roman"/>
          <w:sz w:val="18"/>
          <w:szCs w:val="18"/>
          <w:color w:val="auto"/>
        </w:rPr>
      </w:pPr>
    </w:p>
    <w:p>
      <w:pPr>
        <w:ind w:left="1472" w:hanging="567"/>
        <w:spacing w:after="0" w:line="266" w:lineRule="auto"/>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target annual bonus to which Executive would have been entitled but for Executive’s Separation from Service, for the year of Executive’s termination; pro-rated for the portion of the year during which he was employed by the Company (“</w:t>
      </w:r>
      <w:r>
        <w:rPr>
          <w:rFonts w:ascii="Times New Roman" w:cs="Times New Roman" w:eastAsia="Times New Roman" w:hAnsi="Times New Roman"/>
          <w:sz w:val="18"/>
          <w:szCs w:val="18"/>
          <w:u w:val="single" w:color="auto"/>
          <w:color w:val="auto"/>
        </w:rPr>
        <w:t>Pro-rated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1472" w:right="140" w:hanging="567"/>
        <w:spacing w:after="0" w:line="282" w:lineRule="auto"/>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payable in a single lump sum to assist with the Executive’s transition from employment.</w:t>
      </w:r>
    </w:p>
    <w:p>
      <w:pPr>
        <w:spacing w:after="0" w:line="117" w:lineRule="exact"/>
        <w:rPr>
          <w:sz w:val="20"/>
          <w:szCs w:val="20"/>
          <w:color w:val="auto"/>
        </w:rPr>
      </w:pPr>
    </w:p>
    <w:p>
      <w:pPr>
        <w:ind w:left="912" w:right="380"/>
        <w:spacing w:after="0" w:line="282" w:lineRule="auto"/>
        <w:rPr>
          <w:sz w:val="20"/>
          <w:szCs w:val="20"/>
          <w:color w:val="auto"/>
        </w:rPr>
      </w:pPr>
      <w:r>
        <w:rPr>
          <w:rFonts w:ascii="Times New Roman" w:cs="Times New Roman" w:eastAsia="Times New Roman" w:hAnsi="Times New Roman"/>
          <w:sz w:val="18"/>
          <w:szCs w:val="18"/>
          <w:color w:val="auto"/>
        </w:rPr>
        <w:t>Payments under (2), (3) and (6) above shall be paid in full in a lump sum within 60 days following the Executive’s Separation from Service; provided, however, that the Executive is in full compliance with the covenants under paragraphs 2, 3, 4, and 6 of this Agreement.</w:t>
      </w:r>
    </w:p>
    <w:p>
      <w:pPr>
        <w:sectPr>
          <w:pgSz w:w="11900" w:h="16838" w:orient="portrait"/>
          <w:cols w:equalWidth="0" w:num="1">
            <w:col w:w="11392"/>
          </w:cols>
          <w:pgMar w:left="248" w:top="270" w:right="259" w:bottom="1440" w:gutter="0" w:footer="0" w:header="0"/>
        </w:sectPr>
      </w:pPr>
    </w:p>
    <w:bookmarkStart w:id="40" w:name="page41"/>
    <w:bookmarkEnd w:id="40"/>
    <w:p>
      <w:pPr>
        <w:ind w:left="852" w:hanging="396"/>
        <w:spacing w:after="0"/>
        <w:tabs>
          <w:tab w:leader="none" w:pos="85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Excise Tax.</w:t>
      </w:r>
    </w:p>
    <w:p>
      <w:pPr>
        <w:spacing w:after="0" w:line="130" w:lineRule="exact"/>
        <w:rPr>
          <w:rFonts w:ascii="Times New Roman" w:cs="Times New Roman" w:eastAsia="Times New Roman" w:hAnsi="Times New Roman"/>
          <w:sz w:val="18"/>
          <w:szCs w:val="18"/>
          <w:color w:val="auto"/>
        </w:rPr>
      </w:pPr>
    </w:p>
    <w:p>
      <w:pPr>
        <w:ind w:left="1472" w:right="40" w:hanging="567"/>
        <w:spacing w:after="0" w:line="272" w:lineRule="auto"/>
        <w:tabs>
          <w:tab w:leader="none" w:pos="1472" w:val="left"/>
        </w:tabs>
        <w:numPr>
          <w:ilvl w:val="3"/>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Times New Roman" w:cs="Times New Roman" w:eastAsia="Times New Roman" w:hAnsi="Times New Roman"/>
          <w:sz w:val="17"/>
          <w:szCs w:val="17"/>
          <w:u w:val="single" w:color="auto"/>
          <w:color w:val="auto"/>
        </w:rPr>
        <w:t>Change in Control Payment</w:t>
      </w:r>
      <w:r>
        <w:rPr>
          <w:rFonts w:ascii="Times New Roman" w:cs="Times New Roman" w:eastAsia="Times New Roman" w:hAnsi="Times New Roman"/>
          <w:sz w:val="17"/>
          <w:szCs w:val="17"/>
          <w:color w:val="auto"/>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1(c)(i)(1) of this Agreement and then, to the extent necessary, paragraph 1(c)(i)(2) of this Agreement.</w:t>
      </w:r>
    </w:p>
    <w:p>
      <w:pPr>
        <w:spacing w:after="0" w:line="77" w:lineRule="exact"/>
        <w:rPr>
          <w:rFonts w:ascii="Times New Roman" w:cs="Times New Roman" w:eastAsia="Times New Roman" w:hAnsi="Times New Roman"/>
          <w:sz w:val="17"/>
          <w:szCs w:val="17"/>
          <w:color w:val="auto"/>
        </w:rPr>
      </w:pPr>
    </w:p>
    <w:p>
      <w:pPr>
        <w:ind w:left="1472" w:hanging="567"/>
        <w:spacing w:after="0" w:line="258" w:lineRule="auto"/>
        <w:tabs>
          <w:tab w:leader="none" w:pos="1472"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to be made under this paragraph 1(c)(ii) shall be made by an independent public accounting firm selected by the Company immediately prior to the Change in Control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89" w:lineRule="exact"/>
        <w:rPr>
          <w:rFonts w:ascii="Times New Roman" w:cs="Times New Roman" w:eastAsia="Times New Roman" w:hAnsi="Times New Roman"/>
          <w:sz w:val="18"/>
          <w:szCs w:val="18"/>
          <w:color w:val="auto"/>
        </w:rPr>
      </w:pPr>
    </w:p>
    <w:p>
      <w:pPr>
        <w:ind w:left="892" w:right="100" w:hanging="446"/>
        <w:spacing w:after="0" w:line="266" w:lineRule="auto"/>
        <w:tabs>
          <w:tab w:leader="none" w:pos="892" w:val="left"/>
        </w:tabs>
        <w:numPr>
          <w:ilvl w:val="1"/>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1" w:lineRule="exact"/>
        <w:rPr>
          <w:rFonts w:ascii="Times New Roman" w:cs="Times New Roman" w:eastAsia="Times New Roman" w:hAnsi="Times New Roman"/>
          <w:sz w:val="18"/>
          <w:szCs w:val="18"/>
          <w:u w:val="single" w:color="auto"/>
          <w:color w:val="auto"/>
        </w:rPr>
      </w:pPr>
    </w:p>
    <w:p>
      <w:pPr>
        <w:ind w:left="892" w:right="300" w:hanging="446"/>
        <w:spacing w:after="0" w:line="261" w:lineRule="auto"/>
        <w:tabs>
          <w:tab w:leader="none" w:pos="892" w:val="left"/>
        </w:tabs>
        <w:numPr>
          <w:ilvl w:val="1"/>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spacing w:after="0" w:line="81" w:lineRule="exact"/>
        <w:rPr>
          <w:rFonts w:ascii="Times New Roman" w:cs="Times New Roman" w:eastAsia="Times New Roman" w:hAnsi="Times New Roman"/>
          <w:sz w:val="18"/>
          <w:szCs w:val="18"/>
          <w:u w:val="single" w:color="auto"/>
          <w:color w:val="auto"/>
        </w:rPr>
      </w:pPr>
    </w:p>
    <w:p>
      <w:pPr>
        <w:ind w:left="452" w:right="80" w:hanging="452"/>
        <w:spacing w:after="0" w:line="253" w:lineRule="auto"/>
        <w:tabs>
          <w:tab w:leader="none" w:pos="452"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Disclosure of Confidential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developed confidential information, strategies and programs, which include customer lists,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w:t>
      </w:r>
    </w:p>
    <w:p>
      <w:pPr>
        <w:sectPr>
          <w:pgSz w:w="11900" w:h="16838" w:orient="portrait"/>
          <w:cols w:equalWidth="0" w:num="1">
            <w:col w:w="11412"/>
          </w:cols>
          <w:pgMar w:left="248" w:top="270" w:right="239" w:bottom="1440" w:gutter="0" w:footer="0" w:header="0"/>
        </w:sectPr>
      </w:pPr>
    </w:p>
    <w:bookmarkStart w:id="41" w:name="page42"/>
    <w:bookmarkEnd w:id="41"/>
    <w:p>
      <w:pPr>
        <w:ind w:left="452"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88" w:lineRule="exact"/>
        <w:rPr>
          <w:sz w:val="20"/>
          <w:szCs w:val="20"/>
          <w:color w:val="auto"/>
        </w:rPr>
      </w:pPr>
    </w:p>
    <w:p>
      <w:pPr>
        <w:ind w:left="452" w:right="160" w:hanging="452"/>
        <w:spacing w:after="0" w:line="256" w:lineRule="auto"/>
        <w:tabs>
          <w:tab w:leader="none" w:pos="452"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Non-Interference with Personnel Relations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any time while Executive is employed by the Company and at any time during the Restrictive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such employment ends for any reason,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88" w:lineRule="exact"/>
        <w:rPr>
          <w:rFonts w:ascii="Times New Roman" w:cs="Times New Roman" w:eastAsia="Times New Roman" w:hAnsi="Times New Roman"/>
          <w:sz w:val="18"/>
          <w:szCs w:val="18"/>
          <w:b w:val="1"/>
          <w:bCs w:val="1"/>
          <w:i w:val="1"/>
          <w:iCs w:val="1"/>
          <w:color w:val="auto"/>
        </w:rPr>
      </w:pPr>
    </w:p>
    <w:p>
      <w:pPr>
        <w:ind w:left="452" w:hanging="452"/>
        <w:spacing w:after="0" w:line="254" w:lineRule="auto"/>
        <w:tabs>
          <w:tab w:leader="none" w:pos="452"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Executive is employed by the Company and for the Restrictive Period after such employment ends, Executive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88" w:lineRule="exact"/>
        <w:rPr>
          <w:rFonts w:ascii="Times New Roman" w:cs="Times New Roman" w:eastAsia="Times New Roman" w:hAnsi="Times New Roman"/>
          <w:sz w:val="18"/>
          <w:szCs w:val="18"/>
          <w:b w:val="1"/>
          <w:bCs w:val="1"/>
          <w:i w:val="1"/>
          <w:iCs w:val="1"/>
          <w:color w:val="auto"/>
        </w:rPr>
      </w:pPr>
    </w:p>
    <w:p>
      <w:pPr>
        <w:ind w:left="452" w:right="80" w:hanging="452"/>
        <w:spacing w:after="0" w:line="268" w:lineRule="auto"/>
        <w:tabs>
          <w:tab w:leader="none" w:pos="452"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Notification to Subsequent Employers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grants the Company the right to notify any future employer or prospective employer of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concerning the existence of and terms of this Agreement and grants the Company the right to provide a copy of this Agreement to any such subsequent employer or prospective employer.</w:t>
      </w:r>
    </w:p>
    <w:p>
      <w:pPr>
        <w:spacing w:after="0" w:line="319" w:lineRule="exact"/>
        <w:rPr>
          <w:rFonts w:ascii="Times New Roman" w:cs="Times New Roman" w:eastAsia="Times New Roman" w:hAnsi="Times New Roman"/>
          <w:sz w:val="18"/>
          <w:szCs w:val="18"/>
          <w:b w:val="1"/>
          <w:bCs w:val="1"/>
          <w:i w:val="1"/>
          <w:iCs w:val="1"/>
          <w:color w:val="auto"/>
        </w:rPr>
      </w:pPr>
    </w:p>
    <w:p>
      <w:pPr>
        <w:ind w:left="452" w:hanging="452"/>
        <w:spacing w:after="0"/>
        <w:tabs>
          <w:tab w:leader="none" w:pos="452"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Company Proprietary Rights</w:t>
      </w:r>
      <w:r>
        <w:rPr>
          <w:rFonts w:ascii="Times New Roman" w:cs="Times New Roman" w:eastAsia="Times New Roman" w:hAnsi="Times New Roman"/>
          <w:sz w:val="18"/>
          <w:szCs w:val="18"/>
          <w:i w:val="1"/>
          <w:iCs w:val="1"/>
          <w:color w:val="auto"/>
        </w:rPr>
        <w:t>.</w:t>
      </w:r>
    </w:p>
    <w:p>
      <w:pPr>
        <w:spacing w:after="0" w:line="134" w:lineRule="exact"/>
        <w:rPr>
          <w:rFonts w:ascii="Times New Roman" w:cs="Times New Roman" w:eastAsia="Times New Roman" w:hAnsi="Times New Roman"/>
          <w:sz w:val="18"/>
          <w:szCs w:val="18"/>
          <w:b w:val="1"/>
          <w:bCs w:val="1"/>
          <w:i w:val="1"/>
          <w:iCs w:val="1"/>
          <w:color w:val="auto"/>
        </w:rPr>
      </w:pPr>
    </w:p>
    <w:p>
      <w:pPr>
        <w:ind w:left="892" w:right="300" w:hanging="446"/>
        <w:spacing w:after="0" w:line="266" w:lineRule="auto"/>
        <w:tabs>
          <w:tab w:leader="none" w:pos="89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w:t>
      </w:r>
    </w:p>
    <w:p>
      <w:pPr>
        <w:sectPr>
          <w:pgSz w:w="11900" w:h="16838" w:orient="portrait"/>
          <w:cols w:equalWidth="0" w:num="1">
            <w:col w:w="11392"/>
          </w:cols>
          <w:pgMar w:left="248" w:top="270" w:right="259" w:bottom="1440" w:gutter="0" w:footer="0" w:header="0"/>
        </w:sectPr>
      </w:pPr>
    </w:p>
    <w:bookmarkStart w:id="42" w:name="page43"/>
    <w:bookmarkEnd w:id="42"/>
    <w:p>
      <w:pPr>
        <w:ind w:left="9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useful in or to (directly or indirectly) the activities of the Company and/or any parent, subsidiary or affiliate of the Company (collectively,</w:t>
      </w:r>
    </w:p>
    <w:p>
      <w:pPr>
        <w:spacing w:after="0" w:line="27" w:lineRule="exact"/>
        <w:rPr>
          <w:sz w:val="20"/>
          <w:szCs w:val="20"/>
          <w:color w:val="auto"/>
        </w:rPr>
      </w:pPr>
    </w:p>
    <w:p>
      <w:pPr>
        <w:ind w:left="912"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shall become and remain the exclusive property of the Company and/or such parent, subsidiary or affiliate, and Executive shall have no interest therein.</w:t>
      </w:r>
    </w:p>
    <w:p>
      <w:pPr>
        <w:spacing w:after="0" w:line="85" w:lineRule="exact"/>
        <w:rPr>
          <w:sz w:val="20"/>
          <w:szCs w:val="20"/>
          <w:color w:val="auto"/>
        </w:rPr>
      </w:pPr>
    </w:p>
    <w:p>
      <w:pPr>
        <w:ind w:left="892" w:hanging="446"/>
        <w:spacing w:after="0" w:line="261" w:lineRule="auto"/>
        <w:tabs>
          <w:tab w:leader="none" w:pos="892" w:val="left"/>
        </w:tabs>
        <w:numPr>
          <w:ilvl w:val="1"/>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85" w:lineRule="exact"/>
        <w:rPr>
          <w:rFonts w:ascii="Times New Roman" w:cs="Times New Roman" w:eastAsia="Times New Roman" w:hAnsi="Times New Roman"/>
          <w:sz w:val="18"/>
          <w:szCs w:val="18"/>
          <w:u w:val="single" w:color="auto"/>
          <w:color w:val="auto"/>
        </w:rPr>
      </w:pPr>
    </w:p>
    <w:p>
      <w:pPr>
        <w:ind w:left="892" w:right="60" w:hanging="446"/>
        <w:spacing w:after="0" w:line="266" w:lineRule="auto"/>
        <w:tabs>
          <w:tab w:leader="none" w:pos="892" w:val="left"/>
        </w:tabs>
        <w:numPr>
          <w:ilvl w:val="1"/>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77" w:lineRule="exact"/>
        <w:rPr>
          <w:rFonts w:ascii="Times New Roman" w:cs="Times New Roman" w:eastAsia="Times New Roman" w:hAnsi="Times New Roman"/>
          <w:sz w:val="18"/>
          <w:szCs w:val="18"/>
          <w:u w:val="single" w:color="auto"/>
          <w:color w:val="auto"/>
        </w:rPr>
      </w:pPr>
    </w:p>
    <w:p>
      <w:pPr>
        <w:ind w:left="452" w:right="160" w:hanging="452"/>
        <w:spacing w:after="0" w:line="262" w:lineRule="auto"/>
        <w:tabs>
          <w:tab w:leader="none" w:pos="452"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Withholding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provision of this Agreement to the contrary notwithstanding, all payments made by the Company hereunder to the Executive or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82" w:lineRule="exact"/>
        <w:rPr>
          <w:rFonts w:ascii="Times New Roman" w:cs="Times New Roman" w:eastAsia="Times New Roman" w:hAnsi="Times New Roman"/>
          <w:sz w:val="18"/>
          <w:szCs w:val="18"/>
          <w:b w:val="1"/>
          <w:bCs w:val="1"/>
          <w:i w:val="1"/>
          <w:iCs w:val="1"/>
          <w:color w:val="auto"/>
        </w:rPr>
      </w:pPr>
    </w:p>
    <w:p>
      <w:pPr>
        <w:ind w:left="452" w:right="60" w:hanging="452"/>
        <w:spacing w:after="0" w:line="259" w:lineRule="auto"/>
        <w:tabs>
          <w:tab w:leader="none" w:pos="452"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obligation to make the payments provided for in this Agreement and otherwise to perform its obligations hereunder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85" w:lineRule="exact"/>
        <w:rPr>
          <w:rFonts w:ascii="Times New Roman" w:cs="Times New Roman" w:eastAsia="Times New Roman" w:hAnsi="Times New Roman"/>
          <w:sz w:val="18"/>
          <w:szCs w:val="18"/>
          <w:b w:val="1"/>
          <w:bCs w:val="1"/>
          <w:i w:val="1"/>
          <w:iCs w:val="1"/>
          <w:color w:val="auto"/>
        </w:rPr>
      </w:pPr>
    </w:p>
    <w:p>
      <w:pPr>
        <w:ind w:left="452" w:right="140" w:hanging="452"/>
        <w:spacing w:after="0" w:line="268" w:lineRule="auto"/>
        <w:tabs>
          <w:tab w:leader="none" w:pos="452"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 given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12"/>
          </w:cols>
          <w:pgMar w:left="248" w:top="270" w:right="239" w:bottom="1440" w:gutter="0" w:footer="0" w:header="0"/>
        </w:sectPr>
      </w:pPr>
    </w:p>
    <w:p>
      <w:pPr>
        <w:spacing w:after="0" w:line="202"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207 Mockingbird Lane Johnson City,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TN 37604</w:t>
      </w:r>
    </w:p>
    <w:p>
      <w:pPr>
        <w:spacing w:after="0" w:line="200" w:lineRule="exact"/>
        <w:rPr>
          <w:sz w:val="20"/>
          <w:szCs w:val="20"/>
          <w:color w:val="auto"/>
        </w:rPr>
      </w:pPr>
    </w:p>
    <w:p>
      <w:pPr>
        <w:sectPr>
          <w:pgSz w:w="11900" w:h="16838" w:orient="portrait"/>
          <w:cols w:equalWidth="0" w:num="2">
            <w:col w:w="3732" w:space="720"/>
            <w:col w:w="6960"/>
          </w:cols>
          <w:pgMar w:left="248" w:top="270" w:right="239" w:bottom="1440" w:gutter="0" w:footer="0" w:header="0"/>
          <w:type w:val="continuous"/>
        </w:sectPr>
      </w:pPr>
    </w:p>
    <w:p>
      <w:pPr>
        <w:spacing w:after="0" w:line="20"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Matthew S. Heiter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1376 Carr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Memphis, TN 38104</w:t>
      </w:r>
    </w:p>
    <w:p>
      <w:pPr>
        <w:spacing w:after="0" w:line="200" w:lineRule="exact"/>
        <w:rPr>
          <w:sz w:val="20"/>
          <w:szCs w:val="20"/>
          <w:color w:val="auto"/>
        </w:rPr>
      </w:pPr>
    </w:p>
    <w:p>
      <w:pPr>
        <w:sectPr>
          <w:pgSz w:w="11900" w:h="16838" w:orient="portrait"/>
          <w:cols w:equalWidth="0" w:num="2">
            <w:col w:w="3732" w:space="720"/>
            <w:col w:w="6960"/>
          </w:cols>
          <w:pgMar w:left="248" w:top="270" w:right="239" w:bottom="1440" w:gutter="0" w:footer="0" w:header="0"/>
          <w:type w:val="continuous"/>
        </w:sectPr>
      </w:pPr>
    </w:p>
    <w:p>
      <w:pPr>
        <w:spacing w:after="0" w:line="41" w:lineRule="exact"/>
        <w:rPr>
          <w:sz w:val="20"/>
          <w:szCs w:val="20"/>
          <w:color w:val="auto"/>
        </w:rPr>
      </w:pPr>
    </w:p>
    <w:p>
      <w:pPr>
        <w:ind w:left="452" w:right="60" w:hanging="452"/>
        <w:spacing w:after="0" w:line="268" w:lineRule="auto"/>
        <w:tabs>
          <w:tab w:leader="none" w:pos="452"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Successors: Binding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require any successor (whether direct or indirect, by purchase, merger, consolidation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w:t>
      </w:r>
    </w:p>
    <w:p>
      <w:pPr>
        <w:sectPr>
          <w:pgSz w:w="11900" w:h="16838" w:orient="portrait"/>
          <w:cols w:equalWidth="0" w:num="1">
            <w:col w:w="11412"/>
          </w:cols>
          <w:pgMar w:left="248" w:top="270" w:right="239" w:bottom="1440" w:gutter="0" w:footer="0" w:header="0"/>
          <w:type w:val="continuous"/>
        </w:sectPr>
      </w:pPr>
    </w:p>
    <w:bookmarkStart w:id="43" w:name="page44"/>
    <w:bookmarkEnd w:id="43"/>
    <w:p>
      <w:pPr>
        <w:jc w:val="both"/>
        <w:ind w:left="452"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72" w:lineRule="exact"/>
        <w:rPr>
          <w:sz w:val="20"/>
          <w:szCs w:val="20"/>
          <w:color w:val="auto"/>
        </w:rPr>
      </w:pPr>
    </w:p>
    <w:p>
      <w:pPr>
        <w:ind w:left="452" w:right="22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82" w:lineRule="exact"/>
        <w:rPr>
          <w:sz w:val="20"/>
          <w:szCs w:val="20"/>
          <w:color w:val="auto"/>
        </w:rPr>
      </w:pPr>
    </w:p>
    <w:p>
      <w:pPr>
        <w:ind w:left="452" w:hanging="452"/>
        <w:spacing w:after="0" w:line="255" w:lineRule="auto"/>
        <w:tabs>
          <w:tab w:leader="none" w:pos="45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90" w:lineRule="exact"/>
        <w:rPr>
          <w:rFonts w:ascii="Times New Roman" w:cs="Times New Roman" w:eastAsia="Times New Roman" w:hAnsi="Times New Roman"/>
          <w:sz w:val="18"/>
          <w:szCs w:val="18"/>
          <w:b w:val="1"/>
          <w:bCs w:val="1"/>
          <w:i w:val="1"/>
          <w:iCs w:val="1"/>
          <w:color w:val="auto"/>
        </w:rPr>
      </w:pPr>
    </w:p>
    <w:p>
      <w:pPr>
        <w:ind w:left="452" w:right="140" w:hanging="452"/>
        <w:spacing w:after="0" w:line="259" w:lineRule="auto"/>
        <w:tabs>
          <w:tab w:leader="none" w:pos="45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85" w:lineRule="exact"/>
        <w:rPr>
          <w:rFonts w:ascii="Times New Roman" w:cs="Times New Roman" w:eastAsia="Times New Roman" w:hAnsi="Times New Roman"/>
          <w:sz w:val="18"/>
          <w:szCs w:val="18"/>
          <w:b w:val="1"/>
          <w:bCs w:val="1"/>
          <w:i w:val="1"/>
          <w:iCs w:val="1"/>
          <w:color w:val="auto"/>
        </w:rPr>
      </w:pPr>
    </w:p>
    <w:p>
      <w:pPr>
        <w:ind w:left="452" w:right="100" w:hanging="452"/>
        <w:spacing w:after="0" w:line="286" w:lineRule="auto"/>
        <w:tabs>
          <w:tab w:leader="none" w:pos="45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its conflict of laws principles, to the extent federal law does not apply.</w:t>
      </w:r>
    </w:p>
    <w:p>
      <w:pPr>
        <w:spacing w:after="0" w:line="60" w:lineRule="exact"/>
        <w:rPr>
          <w:rFonts w:ascii="Times New Roman" w:cs="Times New Roman" w:eastAsia="Times New Roman" w:hAnsi="Times New Roman"/>
          <w:sz w:val="18"/>
          <w:szCs w:val="18"/>
          <w:b w:val="1"/>
          <w:bCs w:val="1"/>
          <w:i w:val="1"/>
          <w:iCs w:val="1"/>
          <w:color w:val="auto"/>
        </w:rPr>
      </w:pPr>
    </w:p>
    <w:p>
      <w:pPr>
        <w:ind w:left="452" w:right="100" w:hanging="452"/>
        <w:spacing w:after="0" w:line="262" w:lineRule="auto"/>
        <w:tabs>
          <w:tab w:leader="none" w:pos="45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 Johnson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82" w:lineRule="exact"/>
        <w:rPr>
          <w:rFonts w:ascii="Times New Roman" w:cs="Times New Roman" w:eastAsia="Times New Roman" w:hAnsi="Times New Roman"/>
          <w:sz w:val="18"/>
          <w:szCs w:val="18"/>
          <w:b w:val="1"/>
          <w:bCs w:val="1"/>
          <w:i w:val="1"/>
          <w:iCs w:val="1"/>
          <w:color w:val="auto"/>
        </w:rPr>
      </w:pPr>
    </w:p>
    <w:p>
      <w:pPr>
        <w:ind w:left="452" w:right="200" w:hanging="452"/>
        <w:spacing w:after="0" w:line="286" w:lineRule="auto"/>
        <w:tabs>
          <w:tab w:leader="none" w:pos="452"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which latter provisions shall remain in full force and effect.</w:t>
      </w:r>
    </w:p>
    <w:p>
      <w:pPr>
        <w:sectPr>
          <w:pgSz w:w="11900" w:h="16838" w:orient="portrait"/>
          <w:cols w:equalWidth="0" w:num="1">
            <w:col w:w="11372"/>
          </w:cols>
          <w:pgMar w:left="248" w:top="270" w:right="279" w:bottom="1440" w:gutter="0" w:footer="0" w:header="0"/>
        </w:sectPr>
      </w:pPr>
    </w:p>
    <w:bookmarkStart w:id="44" w:name="page45"/>
    <w:bookmarkEnd w:id="44"/>
    <w:p>
      <w:pPr>
        <w:ind w:left="452" w:hanging="452"/>
        <w:spacing w:after="0"/>
        <w:tabs>
          <w:tab w:leader="none" w:pos="452"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Section 409A</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52" w:hanging="452"/>
        <w:spacing w:after="0" w:line="252" w:lineRule="auto"/>
        <w:tabs>
          <w:tab w:leader="none" w:pos="452" w:val="left"/>
        </w:tabs>
        <w:numPr>
          <w:ilvl w:val="0"/>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It is intended that the Agreement will comply with Section 409A of the Code and the regulations and other guidance thereunder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104" w:lineRule="exact"/>
        <w:rPr>
          <w:rFonts w:ascii="Times New Roman" w:cs="Times New Roman" w:eastAsia="Times New Roman" w:hAnsi="Times New Roman"/>
          <w:sz w:val="18"/>
          <w:szCs w:val="18"/>
          <w:u w:val="single" w:color="auto"/>
          <w:color w:val="auto"/>
        </w:rPr>
      </w:pPr>
    </w:p>
    <w:p>
      <w:pPr>
        <w:ind w:left="452" w:hanging="452"/>
        <w:spacing w:after="0" w:line="281" w:lineRule="auto"/>
        <w:tabs>
          <w:tab w:leader="none" w:pos="452" w:val="left"/>
        </w:tabs>
        <w:numPr>
          <w:ilvl w:val="0"/>
          <w:numId w:val="5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Six Month Delay for Specified Employees.</w:t>
      </w:r>
      <w:r>
        <w:rPr>
          <w:rFonts w:ascii="Times New Roman" w:cs="Times New Roman" w:eastAsia="Times New Roman" w:hAnsi="Times New Roman"/>
          <w:sz w:val="17"/>
          <w:szCs w:val="17"/>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66" w:lineRule="exact"/>
        <w:rPr>
          <w:sz w:val="20"/>
          <w:szCs w:val="20"/>
          <w:color w:val="auto"/>
        </w:rPr>
      </w:pPr>
    </w:p>
    <w:p>
      <w:pPr>
        <w:ind w:left="452" w:hanging="452"/>
        <w:spacing w:after="0" w:line="262" w:lineRule="auto"/>
        <w:tabs>
          <w:tab w:leader="none" w:pos="452"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Adequate Remedy At Law</w:t>
      </w:r>
      <w:r>
        <w:rPr>
          <w:rFonts w:ascii="Times New Roman" w:cs="Times New Roman" w:eastAsia="Times New Roman" w:hAnsi="Times New Roman"/>
          <w:sz w:val="18"/>
          <w:szCs w:val="18"/>
          <w:color w:val="auto"/>
        </w:rPr>
        <w:t>. The Company and the Executive recognize that each party may have no adequate remedy at law for breach by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82" w:lineRule="exact"/>
        <w:rPr>
          <w:sz w:val="20"/>
          <w:szCs w:val="20"/>
          <w:color w:val="auto"/>
        </w:rPr>
      </w:pPr>
    </w:p>
    <w:p>
      <w:pPr>
        <w:ind w:left="452" w:hanging="452"/>
        <w:spacing w:after="0" w:line="259" w:lineRule="auto"/>
        <w:tabs>
          <w:tab w:leader="none" w:pos="452"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85" w:lineRule="exact"/>
        <w:rPr>
          <w:rFonts w:ascii="Times New Roman" w:cs="Times New Roman" w:eastAsia="Times New Roman" w:hAnsi="Times New Roman"/>
          <w:sz w:val="18"/>
          <w:szCs w:val="18"/>
          <w:b w:val="1"/>
          <w:bCs w:val="1"/>
          <w:i w:val="1"/>
          <w:iCs w:val="1"/>
          <w:color w:val="auto"/>
        </w:rPr>
      </w:pPr>
    </w:p>
    <w:p>
      <w:pPr>
        <w:ind w:left="452" w:right="440" w:hanging="452"/>
        <w:spacing w:after="0" w:line="286" w:lineRule="auto"/>
        <w:tabs>
          <w:tab w:leader="none" w:pos="452"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or construction of any provision of this Agreement. Reference to paragraphs are to paragraphs in this Agreement.</w:t>
      </w:r>
    </w:p>
    <w:p>
      <w:pPr>
        <w:spacing w:after="0" w:line="60" w:lineRule="exact"/>
        <w:rPr>
          <w:rFonts w:ascii="Times New Roman" w:cs="Times New Roman" w:eastAsia="Times New Roman" w:hAnsi="Times New Roman"/>
          <w:sz w:val="18"/>
          <w:szCs w:val="18"/>
          <w:b w:val="1"/>
          <w:bCs w:val="1"/>
          <w:i w:val="1"/>
          <w:iCs w:val="1"/>
          <w:color w:val="auto"/>
        </w:rPr>
      </w:pPr>
    </w:p>
    <w:p>
      <w:pPr>
        <w:ind w:left="452" w:right="260" w:hanging="452"/>
        <w:spacing w:after="0" w:line="286" w:lineRule="auto"/>
        <w:tabs>
          <w:tab w:leader="none" w:pos="452"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 together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constitute one and the same instrument.</w:t>
      </w:r>
    </w:p>
    <w:p>
      <w:pPr>
        <w:sectPr>
          <w:pgSz w:w="11900" w:h="16838" w:orient="portrait"/>
          <w:cols w:equalWidth="0" w:num="1">
            <w:col w:w="11392"/>
          </w:cols>
          <w:pgMar w:left="248" w:top="266" w:right="259" w:bottom="1440" w:gutter="0" w:footer="0" w:header="0"/>
        </w:sectPr>
      </w:pPr>
    </w:p>
    <w:bookmarkStart w:id="45" w:name="page46"/>
    <w:bookmarkEnd w:id="45"/>
    <w:p>
      <w:pPr>
        <w:ind w:left="452" w:hanging="452"/>
        <w:spacing w:after="0"/>
        <w:tabs>
          <w:tab w:leader="none" w:pos="452"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134" w:lineRule="exact"/>
        <w:rPr>
          <w:rFonts w:ascii="Times New Roman" w:cs="Times New Roman" w:eastAsia="Times New Roman" w:hAnsi="Times New Roman"/>
          <w:sz w:val="18"/>
          <w:szCs w:val="18"/>
          <w:b w:val="1"/>
          <w:bCs w:val="1"/>
          <w:i w:val="1"/>
          <w:iCs w:val="1"/>
          <w:color w:val="auto"/>
        </w:rPr>
      </w:pPr>
    </w:p>
    <w:p>
      <w:pPr>
        <w:ind w:left="892" w:hanging="446"/>
        <w:spacing w:after="0"/>
        <w:tabs>
          <w:tab w:leader="none" w:pos="89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any of the following:</w:t>
      </w:r>
    </w:p>
    <w:p>
      <w:pPr>
        <w:spacing w:after="0" w:line="130" w:lineRule="exact"/>
        <w:rPr>
          <w:rFonts w:ascii="Times New Roman" w:cs="Times New Roman" w:eastAsia="Times New Roman" w:hAnsi="Times New Roman"/>
          <w:sz w:val="18"/>
          <w:szCs w:val="18"/>
          <w:color w:val="auto"/>
        </w:rPr>
      </w:pPr>
    </w:p>
    <w:p>
      <w:pPr>
        <w:jc w:val="both"/>
        <w:ind w:left="1472" w:right="80" w:hanging="567"/>
        <w:spacing w:after="0" w:line="289" w:lineRule="auto"/>
        <w:tabs>
          <w:tab w:leader="none" w:pos="1472"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Executive to perform the Executive’s duties under this Agreement (other than as a result of physical or mental illness or injury), which failure, if correctable, and provided it does not constitute willful misconduct or gross negligence, remains uncorrected for 10 days following written notice to Executive by the Chief Executive Officer or the Board of Directors of the Company of such breach;</w:t>
      </w:r>
    </w:p>
    <w:p>
      <w:pPr>
        <w:spacing w:after="0" w:line="63" w:lineRule="exact"/>
        <w:rPr>
          <w:rFonts w:ascii="Times New Roman" w:cs="Times New Roman" w:eastAsia="Times New Roman" w:hAnsi="Times New Roman"/>
          <w:sz w:val="17"/>
          <w:szCs w:val="17"/>
          <w:color w:val="auto"/>
        </w:rPr>
      </w:pPr>
    </w:p>
    <w:p>
      <w:pPr>
        <w:ind w:left="1472" w:right="100" w:hanging="567"/>
        <w:spacing w:after="0" w:line="282" w:lineRule="auto"/>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by the Executive in either case that results in material damage to the business or reputation of the Company;</w:t>
      </w:r>
    </w:p>
    <w:p>
      <w:pPr>
        <w:spacing w:after="0" w:line="67" w:lineRule="exact"/>
        <w:rPr>
          <w:rFonts w:ascii="Times New Roman" w:cs="Times New Roman" w:eastAsia="Times New Roman" w:hAnsi="Times New Roman"/>
          <w:sz w:val="18"/>
          <w:szCs w:val="18"/>
          <w:color w:val="auto"/>
        </w:rPr>
      </w:pPr>
    </w:p>
    <w:p>
      <w:pPr>
        <w:ind w:left="1472" w:right="460" w:hanging="567"/>
        <w:spacing w:after="0" w:line="282" w:lineRule="auto"/>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67" w:lineRule="exact"/>
        <w:rPr>
          <w:rFonts w:ascii="Times New Roman" w:cs="Times New Roman" w:eastAsia="Times New Roman" w:hAnsi="Times New Roman"/>
          <w:sz w:val="18"/>
          <w:szCs w:val="18"/>
          <w:color w:val="auto"/>
        </w:rPr>
      </w:pPr>
    </w:p>
    <w:p>
      <w:pPr>
        <w:ind w:left="1472" w:right="500" w:hanging="567"/>
        <w:spacing w:after="0" w:line="282" w:lineRule="auto"/>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convicted of a felony or any other crime (other than traffic violations) involving moral turpitude (whether or not in connection with the performance by Executive of his duties under this Agreement).</w:t>
      </w:r>
    </w:p>
    <w:p>
      <w:pPr>
        <w:spacing w:after="0" w:line="67"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and shall occur on the date that any of the following occurs:</w:t>
      </w:r>
    </w:p>
    <w:p>
      <w:pPr>
        <w:spacing w:after="0" w:line="130"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NN, Inc.,</w:t>
      </w:r>
    </w:p>
    <w:p>
      <w:pPr>
        <w:spacing w:after="0" w:line="27" w:lineRule="exact"/>
        <w:rPr>
          <w:rFonts w:ascii="Times New Roman" w:cs="Times New Roman" w:eastAsia="Times New Roman" w:hAnsi="Times New Roman"/>
          <w:sz w:val="18"/>
          <w:szCs w:val="18"/>
          <w:color w:val="auto"/>
        </w:rPr>
      </w:pPr>
    </w:p>
    <w:p>
      <w:pPr>
        <w:ind w:left="147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95" w:lineRule="exact"/>
        <w:rPr>
          <w:rFonts w:ascii="Times New Roman" w:cs="Times New Roman" w:eastAsia="Times New Roman" w:hAnsi="Times New Roman"/>
          <w:sz w:val="18"/>
          <w:szCs w:val="18"/>
          <w:color w:val="auto"/>
        </w:rPr>
      </w:pPr>
    </w:p>
    <w:p>
      <w:pPr>
        <w:ind w:left="1472" w:hanging="567"/>
        <w:spacing w:after="0" w:line="266" w:lineRule="auto"/>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81"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sells fifty percent (50%) or more of its assets to any other person or persons (other than an affiliate or affiliates of NN); or</w:t>
      </w:r>
    </w:p>
    <w:p>
      <w:pPr>
        <w:spacing w:after="0" w:line="130" w:lineRule="exact"/>
        <w:rPr>
          <w:rFonts w:ascii="Times New Roman" w:cs="Times New Roman" w:eastAsia="Times New Roman" w:hAnsi="Times New Roman"/>
          <w:sz w:val="18"/>
          <w:szCs w:val="18"/>
          <w:color w:val="auto"/>
        </w:rPr>
      </w:pPr>
    </w:p>
    <w:p>
      <w:pPr>
        <w:ind w:left="1472" w:right="140" w:hanging="567"/>
        <w:spacing w:after="0" w:line="256" w:lineRule="auto"/>
        <w:tabs>
          <w:tab w:leader="none" w:pos="14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during any 12-month period,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ectPr>
          <w:pgSz w:w="11900" w:h="16838" w:orient="portrait"/>
          <w:cols w:equalWidth="0" w:num="1">
            <w:col w:w="11412"/>
          </w:cols>
          <w:pgMar w:left="248" w:top="266" w:right="239" w:bottom="1440" w:gutter="0" w:footer="0" w:header="0"/>
        </w:sectPr>
      </w:pPr>
    </w:p>
    <w:bookmarkStart w:id="46" w:name="page47"/>
    <w:bookmarkEnd w:id="46"/>
    <w:p>
      <w:pPr>
        <w:ind w:left="149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intended that a Change in Control, in and of itself, will serve as an event which entitles Executive to any payment hereunder.</w:t>
      </w:r>
    </w:p>
    <w:p>
      <w:pPr>
        <w:spacing w:after="0" w:line="131" w:lineRule="exact"/>
        <w:rPr>
          <w:sz w:val="20"/>
          <w:szCs w:val="20"/>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452" w:hanging="452"/>
        <w:spacing w:after="0" w:line="254"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94"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of the following events if not remedied by the Company within 30 days after receipt of notice thereof from the Executive:</w:t>
      </w:r>
    </w:p>
    <w:p>
      <w:pPr>
        <w:spacing w:after="0" w:line="27" w:lineRule="exact"/>
        <w:rPr>
          <w:rFonts w:ascii="Times New Roman" w:cs="Times New Roman" w:eastAsia="Times New Roman" w:hAnsi="Times New Roman"/>
          <w:sz w:val="18"/>
          <w:szCs w:val="18"/>
          <w:color w:val="auto"/>
        </w:rPr>
      </w:pPr>
    </w:p>
    <w:p>
      <w:pPr>
        <w:ind w:left="452"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any material adverse change in Executive’s annual compensation and other benefits; or (iv) a requirement to relocate Executive’s place of employment in excess of fifty (50) miles from the current principal office of the Company as of the date hereof.</w:t>
      </w:r>
    </w:p>
    <w:p>
      <w:pPr>
        <w:spacing w:after="0" w:line="78" w:lineRule="exact"/>
        <w:rPr>
          <w:sz w:val="20"/>
          <w:szCs w:val="20"/>
          <w:color w:val="auto"/>
        </w:rPr>
      </w:pPr>
    </w:p>
    <w:p>
      <w:pPr>
        <w:ind w:left="452" w:right="6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86" w:lineRule="exact"/>
        <w:rPr>
          <w:sz w:val="20"/>
          <w:szCs w:val="20"/>
          <w:color w:val="auto"/>
        </w:rPr>
      </w:pPr>
    </w:p>
    <w:p>
      <w:pPr>
        <w:ind w:left="452" w:right="120" w:hanging="452"/>
        <w:spacing w:after="0" w:line="261"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85" w:lineRule="exact"/>
        <w:rPr>
          <w:rFonts w:ascii="Times New Roman" w:cs="Times New Roman" w:eastAsia="Times New Roman" w:hAnsi="Times New Roman"/>
          <w:sz w:val="18"/>
          <w:szCs w:val="18"/>
          <w:color w:val="auto"/>
        </w:rPr>
      </w:pPr>
    </w:p>
    <w:p>
      <w:pPr>
        <w:ind w:left="452" w:right="140" w:hanging="452"/>
        <w:spacing w:after="0" w:line="282"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means a Separation from Service by action of the Company that is not for Cause, or a Separation from Service by action of the Executive that is for Good Reason.</w:t>
      </w:r>
    </w:p>
    <w:p>
      <w:pPr>
        <w:spacing w:after="0" w:line="67"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Period</w:t>
      </w:r>
      <w:r>
        <w:rPr>
          <w:rFonts w:ascii="Times New Roman" w:cs="Times New Roman" w:eastAsia="Times New Roman" w:hAnsi="Times New Roman"/>
          <w:sz w:val="18"/>
          <w:szCs w:val="18"/>
          <w:color w:val="auto"/>
        </w:rPr>
        <w:t>” means (i) a number of months following Executive’s termination of employment pursuant to paragraph 1(a) or 1(c) above which is equal to the number of months for which the Executive is entitled to receive his base salary under paragraph 1(a) or 1(c) above, or a period of 12 months following Executive’s termination of employment pursuant to paragraph 1(b) above.</w:t>
      </w:r>
    </w:p>
    <w:p>
      <w:pPr>
        <w:spacing w:after="0" w:line="82" w:lineRule="exact"/>
        <w:rPr>
          <w:sz w:val="20"/>
          <w:szCs w:val="20"/>
          <w:color w:val="auto"/>
        </w:rPr>
      </w:pPr>
    </w:p>
    <w:p>
      <w:pPr>
        <w:ind w:left="452" w:hanging="452"/>
        <w:spacing w:after="0"/>
        <w:tabs>
          <w:tab w:leader="none" w:pos="4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“separation from service” as defined in Treasury Regulation Section 1.409A-1(h).</w:t>
      </w:r>
    </w:p>
    <w:p>
      <w:pPr>
        <w:sectPr>
          <w:pgSz w:w="11900" w:h="16838" w:orient="portrait"/>
          <w:cols w:equalWidth="0" w:num="1">
            <w:col w:w="11352"/>
          </w:cols>
          <w:pgMar w:left="248" w:top="270" w:right="299" w:bottom="1440" w:gutter="0" w:footer="0" w:header="0"/>
        </w:sectPr>
      </w:pPr>
    </w:p>
    <w:bookmarkStart w:id="47" w:name="page48"/>
    <w:bookmarkEnd w:id="47"/>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Holder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2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Matthew S. Heiter</w:t>
            </w:r>
          </w:p>
        </w:tc>
      </w:tr>
    </w:tbl>
    <w:p>
      <w:pPr>
        <w:sectPr>
          <w:pgSz w:w="11900" w:h="16838" w:orient="portrait"/>
          <w:cols w:equalWidth="0" w:num="1">
            <w:col w:w="11420"/>
          </w:cols>
          <w:pgMar w:left="240" w:top="266" w:right="239" w:bottom="1440" w:gutter="0" w:footer="0" w:header="0"/>
        </w:sectPr>
      </w:pPr>
    </w:p>
    <w:bookmarkStart w:id="48" w:name="page49"/>
    <w:bookmarkEnd w:id="48"/>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Severance Payment subsequent to a Change in Control as provided in paragraph 1(c)(i) shall be a lump sum payment equal to:</w:t>
      </w:r>
    </w:p>
    <w:p>
      <w:pPr>
        <w:spacing w:after="0" w:line="131"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times Executive’s base salary (as of the date of Executive’s termination); plus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times Executive’s target bonus.</w:t>
      </w:r>
    </w:p>
    <w:p>
      <w:pPr>
        <w:sectPr>
          <w:pgSz w:w="11900" w:h="16838" w:orient="portrait"/>
          <w:cols w:equalWidth="0" w:num="1">
            <w:col w:w="10219"/>
          </w:cols>
          <w:pgMar w:left="240" w:top="266"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lowerLetter"/>
      <w:start w:val="2"/>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1"/>
    </w:lvl>
    <w:lvl w:ilvl="1">
      <w:lvlJc w:val="left"/>
      <w:lvlText w:val="(%2)"/>
      <w:numFmt w:val="lowerLetter"/>
      <w:start w:val="2"/>
    </w:lvl>
  </w:abstractNum>
  <w:abstractNum w:abstractNumId="10">
    <w:nsid w:val="440BADFC"/>
    <w:multiLevelType w:val="hybridMultilevel"/>
    <w:lvl w:ilvl="0">
      <w:lvlJc w:val="left"/>
      <w:lvlText w:val="%1."/>
      <w:numFmt w:val="decimal"/>
      <w:start w:val="5"/>
    </w:lvl>
    <w:lvl w:ilvl="1">
      <w:lvlJc w:val="left"/>
      <w:lvlText w:val="(%2)"/>
      <w:numFmt w:val="lowerLetter"/>
      <w:start w:val="1"/>
    </w:lvl>
  </w:abstractNum>
  <w:abstractNum w:abstractNumId="11">
    <w:nsid w:val="5072367"/>
    <w:multiLevelType w:val="hybridMultilevel"/>
    <w:lvl w:ilvl="0">
      <w:lvlJc w:val="left"/>
      <w:lvlText w:val="(%1)"/>
      <w:numFmt w:val="lowerRoman"/>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1)"/>
      <w:numFmt w:val="lowerLetter"/>
      <w:start w:val="2"/>
    </w:lvl>
  </w:abstractNum>
  <w:abstractNum w:abstractNumId="14">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
    <w:nsid w:val="5C482A9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6">
    <w:nsid w:val="2463B9EA"/>
    <w:multiLevelType w:val="hybridMultilevel"/>
    <w:lvl w:ilvl="0">
      <w:lvlJc w:val="left"/>
      <w:lvlText w:val="(%1)"/>
      <w:numFmt w:val="decimal"/>
      <w:start w:val="3"/>
    </w:lvl>
  </w:abstractNum>
  <w:abstractNum w:abstractNumId="17">
    <w:nsid w:val="5E884ADC"/>
    <w:multiLevelType w:val="hybridMultilevel"/>
    <w:lvl w:ilvl="0">
      <w:lvlJc w:val="left"/>
      <w:lvlText w:val="(%1)"/>
      <w:numFmt w:val="lowerRoman"/>
      <w:start w:val="2"/>
    </w:lvl>
    <w:lvl w:ilvl="1">
      <w:lvlJc w:val="left"/>
      <w:lvlText w:val="(%2)"/>
      <w:numFmt w:val="decimal"/>
      <w:start w:val="1"/>
    </w:lvl>
  </w:abstractNum>
  <w:abstractNum w:abstractNumId="18">
    <w:nsid w:val="51EAD36B"/>
    <w:multiLevelType w:val="hybridMultilevel"/>
    <w:lvl w:ilvl="0">
      <w:lvlJc w:val="left"/>
      <w:lvlText w:val="(%1)"/>
      <w:numFmt w:val="lowerLetter"/>
      <w:start w:val="4"/>
    </w:lvl>
  </w:abstractNum>
  <w:abstractNum w:abstractNumId="19">
    <w:nsid w:val="2D517796"/>
    <w:multiLevelType w:val="hybridMultilevel"/>
    <w:lvl w:ilvl="0">
      <w:lvlJc w:val="left"/>
      <w:lvlText w:val="%1."/>
      <w:numFmt w:val="decimal"/>
      <w:start w:val="7"/>
    </w:lvl>
  </w:abstractNum>
  <w:abstractNum w:abstractNumId="20">
    <w:nsid w:val="580BD78F"/>
    <w:multiLevelType w:val="hybridMultilevel"/>
    <w:lvl w:ilvl="0">
      <w:lvlJc w:val="left"/>
      <w:lvlText w:val="%1."/>
      <w:numFmt w:val="decimal"/>
      <w:start w:val="10"/>
    </w:lvl>
    <w:lvl w:ilvl="1">
      <w:lvlJc w:val="left"/>
      <w:lvlText w:val="(%2)"/>
      <w:numFmt w:val="lowerLetter"/>
      <w:start w:val="1"/>
    </w:lvl>
  </w:abstractNum>
  <w:abstractNum w:abstractNumId="21">
    <w:nsid w:val="153EA438"/>
    <w:multiLevelType w:val="hybridMultilevel"/>
    <w:lvl w:ilvl="0">
      <w:lvlJc w:val="left"/>
      <w:lvlText w:val="%1."/>
      <w:numFmt w:val="decimal"/>
      <w:start w:val="14"/>
    </w:lvl>
  </w:abstractNum>
  <w:abstractNum w:abstractNumId="22">
    <w:nsid w:val="3855585C"/>
    <w:multiLevelType w:val="hybridMultilevel"/>
    <w:lvl w:ilvl="0">
      <w:lvlJc w:val="left"/>
      <w:lvlText w:val="%1."/>
      <w:numFmt w:val="decimal"/>
      <w:start w:val="16"/>
    </w:lvl>
  </w:abstractNum>
  <w:abstractNum w:abstractNumId="23">
    <w:nsid w:val="70A64E2A"/>
    <w:multiLevelType w:val="hybridMultilevel"/>
    <w:lvl w:ilvl="0">
      <w:lvlJc w:val="left"/>
      <w:lvlText w:val="%1."/>
      <w:numFmt w:val="decimal"/>
      <w:start w:val="18"/>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2"/>
    </w:lvl>
  </w:abstractNum>
  <w:abstractNum w:abstractNumId="26">
    <w:nsid w:val="1D4ED43B"/>
    <w:multiLevelType w:val="hybridMultilevel"/>
    <w:lvl w:ilvl="0">
      <w:lvlJc w:val="left"/>
      <w:lvlText w:val="%1."/>
      <w:numFmt w:val="decimal"/>
      <w:start w:val="23"/>
    </w:lvl>
    <w:lvl w:ilvl="1">
      <w:lvlJc w:val="left"/>
      <w:lvlText w:val="(%2)"/>
      <w:numFmt w:val="lowerLetter"/>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1)"/>
      <w:numFmt w:val="lowerRoman"/>
      <w:start w:val="4"/>
    </w:lvl>
  </w:abstractNum>
  <w:abstractNum w:abstractNumId="29">
    <w:nsid w:val="57E4CCAF"/>
    <w:multiLevelType w:val="hybridMultilevel"/>
    <w:lvl w:ilvl="0">
      <w:lvlJc w:val="left"/>
      <w:lvlText w:val="(%1)"/>
      <w:numFmt w:val="lowerLetter"/>
      <w:start w:val="2"/>
    </w:lvl>
  </w:abstractNum>
  <w:abstractNum w:abstractNumId="30">
    <w:nsid w:val="7A6D8D3C"/>
    <w:multiLevelType w:val="hybridMultilevel"/>
    <w:lvl w:ilvl="0">
      <w:lvlJc w:val="left"/>
      <w:lvlText w:val="(%1)"/>
      <w:numFmt w:val="lowerRoman"/>
      <w:start w:val="1"/>
    </w:lvl>
  </w:abstractNum>
  <w:abstractNum w:abstractNumId="31">
    <w:nsid w:val="4B588F54"/>
    <w:multiLevelType w:val="hybridMultilevel"/>
    <w:lvl w:ilvl="0">
      <w:lvlJc w:val="left"/>
      <w:lvlText w:val="(%1)"/>
      <w:numFmt w:val="lowerLetter"/>
      <w:start w:val="3"/>
    </w:lvl>
  </w:abstractNum>
  <w:abstractNum w:abstractNumId="32">
    <w:nsid w:val="542289EC"/>
    <w:multiLevelType w:val="hybridMultilevel"/>
    <w:lvl w:ilvl="0">
      <w:lvlJc w:val="left"/>
      <w:lvlText w:val="(%1)"/>
      <w:numFmt w:val="lowerLetter"/>
      <w:start w:val="5"/>
    </w:lvl>
  </w:abstractNum>
  <w:abstractNum w:abstractNumId="33">
    <w:nsid w:val="6DE91B18"/>
    <w:multiLevelType w:val="hybridMultilevel"/>
    <w:lvl w:ilvl="0">
      <w:lvlJc w:val="left"/>
      <w:lvlText w:val="(%1)"/>
      <w:numFmt w:val="lowerLetter"/>
      <w:start w:val="6"/>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lowerLetter"/>
      <w:start w:val="1"/>
    </w:lvl>
    <w:lvl w:ilvl="1">
      <w:lvlJc w:val="left"/>
      <w:lvlText w:val="(%2)"/>
      <w:numFmt w:val="lowerRoman"/>
      <w:start w:val="1"/>
    </w:lvl>
  </w:abstractNum>
  <w:abstractNum w:abstractNumId="37">
    <w:nsid w:val="684A481A"/>
    <w:multiLevelType w:val="hybridMultilevel"/>
    <w:lvl w:ilvl="0">
      <w:lvlJc w:val="left"/>
      <w:lvlText w:val="(%1)"/>
      <w:numFmt w:val="lowerRoman"/>
      <w:start w:val="6"/>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decimal"/>
      <w:start w:val="1"/>
    </w:lvl>
  </w:abstractNum>
  <w:abstractNum w:abstractNumId="40">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lvl w:ilvl="3">
      <w:lvlJc w:val="left"/>
      <w:lvlText w:val="(%4)"/>
      <w:numFmt w:val="decimal"/>
      <w:start w:val="7"/>
    </w:lvl>
  </w:abstractNum>
  <w:abstractNum w:abstractNumId="41">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decimal"/>
      <w:start w:val="3"/>
    </w:lvl>
  </w:abstractNum>
  <w:abstractNum w:abstractNumId="42">
    <w:nsid w:val="79A1DEA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decimal"/>
      <w:start w:val="1"/>
    </w:lvl>
  </w:abstractNum>
  <w:abstractNum w:abstractNumId="43">
    <w:nsid w:val="75C6C33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4">
    <w:nsid w:val="12E685FB"/>
    <w:multiLevelType w:val="hybridMultilevel"/>
    <w:lvl w:ilvl="0">
      <w:lvlJc w:val="left"/>
      <w:lvlText w:val="%1."/>
      <w:numFmt w:val="decimal"/>
      <w:start w:val="10"/>
    </w:lvl>
    <w:lvl w:ilvl="1">
      <w:lvlJc w:val="left"/>
      <w:lvlText w:val="(%2)"/>
      <w:numFmt w:val="lowerLetter"/>
      <w:start w:val="1"/>
    </w:lvl>
  </w:abstractNum>
  <w:abstractNum w:abstractNumId="45">
    <w:nsid w:val="70C6A529"/>
    <w:multiLevelType w:val="hybridMultilevel"/>
    <w:lvl w:ilvl="0">
      <w:lvlJc w:val="left"/>
      <w:lvlText w:val="%1"/>
      <w:numFmt w:val="decimal"/>
      <w:start w:val="1"/>
    </w:lvl>
    <w:lvl w:ilvl="1">
      <w:lvlJc w:val="left"/>
      <w:lvlText w:val="(%2)"/>
      <w:numFmt w:val="lowerLetter"/>
      <w:start w:val="4"/>
    </w:lvl>
  </w:abstractNum>
  <w:abstractNum w:abstractNumId="46">
    <w:nsid w:val="520EEDD1"/>
    <w:multiLevelType w:val="hybridMultilevel"/>
    <w:lvl w:ilvl="0">
      <w:lvlJc w:val="left"/>
      <w:lvlText w:val="%1."/>
      <w:numFmt w:val="decimal"/>
      <w:start w:val="17"/>
    </w:lvl>
    <w:lvl w:ilvl="1">
      <w:lvlJc w:val="left"/>
      <w:lvlText w:val="%2"/>
      <w:numFmt w:val="lowerLetter"/>
      <w:start w:val="1"/>
    </w:lvl>
  </w:abstractNum>
  <w:abstractNum w:abstractNumId="47">
    <w:nsid w:val="374A3FE6"/>
    <w:multiLevelType w:val="hybridMultilevel"/>
    <w:lvl w:ilvl="0">
      <w:lvlJc w:val="left"/>
      <w:lvlText w:val="%1."/>
      <w:numFmt w:val="decimal"/>
      <w:start w:val="20"/>
    </w:lvl>
  </w:abstractNum>
  <w:abstractNum w:abstractNumId="48">
    <w:nsid w:val="4F4EF005"/>
    <w:multiLevelType w:val="hybridMultilevel"/>
    <w:lvl w:ilvl="0">
      <w:lvlJc w:val="left"/>
      <w:lvlText w:val="%1."/>
      <w:numFmt w:val="decimal"/>
      <w:start w:val="21"/>
    </w:lvl>
  </w:abstractNum>
  <w:abstractNum w:abstractNumId="49">
    <w:nsid w:val="23F9C13C"/>
    <w:multiLevelType w:val="hybridMultilevel"/>
    <w:lvl w:ilvl="0">
      <w:lvlJc w:val="left"/>
      <w:lvlText w:val="%1."/>
      <w:numFmt w:val="decimal"/>
      <w:start w:val="26"/>
    </w:lvl>
  </w:abstractNum>
  <w:abstractNum w:abstractNumId="50">
    <w:nsid w:val="649BB77C"/>
    <w:multiLevelType w:val="hybridMultilevel"/>
    <w:lvl w:ilvl="0">
      <w:lvlJc w:val="left"/>
      <w:lvlText w:val="(%1)"/>
      <w:numFmt w:val="lowerLetter"/>
      <w:start w:val="3"/>
    </w:lvl>
  </w:abstractNum>
  <w:abstractNum w:abstractNumId="51">
    <w:nsid w:val="275AC794"/>
    <w:multiLevelType w:val="hybridMultilevel"/>
    <w:lvl w:ilvl="0">
      <w:lvlJc w:val="left"/>
      <w:lvlText w:val="%1."/>
      <w:numFmt w:val="decimal"/>
      <w:start w:val="17"/>
    </w:lvl>
  </w:abstractNum>
  <w:abstractNum w:abstractNumId="52">
    <w:nsid w:val="39386575"/>
    <w:multiLevelType w:val="hybridMultilevel"/>
    <w:lvl w:ilvl="0">
      <w:lvlJc w:val="left"/>
      <w:lvlText w:val="%1."/>
      <w:numFmt w:val="decimal"/>
      <w:start w:val="28"/>
    </w:lvl>
  </w:abstractNum>
  <w:abstractNum w:abstractNumId="53">
    <w:nsid w:val="1CF10FD8"/>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5"/>
    </w:lvl>
  </w:abstractNum>
  <w:abstractNum w:abstractNumId="54">
    <w:nsid w:val="180115BE"/>
    <w:multiLevelType w:val="hybridMultilevel"/>
    <w:lvl w:ilvl="0">
      <w:lvlJc w:val="left"/>
      <w:lvlText w:val="(%1)"/>
      <w:numFmt w:val="lowerLetter"/>
      <w:start w:val="3"/>
    </w:lvl>
  </w:abstractNum>
  <w:abstractNum w:abstractNumId="55">
    <w:nsid w:val="235BA861"/>
    <w:multiLevelType w:val="hybridMultilevel"/>
    <w:lvl w:ilvl="0">
      <w:lvlJc w:val="left"/>
      <w:lvlText w:val="(%1)"/>
      <w:numFmt w:val="lowerLetter"/>
      <w:start w:val="9"/>
    </w:lvl>
  </w:abstractNum>
  <w:abstractNum w:abstractNumId="56">
    <w:nsid w:val="47398C89"/>
    <w:multiLevelType w:val="hybridMultilevel"/>
    <w:lvl w:ilvl="0">
      <w:lvlJc w:val="left"/>
      <w:lvlText w:val="(%1)"/>
      <w:numFmt w:val="lowerRoman"/>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2019-12-29T06:59:24Z</dcterms:created>
  <dcterms:modified xsi:type="dcterms:W3CDTF">2019-12-29T06:59:24Z</dcterms:modified>
</cp:coreProperties>
</file>