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6" w:lineRule="exact"/>
        <w:rPr>
          <w:sz w:val="24"/>
          <w:szCs w:val="24"/>
          <w:color w:val="auto"/>
        </w:rPr>
      </w:pPr>
    </w:p>
    <w:p>
      <w:pPr>
        <w:jc w:val="center"/>
        <w:ind w:right="-80"/>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1628775</wp:posOffset>
            </wp:positionH>
            <wp:positionV relativeFrom="paragraph">
              <wp:posOffset>116840</wp:posOffset>
            </wp:positionV>
            <wp:extent cx="25971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39" w:lineRule="exact"/>
        <w:rPr>
          <w:sz w:val="24"/>
          <w:szCs w:val="24"/>
          <w:color w:val="auto"/>
        </w:rPr>
      </w:pPr>
    </w:p>
    <w:p>
      <w:pPr>
        <w:jc w:val="center"/>
        <w:ind w:right="-80"/>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1628775</wp:posOffset>
            </wp:positionH>
            <wp:positionV relativeFrom="paragraph">
              <wp:posOffset>74295</wp:posOffset>
            </wp:positionV>
            <wp:extent cx="25971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173" w:lineRule="exact"/>
        <w:rPr>
          <w:sz w:val="24"/>
          <w:szCs w:val="24"/>
          <w:color w:val="auto"/>
        </w:rPr>
      </w:pPr>
    </w:p>
    <w:p>
      <w:pPr>
        <w:jc w:val="center"/>
        <w:ind w:right="-80"/>
        <w:spacing w:after="0"/>
        <w:rPr>
          <w:sz w:val="20"/>
          <w:szCs w:val="20"/>
          <w:color w:val="auto"/>
        </w:rPr>
      </w:pPr>
      <w:r>
        <w:rPr>
          <w:rFonts w:ascii="Arial" w:cs="Arial" w:eastAsia="Arial" w:hAnsi="Arial"/>
          <w:sz w:val="29"/>
          <w:szCs w:val="29"/>
          <w:b w:val="1"/>
          <w:bCs w:val="1"/>
          <w:color w:val="auto"/>
        </w:rPr>
        <w:t>CURRENT REPORT</w:t>
      </w:r>
    </w:p>
    <w:p>
      <w:pPr>
        <w:spacing w:after="0" w:line="41" w:lineRule="exact"/>
        <w:rPr>
          <w:sz w:val="24"/>
          <w:szCs w:val="24"/>
          <w:color w:val="auto"/>
        </w:rPr>
      </w:pPr>
    </w:p>
    <w:p>
      <w:pPr>
        <w:jc w:val="center"/>
        <w:ind w:right="-80"/>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93" w:lineRule="exact"/>
        <w:rPr>
          <w:sz w:val="24"/>
          <w:szCs w:val="24"/>
          <w:color w:val="auto"/>
        </w:rPr>
      </w:pPr>
    </w:p>
    <w:p>
      <w:pPr>
        <w:jc w:val="center"/>
        <w:ind w:right="-80"/>
        <w:spacing w:after="0"/>
        <w:rPr>
          <w:sz w:val="20"/>
          <w:szCs w:val="20"/>
          <w:color w:val="auto"/>
        </w:rPr>
      </w:pPr>
      <w:r>
        <w:rPr>
          <w:rFonts w:ascii="Arial" w:cs="Arial" w:eastAsia="Arial" w:hAnsi="Arial"/>
          <w:sz w:val="20"/>
          <w:szCs w:val="20"/>
          <w:b w:val="1"/>
          <w:bCs w:val="1"/>
          <w:color w:val="auto"/>
        </w:rPr>
        <w:t>Date of Report (Date of earliest event reported): March 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1628775</wp:posOffset>
            </wp:positionH>
            <wp:positionV relativeFrom="paragraph">
              <wp:posOffset>108585</wp:posOffset>
            </wp:positionV>
            <wp:extent cx="25971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97150" cy="8255"/>
                    </a:xfrm>
                    <a:prstGeom prst="rect">
                      <a:avLst/>
                    </a:prstGeom>
                    <a:noFill/>
                  </pic:spPr>
                </pic:pic>
              </a:graphicData>
            </a:graphic>
          </wp:anchor>
        </w:drawing>
        <w:drawing>
          <wp:anchor simplePos="0" relativeHeight="251657728" behindDoc="1" locked="0" layoutInCell="0" allowOverlap="1">
            <wp:simplePos x="0" y="0"/>
            <wp:positionH relativeFrom="column">
              <wp:posOffset>2743200</wp:posOffset>
            </wp:positionH>
            <wp:positionV relativeFrom="paragraph">
              <wp:posOffset>168275</wp:posOffset>
            </wp:positionV>
            <wp:extent cx="394335" cy="394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4335"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NN, Inc.</w:t>
      </w:r>
    </w:p>
    <w:p>
      <w:pPr>
        <w:spacing w:after="0" w:line="53" w:lineRule="exact"/>
        <w:rPr>
          <w:sz w:val="24"/>
          <w:szCs w:val="24"/>
          <w:color w:val="auto"/>
        </w:rPr>
      </w:pPr>
    </w:p>
    <w:p>
      <w:pPr>
        <w:jc w:val="center"/>
        <w:ind w:right="-80"/>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1628775</wp:posOffset>
            </wp:positionH>
            <wp:positionV relativeFrom="paragraph">
              <wp:posOffset>53975</wp:posOffset>
            </wp:positionV>
            <wp:extent cx="25971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99" w:lineRule="exact"/>
        <w:rPr>
          <w:sz w:val="24"/>
          <w:szCs w:val="24"/>
          <w:color w:val="auto"/>
        </w:rPr>
      </w:pPr>
    </w:p>
    <w:tbl>
      <w:tblPr>
        <w:tblLayout w:type="fixed"/>
        <w:tblInd w:w="940" w:type="dxa"/>
        <w:tblCellMar>
          <w:top w:w="0" w:type="dxa"/>
          <w:left w:w="0" w:type="dxa"/>
          <w:bottom w:w="0" w:type="dxa"/>
          <w:right w:w="0" w:type="dxa"/>
        </w:tblCellMar>
      </w:tblPr>
      <w:tr>
        <w:trPr>
          <w:trHeight w:val="251"/>
        </w:trPr>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1"/>
              </w:rPr>
              <w:t>Delaware</w:t>
            </w:r>
          </w:p>
        </w:tc>
        <w:tc>
          <w:tcPr>
            <w:tcW w:w="364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001-39268</w:t>
            </w:r>
          </w:p>
        </w:tc>
        <w:tc>
          <w:tcPr>
            <w:tcW w:w="1400" w:type="dxa"/>
            <w:vAlign w:val="bottom"/>
          </w:tcPr>
          <w:p>
            <w:pPr>
              <w:jc w:val="center"/>
              <w:ind w:left="99"/>
              <w:spacing w:after="0"/>
              <w:rPr>
                <w:sz w:val="20"/>
                <w:szCs w:val="20"/>
                <w:color w:val="auto"/>
              </w:rPr>
            </w:pPr>
            <w:r>
              <w:rPr>
                <w:rFonts w:ascii="Arial" w:cs="Arial" w:eastAsia="Arial" w:hAnsi="Arial"/>
                <w:sz w:val="16"/>
                <w:szCs w:val="16"/>
                <w:b w:val="1"/>
                <w:bCs w:val="1"/>
                <w:color w:val="auto"/>
                <w:w w:val="91"/>
              </w:rPr>
              <w:t>62-1096725</w:t>
            </w:r>
          </w:p>
        </w:tc>
      </w:tr>
      <w:tr>
        <w:trPr>
          <w:trHeight w:val="172"/>
        </w:trPr>
        <w:tc>
          <w:tcPr>
            <w:tcW w:w="1920" w:type="dxa"/>
            <w:vAlign w:val="bottom"/>
          </w:tcPr>
          <w:p>
            <w:pPr>
              <w:jc w:val="center"/>
              <w:spacing w:after="0" w:line="171" w:lineRule="exact"/>
              <w:rPr>
                <w:sz w:val="20"/>
                <w:szCs w:val="20"/>
                <w:color w:val="auto"/>
              </w:rPr>
            </w:pPr>
            <w:r>
              <w:rPr>
                <w:rFonts w:ascii="Arial" w:cs="Arial" w:eastAsia="Arial" w:hAnsi="Arial"/>
                <w:sz w:val="16"/>
                <w:szCs w:val="16"/>
                <w:i w:val="1"/>
                <w:iCs w:val="1"/>
                <w:color w:val="auto"/>
                <w:w w:val="94"/>
              </w:rPr>
              <w:t>(State or other jurisdiction of</w:t>
            </w:r>
          </w:p>
        </w:tc>
        <w:tc>
          <w:tcPr>
            <w:tcW w:w="3640" w:type="dxa"/>
            <w:vAlign w:val="bottom"/>
          </w:tcPr>
          <w:p>
            <w:pPr>
              <w:jc w:val="center"/>
              <w:ind w:right="99"/>
              <w:spacing w:after="0" w:line="171" w:lineRule="exact"/>
              <w:rPr>
                <w:sz w:val="20"/>
                <w:szCs w:val="20"/>
                <w:color w:val="auto"/>
              </w:rPr>
            </w:pPr>
            <w:r>
              <w:rPr>
                <w:rFonts w:ascii="Arial" w:cs="Arial" w:eastAsia="Arial" w:hAnsi="Arial"/>
                <w:sz w:val="16"/>
                <w:szCs w:val="16"/>
                <w:i w:val="1"/>
                <w:iCs w:val="1"/>
                <w:color w:val="auto"/>
                <w:w w:val="93"/>
              </w:rPr>
              <w:t>(Commission File Number)</w:t>
            </w:r>
          </w:p>
        </w:tc>
        <w:tc>
          <w:tcPr>
            <w:tcW w:w="1400" w:type="dxa"/>
            <w:vAlign w:val="bottom"/>
          </w:tcPr>
          <w:p>
            <w:pPr>
              <w:jc w:val="center"/>
              <w:ind w:left="119"/>
              <w:spacing w:after="0" w:line="171" w:lineRule="exact"/>
              <w:rPr>
                <w:sz w:val="20"/>
                <w:szCs w:val="20"/>
                <w:color w:val="auto"/>
              </w:rPr>
            </w:pPr>
            <w:r>
              <w:rPr>
                <w:rFonts w:ascii="Arial" w:cs="Arial" w:eastAsia="Arial" w:hAnsi="Arial"/>
                <w:sz w:val="16"/>
                <w:szCs w:val="16"/>
                <w:i w:val="1"/>
                <w:iCs w:val="1"/>
                <w:color w:val="auto"/>
                <w:w w:val="91"/>
              </w:rPr>
              <w:t>(I.R.S. Employer</w:t>
            </w:r>
          </w:p>
        </w:tc>
      </w:tr>
      <w:tr>
        <w:trPr>
          <w:trHeight w:val="206"/>
        </w:trPr>
        <w:tc>
          <w:tcPr>
            <w:tcW w:w="1920" w:type="dxa"/>
            <w:vAlign w:val="bottom"/>
          </w:tcPr>
          <w:p>
            <w:pPr>
              <w:jc w:val="center"/>
              <w:spacing w:after="0"/>
              <w:rPr>
                <w:sz w:val="20"/>
                <w:szCs w:val="20"/>
                <w:color w:val="auto"/>
              </w:rPr>
            </w:pPr>
            <w:r>
              <w:rPr>
                <w:rFonts w:ascii="Arial" w:cs="Arial" w:eastAsia="Arial" w:hAnsi="Arial"/>
                <w:sz w:val="16"/>
                <w:szCs w:val="16"/>
                <w:i w:val="1"/>
                <w:iCs w:val="1"/>
                <w:color w:val="auto"/>
                <w:w w:val="98"/>
              </w:rPr>
              <w:t>incorporation)</w:t>
            </w:r>
          </w:p>
        </w:tc>
        <w:tc>
          <w:tcPr>
            <w:tcW w:w="3640" w:type="dxa"/>
            <w:vAlign w:val="bottom"/>
          </w:tcPr>
          <w:p>
            <w:pPr>
              <w:spacing w:after="0"/>
              <w:rPr>
                <w:sz w:val="17"/>
                <w:szCs w:val="17"/>
                <w:color w:val="auto"/>
              </w:rPr>
            </w:pPr>
          </w:p>
        </w:tc>
        <w:tc>
          <w:tcPr>
            <w:tcW w:w="1400" w:type="dxa"/>
            <w:vAlign w:val="bottom"/>
          </w:tcPr>
          <w:p>
            <w:pPr>
              <w:jc w:val="center"/>
              <w:ind w:left="119"/>
              <w:spacing w:after="0"/>
              <w:rPr>
                <w:sz w:val="20"/>
                <w:szCs w:val="20"/>
                <w:color w:val="auto"/>
              </w:rPr>
            </w:pPr>
            <w:r>
              <w:rPr>
                <w:rFonts w:ascii="Arial" w:cs="Arial" w:eastAsia="Arial" w:hAnsi="Arial"/>
                <w:sz w:val="16"/>
                <w:szCs w:val="16"/>
                <w:i w:val="1"/>
                <w:iCs w:val="1"/>
                <w:color w:val="auto"/>
                <w:w w:val="96"/>
              </w:rPr>
              <w:t>Identification No.)</w:t>
            </w:r>
          </w:p>
        </w:tc>
      </w:tr>
      <w:tr>
        <w:trPr>
          <w:trHeight w:val="661"/>
        </w:trPr>
        <w:tc>
          <w:tcPr>
            <w:tcW w:w="5560" w:type="dxa"/>
            <w:vAlign w:val="bottom"/>
            <w:gridSpan w:val="2"/>
          </w:tcPr>
          <w:p>
            <w:pPr>
              <w:jc w:val="center"/>
              <w:ind w:right="1639"/>
              <w:spacing w:after="0"/>
              <w:rPr>
                <w:sz w:val="20"/>
                <w:szCs w:val="20"/>
                <w:color w:val="auto"/>
              </w:rPr>
            </w:pPr>
            <w:r>
              <w:rPr>
                <w:rFonts w:ascii="Arial" w:cs="Arial" w:eastAsia="Arial" w:hAnsi="Arial"/>
                <w:sz w:val="16"/>
                <w:szCs w:val="16"/>
                <w:b w:val="1"/>
                <w:bCs w:val="1"/>
                <w:color w:val="auto"/>
                <w:w w:val="93"/>
              </w:rPr>
              <w:t>6210 Ardrey Kell Road, Suite 600</w:t>
            </w:r>
          </w:p>
        </w:tc>
        <w:tc>
          <w:tcPr>
            <w:tcW w:w="1400" w:type="dxa"/>
            <w:vAlign w:val="bottom"/>
          </w:tcPr>
          <w:p>
            <w:pPr>
              <w:spacing w:after="0"/>
              <w:rPr>
                <w:sz w:val="24"/>
                <w:szCs w:val="24"/>
                <w:color w:val="auto"/>
              </w:rPr>
            </w:pPr>
          </w:p>
        </w:tc>
      </w:tr>
      <w:tr>
        <w:trPr>
          <w:trHeight w:val="256"/>
        </w:trPr>
        <w:tc>
          <w:tcPr>
            <w:tcW w:w="5560" w:type="dxa"/>
            <w:vAlign w:val="bottom"/>
            <w:gridSpan w:val="2"/>
          </w:tcPr>
          <w:p>
            <w:pPr>
              <w:jc w:val="center"/>
              <w:ind w:right="1619"/>
              <w:spacing w:after="0"/>
              <w:rPr>
                <w:sz w:val="20"/>
                <w:szCs w:val="20"/>
                <w:color w:val="auto"/>
              </w:rPr>
            </w:pPr>
            <w:r>
              <w:rPr>
                <w:rFonts w:ascii="Arial" w:cs="Arial" w:eastAsia="Arial" w:hAnsi="Arial"/>
                <w:sz w:val="16"/>
                <w:szCs w:val="16"/>
                <w:b w:val="1"/>
                <w:bCs w:val="1"/>
                <w:color w:val="auto"/>
                <w:w w:val="95"/>
              </w:rPr>
              <w:t>Charlotte, North Carolina</w:t>
            </w:r>
          </w:p>
        </w:tc>
        <w:tc>
          <w:tcPr>
            <w:tcW w:w="1400" w:type="dxa"/>
            <w:vAlign w:val="bottom"/>
          </w:tcPr>
          <w:p>
            <w:pPr>
              <w:jc w:val="right"/>
              <w:ind w:right="379"/>
              <w:spacing w:after="0"/>
              <w:rPr>
                <w:sz w:val="20"/>
                <w:szCs w:val="20"/>
                <w:color w:val="auto"/>
              </w:rPr>
            </w:pPr>
            <w:r>
              <w:rPr>
                <w:rFonts w:ascii="Arial" w:cs="Arial" w:eastAsia="Arial" w:hAnsi="Arial"/>
                <w:sz w:val="16"/>
                <w:szCs w:val="16"/>
                <w:b w:val="1"/>
                <w:bCs w:val="1"/>
                <w:color w:val="auto"/>
              </w:rPr>
              <w:t>28277</w:t>
            </w:r>
          </w:p>
        </w:tc>
      </w:tr>
      <w:tr>
        <w:trPr>
          <w:trHeight w:val="270"/>
        </w:trPr>
        <w:tc>
          <w:tcPr>
            <w:tcW w:w="5560" w:type="dxa"/>
            <w:vAlign w:val="bottom"/>
            <w:gridSpan w:val="2"/>
          </w:tcPr>
          <w:p>
            <w:pPr>
              <w:jc w:val="center"/>
              <w:ind w:right="1619"/>
              <w:spacing w:after="0"/>
              <w:rPr>
                <w:sz w:val="20"/>
                <w:szCs w:val="20"/>
                <w:color w:val="auto"/>
              </w:rPr>
            </w:pPr>
            <w:r>
              <w:rPr>
                <w:rFonts w:ascii="Arial" w:cs="Arial" w:eastAsia="Arial" w:hAnsi="Arial"/>
                <w:sz w:val="16"/>
                <w:szCs w:val="16"/>
                <w:i w:val="1"/>
                <w:iCs w:val="1"/>
                <w:color w:val="auto"/>
                <w:w w:val="92"/>
              </w:rPr>
              <w:t>(Address of principal executive offices)</w:t>
            </w:r>
          </w:p>
        </w:tc>
        <w:tc>
          <w:tcPr>
            <w:tcW w:w="1400" w:type="dxa"/>
            <w:vAlign w:val="bottom"/>
          </w:tcPr>
          <w:p>
            <w:pPr>
              <w:jc w:val="center"/>
              <w:spacing w:after="0"/>
              <w:rPr>
                <w:sz w:val="20"/>
                <w:szCs w:val="20"/>
                <w:color w:val="auto"/>
              </w:rPr>
            </w:pPr>
            <w:r>
              <w:rPr>
                <w:rFonts w:ascii="Arial" w:cs="Arial" w:eastAsia="Arial" w:hAnsi="Arial"/>
                <w:sz w:val="16"/>
                <w:szCs w:val="16"/>
                <w:i w:val="1"/>
                <w:iCs w:val="1"/>
                <w:color w:val="auto"/>
                <w:w w:val="92"/>
              </w:rPr>
              <w:t>(Zip Code)</w:t>
            </w:r>
          </w:p>
        </w:tc>
      </w:tr>
      <w:tr>
        <w:trPr>
          <w:trHeight w:val="577"/>
        </w:trPr>
        <w:tc>
          <w:tcPr>
            <w:tcW w:w="1920" w:type="dxa"/>
            <w:vAlign w:val="bottom"/>
          </w:tcPr>
          <w:p>
            <w:pPr>
              <w:spacing w:after="0"/>
              <w:rPr>
                <w:sz w:val="24"/>
                <w:szCs w:val="24"/>
                <w:color w:val="auto"/>
              </w:rPr>
            </w:pPr>
          </w:p>
        </w:tc>
        <w:tc>
          <w:tcPr>
            <w:tcW w:w="364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(980) 264-4300</w:t>
            </w:r>
          </w:p>
        </w:tc>
        <w:tc>
          <w:tcPr>
            <w:tcW w:w="1400" w:type="dxa"/>
            <w:vAlign w:val="bottom"/>
          </w:tcPr>
          <w:p>
            <w:pPr>
              <w:spacing w:after="0"/>
              <w:rPr>
                <w:sz w:val="24"/>
                <w:szCs w:val="24"/>
                <w:color w:val="auto"/>
              </w:rPr>
            </w:pPr>
          </w:p>
        </w:tc>
      </w:tr>
      <w:tr>
        <w:trPr>
          <w:trHeight w:val="206"/>
        </w:trPr>
        <w:tc>
          <w:tcPr>
            <w:tcW w:w="1920" w:type="dxa"/>
            <w:vAlign w:val="bottom"/>
          </w:tcPr>
          <w:p>
            <w:pPr>
              <w:spacing w:after="0"/>
              <w:rPr>
                <w:sz w:val="17"/>
                <w:szCs w:val="17"/>
                <w:color w:val="auto"/>
              </w:rPr>
            </w:pPr>
          </w:p>
        </w:tc>
        <w:tc>
          <w:tcPr>
            <w:tcW w:w="3640" w:type="dxa"/>
            <w:vAlign w:val="bottom"/>
          </w:tcPr>
          <w:p>
            <w:pPr>
              <w:jc w:val="center"/>
              <w:ind w:right="119"/>
              <w:spacing w:after="0"/>
              <w:rPr>
                <w:sz w:val="20"/>
                <w:szCs w:val="20"/>
                <w:color w:val="auto"/>
              </w:rPr>
            </w:pPr>
            <w:r>
              <w:rPr>
                <w:rFonts w:ascii="Arial" w:cs="Arial" w:eastAsia="Arial" w:hAnsi="Arial"/>
                <w:sz w:val="16"/>
                <w:szCs w:val="16"/>
                <w:i w:val="1"/>
                <w:iCs w:val="1"/>
                <w:color w:val="auto"/>
                <w:w w:val="91"/>
              </w:rPr>
              <w:t>(Registrant’s telephone number, including area code)</w:t>
            </w:r>
          </w:p>
        </w:tc>
        <w:tc>
          <w:tcPr>
            <w:tcW w:w="1400" w:type="dxa"/>
            <w:vAlign w:val="bottom"/>
          </w:tcPr>
          <w:p>
            <w:pPr>
              <w:spacing w:after="0"/>
              <w:rPr>
                <w:sz w:val="17"/>
                <w:szCs w:val="17"/>
                <w:color w:val="auto"/>
              </w:rPr>
            </w:pPr>
          </w:p>
        </w:tc>
      </w:tr>
    </w:tbl>
    <w:p>
      <w:pPr>
        <w:spacing w:after="0" w:line="132" w:lineRule="exact"/>
        <w:rPr>
          <w:sz w:val="24"/>
          <w:szCs w:val="24"/>
          <w:color w:val="auto"/>
        </w:rPr>
      </w:pPr>
    </w:p>
    <w:p>
      <w:pPr>
        <w:jc w:val="center"/>
        <w:ind w:right="-8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1860550</wp:posOffset>
            </wp:positionH>
            <wp:positionV relativeFrom="paragraph">
              <wp:posOffset>40640</wp:posOffset>
            </wp:positionV>
            <wp:extent cx="21259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right="279"/>
        <w:spacing w:after="0" w:line="246"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35" w:lineRule="exact"/>
        <w:rPr>
          <w:sz w:val="24"/>
          <w:szCs w:val="24"/>
          <w:color w:val="auto"/>
        </w:rPr>
      </w:pPr>
    </w:p>
    <w:p>
      <w:pPr>
        <w:ind w:left="340" w:hanging="335"/>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340" w:hanging="335"/>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340" w:hanging="335"/>
        <w:spacing w:after="0"/>
        <w:tabs>
          <w:tab w:leader="none" w:pos="3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240.14d- 2(b))</w:t>
      </w:r>
    </w:p>
    <w:p>
      <w:pPr>
        <w:spacing w:after="0" w:line="115" w:lineRule="exact"/>
        <w:rPr>
          <w:rFonts w:ascii="MS PGothic" w:cs="MS PGothic" w:eastAsia="MS PGothic" w:hAnsi="MS PGothic"/>
          <w:sz w:val="17"/>
          <w:szCs w:val="17"/>
          <w:color w:val="auto"/>
        </w:rPr>
      </w:pPr>
    </w:p>
    <w:p>
      <w:pPr>
        <w:ind w:left="340" w:hanging="335"/>
        <w:spacing w:after="0"/>
        <w:tabs>
          <w:tab w:leader="none" w:pos="3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240.13e- 4(c))</w:t>
      </w:r>
    </w:p>
    <w:p>
      <w:pPr>
        <w:spacing w:after="0" w:line="200" w:lineRule="exact"/>
        <w:rPr>
          <w:sz w:val="24"/>
          <w:szCs w:val="24"/>
          <w:color w:val="auto"/>
        </w:rPr>
      </w:pPr>
    </w:p>
    <w:p>
      <w:pPr>
        <w:spacing w:after="0" w:line="258" w:lineRule="exact"/>
        <w:rPr>
          <w:sz w:val="24"/>
          <w:szCs w:val="24"/>
          <w:color w:val="auto"/>
        </w:rPr>
      </w:pPr>
    </w:p>
    <w:p>
      <w:pPr>
        <w:jc w:val="center"/>
        <w:ind w:right="-80"/>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9119"/>
          </w:cols>
          <w:pgMar w:left="1340" w:top="1295" w:right="1440" w:bottom="1440" w:gutter="0" w:footer="0" w:header="0"/>
        </w:sectPr>
      </w:pPr>
    </w:p>
    <w:p>
      <w:pPr>
        <w:spacing w:after="0" w:line="59" w:lineRule="exact"/>
        <w:rPr>
          <w:sz w:val="24"/>
          <w:szCs w:val="24"/>
          <w:color w:val="auto"/>
        </w:rPr>
      </w:pPr>
    </w:p>
    <w:p>
      <w:pPr>
        <w:ind w:left="1200"/>
        <w:spacing w:after="0"/>
        <w:rPr>
          <w:sz w:val="20"/>
          <w:szCs w:val="20"/>
          <w:color w:val="auto"/>
        </w:rPr>
      </w:pPr>
      <w:r>
        <w:rPr>
          <w:rFonts w:ascii="Arial" w:cs="Arial" w:eastAsia="Arial" w:hAnsi="Arial"/>
          <w:sz w:val="12"/>
          <w:szCs w:val="12"/>
          <w:i w:val="1"/>
          <w:iCs w:val="1"/>
          <w:color w:val="auto"/>
        </w:rPr>
        <w:t>Title of each class</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3"/>
          <w:szCs w:val="13"/>
          <w:i w:val="1"/>
          <w:iCs w:val="1"/>
          <w:color w:val="auto"/>
        </w:rPr>
        <w:t>Trading symbol</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2"/>
          <w:szCs w:val="12"/>
          <w:i w:val="1"/>
          <w:iCs w:val="1"/>
          <w:color w:val="auto"/>
        </w:rPr>
        <w:t>Name of each exchange on which registered</w:t>
      </w:r>
    </w:p>
    <w:p>
      <w:pPr>
        <w:spacing w:after="0" w:line="74" w:lineRule="exact"/>
        <w:rPr>
          <w:sz w:val="24"/>
          <w:szCs w:val="24"/>
          <w:color w:val="auto"/>
        </w:rPr>
      </w:pPr>
    </w:p>
    <w:p>
      <w:pPr>
        <w:sectPr>
          <w:pgSz w:w="11900" w:h="16838" w:orient="portrait"/>
          <w:cols w:equalWidth="0" w:num="3">
            <w:col w:w="3420" w:space="720"/>
            <w:col w:w="1340" w:space="720"/>
            <w:col w:w="2919"/>
          </w:cols>
          <w:pgMar w:left="1340" w:top="1295" w:right="1440" w:bottom="1440" w:gutter="0" w:footer="0" w:header="0"/>
          <w:type w:val="continuous"/>
        </w:sectPr>
      </w:pPr>
    </w:p>
    <w:p>
      <w:pPr>
        <w:ind w:left="740"/>
        <w:spacing w:after="0"/>
        <w:rPr>
          <w:sz w:val="20"/>
          <w:szCs w:val="20"/>
          <w:color w:val="auto"/>
        </w:rPr>
      </w:pPr>
      <w:r>
        <w:rPr>
          <w:rFonts w:ascii="Arial" w:cs="Arial" w:eastAsia="Arial" w:hAnsi="Arial"/>
          <w:sz w:val="13"/>
          <w:szCs w:val="13"/>
          <w:b w:val="1"/>
          <w:bCs w:val="1"/>
          <w:color w:val="auto"/>
        </w:rPr>
        <w:t>Common Stock, par value $0.01</w:t>
      </w:r>
    </w:p>
    <w:p>
      <w:pPr>
        <w:spacing w:after="0" w:line="20" w:lineRule="exact"/>
        <w:rPr>
          <w:sz w:val="24"/>
          <w:szCs w:val="24"/>
          <w:color w:val="auto"/>
        </w:rPr>
      </w:pPr>
      <w:r>
        <w:rPr>
          <w:sz w:val="24"/>
          <w:szCs w:val="24"/>
          <w:color w:val="auto"/>
        </w:rPr>
        <w:br w:type="column"/>
      </w:r>
    </w:p>
    <w:p>
      <w:pPr>
        <w:jc w:val="center"/>
        <w:ind w:right="1000"/>
        <w:spacing w:after="0"/>
        <w:rPr>
          <w:sz w:val="20"/>
          <w:szCs w:val="20"/>
          <w:color w:val="auto"/>
        </w:rPr>
      </w:pPr>
      <w:r>
        <w:rPr>
          <w:rFonts w:ascii="Arial" w:cs="Arial" w:eastAsia="Arial" w:hAnsi="Arial"/>
          <w:sz w:val="13"/>
          <w:szCs w:val="13"/>
          <w:b w:val="1"/>
          <w:bCs w:val="1"/>
          <w:color w:val="auto"/>
        </w:rPr>
        <w:t>NNBR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The Nasdaq Stock Market LLC</w:t>
      </w:r>
    </w:p>
    <w:p>
      <w:pPr>
        <w:spacing w:after="0" w:line="200" w:lineRule="exact"/>
        <w:rPr>
          <w:sz w:val="24"/>
          <w:szCs w:val="24"/>
          <w:color w:val="auto"/>
        </w:rPr>
      </w:pPr>
    </w:p>
    <w:p>
      <w:pPr>
        <w:sectPr>
          <w:pgSz w:w="11900" w:h="16838" w:orient="portrait"/>
          <w:cols w:equalWidth="0" w:num="3">
            <w:col w:w="3660" w:space="720"/>
            <w:col w:w="1400" w:space="720"/>
            <w:col w:w="2619"/>
          </w:cols>
          <w:pgMar w:left="1340" w:top="1295" w:right="1440" w:bottom="1440" w:gutter="0" w:footer="0" w:header="0"/>
          <w:type w:val="continuous"/>
        </w:sectPr>
      </w:pPr>
    </w:p>
    <w:p>
      <w:pPr>
        <w:spacing w:after="0" w:line="253" w:lineRule="exact"/>
        <w:rPr>
          <w:sz w:val="24"/>
          <w:szCs w:val="24"/>
          <w:color w:val="auto"/>
        </w:rPr>
      </w:pPr>
    </w:p>
    <w:p>
      <w:pPr>
        <w:ind w:right="79"/>
        <w:spacing w:after="0" w:line="273"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6860"/>
        <w:spacing w:after="0" w:line="322"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28"/>
          <w:szCs w:val="28"/>
          <w:color w:val="auto"/>
          <w:vertAlign w:val="subscript"/>
        </w:rPr>
        <w:t>☐</w:t>
      </w:r>
    </w:p>
    <w:p>
      <w:pPr>
        <w:spacing w:after="0" w:line="42" w:lineRule="exact"/>
        <w:rPr>
          <w:sz w:val="24"/>
          <w:szCs w:val="24"/>
          <w:color w:val="auto"/>
        </w:rPr>
      </w:pPr>
    </w:p>
    <w:p>
      <w:pPr>
        <w:ind w:right="139"/>
        <w:spacing w:after="0" w:line="243"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-654685</wp:posOffset>
            </wp:positionH>
            <wp:positionV relativeFrom="paragraph">
              <wp:posOffset>767715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-641985</wp:posOffset>
            </wp:positionH>
            <wp:positionV relativeFrom="paragraph">
              <wp:posOffset>617855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-641985</wp:posOffset>
            </wp:positionH>
            <wp:positionV relativeFrom="paragraph">
              <wp:posOffset>643255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119"/>
          </w:cols>
          <w:pgMar w:left="1340" w:top="1295" w:right="1440" w:bottom="1440" w:gutter="0" w:footer="0" w:header="0"/>
          <w:type w:val="continuous"/>
        </w:sectPr>
      </w:pPr>
    </w:p>
    <w:bookmarkStart w:id="1" w:name="page2"/>
    <w:bookmarkEnd w:id="1"/>
    <w:p>
      <w:pPr>
        <w:spacing w:after="0" w:line="209" w:lineRule="auto"/>
        <w:framePr w:w="400" w:h="160" w:wrap="auto" w:vAnchor="page" w:hAnchor="page" w:x="440" w:y="4205"/>
        <w:rPr>
          <w:rFonts w:ascii="Arial" w:cs="Arial" w:eastAsia="Arial" w:hAnsi="Arial"/>
          <w:sz w:val="16"/>
          <w:szCs w:val="16"/>
          <w:color w:val="auto"/>
        </w:rPr>
      </w:pPr>
      <w:r>
        <w:rPr>
          <w:rFonts w:ascii="Arial" w:cs="Arial" w:eastAsia="Arial" w:hAnsi="Arial"/>
          <w:sz w:val="16"/>
          <w:szCs w:val="16"/>
          <w:color w:val="auto"/>
        </w:rPr>
        <w:t>99.1</w:t>
      </w:r>
    </w:p>
    <w:p>
      <w:pPr>
        <w:spacing w:after="0" w:line="205" w:lineRule="auto"/>
        <w:framePr w:w="540" w:h="128" w:wrap="auto" w:vAnchor="page" w:hAnchor="page" w:x="380" w:y="3859"/>
        <w:rPr>
          <w:rFonts w:ascii="Arial" w:cs="Arial" w:eastAsia="Arial" w:hAnsi="Arial"/>
          <w:sz w:val="13"/>
          <w:szCs w:val="13"/>
          <w:b w:val="1"/>
          <w:bCs w:val="1"/>
          <w:u w:val="single" w:color="auto"/>
          <w:color w:val="auto"/>
        </w:rPr>
      </w:pPr>
      <w:r>
        <w:rPr>
          <w:rFonts w:ascii="Arial" w:cs="Arial" w:eastAsia="Arial" w:hAnsi="Arial"/>
          <w:sz w:val="13"/>
          <w:szCs w:val="13"/>
          <w:b w:val="1"/>
          <w:bCs w:val="1"/>
          <w:u w:val="single" w:color="auto"/>
          <w:color w:val="auto"/>
        </w:rPr>
        <w:t>Exhibit</w:t>
      </w:r>
    </w:p>
    <w:p>
      <w:pPr>
        <w:spacing w:after="0" w:line="205" w:lineRule="auto"/>
        <w:framePr w:w="300" w:h="128" w:wrap="auto" w:vAnchor="page" w:hAnchor="page" w:x="500" w:y="3994"/>
        <w:rPr>
          <w:rFonts w:ascii="Arial" w:cs="Arial" w:eastAsia="Arial" w:hAnsi="Arial"/>
          <w:sz w:val="13"/>
          <w:szCs w:val="13"/>
          <w:b w:val="1"/>
          <w:bCs w:val="1"/>
          <w:u w:val="single" w:color="auto"/>
          <w:color w:val="auto"/>
        </w:rPr>
      </w:pPr>
      <w:r>
        <w:rPr>
          <w:rFonts w:ascii="Arial" w:cs="Arial" w:eastAsia="Arial" w:hAnsi="Arial"/>
          <w:sz w:val="13"/>
          <w:szCs w:val="13"/>
          <w:b w:val="1"/>
          <w:bCs w:val="1"/>
          <w:u w:val="single" w:color="auto"/>
          <w:color w:val="auto"/>
        </w:rPr>
        <w:t>No.</w:t>
      </w:r>
    </w:p>
    <w:p>
      <w:pPr>
        <w:spacing w:after="0"/>
        <w:tabs>
          <w:tab w:leader="none" w:pos="1000" w:val="left"/>
        </w:tabs>
        <w:rPr>
          <w:sz w:val="20"/>
          <w:szCs w:val="20"/>
          <w:color w:val="auto"/>
        </w:rPr>
      </w:pPr>
      <w:r>
        <w:rPr>
          <w:rFonts w:ascii="Arial" w:cs="Arial" w:eastAsia="Arial" w:hAnsi="Arial"/>
          <w:sz w:val="18"/>
          <w:szCs w:val="18"/>
          <w:b w:val="1"/>
          <w:bCs w:val="1"/>
          <w:color w:val="auto"/>
        </w:rPr>
        <w:t>ITEM 2.02</w:t>
        <w:tab/>
        <w:t>RESULTS OF OPERATIONS AND FINANCIAL CONDITION</w:t>
      </w:r>
    </w:p>
    <w:p>
      <w:pPr>
        <w:spacing w:after="0" w:line="67" w:lineRule="exact"/>
        <w:rPr>
          <w:rFonts w:ascii="Arial" w:cs="Arial" w:eastAsia="Arial" w:hAnsi="Arial"/>
          <w:sz w:val="13"/>
          <w:szCs w:val="13"/>
          <w:b w:val="1"/>
          <w:bCs w:val="1"/>
          <w:u w:val="single" w:color="auto"/>
          <w:color w:val="auto"/>
        </w:rPr>
      </w:pPr>
    </w:p>
    <w:p>
      <w:pPr>
        <w:ind w:right="240" w:firstLine="648"/>
        <w:spacing w:after="0" w:line="342" w:lineRule="auto"/>
        <w:rPr>
          <w:sz w:val="20"/>
          <w:szCs w:val="20"/>
          <w:color w:val="auto"/>
        </w:rPr>
      </w:pPr>
      <w:r>
        <w:rPr>
          <w:rFonts w:ascii="Arial" w:cs="Arial" w:eastAsia="Arial" w:hAnsi="Arial"/>
          <w:sz w:val="16"/>
          <w:szCs w:val="16"/>
          <w:color w:val="auto"/>
        </w:rPr>
        <w:t>On March 9, 2023, NN, Inc. (the “Company”) issued a press release announcing the Company’s financial results for the quarter and year ended December 31, 2022. The full text of the press release is furnished as Exhibit 99.1 to this Current Report on Form 8-K (the "Current Report").</w:t>
      </w:r>
    </w:p>
    <w:p>
      <w:pPr>
        <w:spacing w:after="0" w:line="16" w:lineRule="exact"/>
        <w:rPr>
          <w:rFonts w:ascii="Arial" w:cs="Arial" w:eastAsia="Arial" w:hAnsi="Arial"/>
          <w:sz w:val="13"/>
          <w:szCs w:val="13"/>
          <w:b w:val="1"/>
          <w:bCs w:val="1"/>
          <w:u w:val="single" w:color="auto"/>
          <w:color w:val="auto"/>
        </w:rPr>
      </w:pPr>
    </w:p>
    <w:p>
      <w:pPr>
        <w:ind w:firstLine="648"/>
        <w:spacing w:after="0" w:line="257" w:lineRule="auto"/>
        <w:rPr>
          <w:sz w:val="20"/>
          <w:szCs w:val="20"/>
          <w:color w:val="auto"/>
        </w:rPr>
      </w:pPr>
      <w:r>
        <w:rPr>
          <w:rFonts w:ascii="Arial" w:cs="Arial" w:eastAsia="Arial" w:hAnsi="Arial"/>
          <w:sz w:val="18"/>
          <w:szCs w:val="18"/>
          <w:color w:val="auto"/>
        </w:rPr>
        <w:t>Pursuant to the rules and regulations of the U.S. Securities and Exchange Commission (the “SEC”), the information furnished pursuant to Item 2.02 of this Current Report (including Exhibit 99.1) is deemed to have been furnished and shall not be deemed to be “filed” for purposes of Section 18 of the Securities Exchange Act of 1934, as amended (the "Exchange Act"), or otherwise subject to the liabilities of that section. Such information shall not be incorporated by reference into any filing of the Company, whether made before or after the date hereof, regardless of any general incorporation language in such filing.</w:t>
      </w:r>
    </w:p>
    <w:p>
      <w:pPr>
        <w:spacing w:after="0" w:line="373" w:lineRule="exact"/>
        <w:rPr>
          <w:rFonts w:ascii="Arial" w:cs="Arial" w:eastAsia="Arial" w:hAnsi="Arial"/>
          <w:sz w:val="13"/>
          <w:szCs w:val="13"/>
          <w:b w:val="1"/>
          <w:bCs w:val="1"/>
          <w:u w:val="single" w:color="auto"/>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9.01</w:t>
        <w:tab/>
        <w:t>FINANCIAL STATEMENTS AND EXHIBITS</w:t>
      </w:r>
    </w:p>
    <w:p>
      <w:pPr>
        <w:spacing w:after="0" w:line="67" w:lineRule="exact"/>
        <w:rPr>
          <w:rFonts w:ascii="Arial" w:cs="Arial" w:eastAsia="Arial" w:hAnsi="Arial"/>
          <w:sz w:val="13"/>
          <w:szCs w:val="13"/>
          <w:b w:val="1"/>
          <w:bCs w:val="1"/>
          <w:u w:val="single" w:color="auto"/>
          <w:color w:val="auto"/>
        </w:rPr>
      </w:pPr>
    </w:p>
    <w:p>
      <w:pPr>
        <w:ind w:left="440" w:hanging="387"/>
        <w:spacing w:after="0"/>
        <w:tabs>
          <w:tab w:leader="none" w:pos="44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Exhibits.</w:t>
      </w:r>
    </w:p>
    <w:p>
      <w:pPr>
        <w:spacing w:after="0" w:line="311" w:lineRule="exact"/>
        <w:rPr>
          <w:rFonts w:ascii="Arial" w:cs="Arial" w:eastAsia="Arial" w:hAnsi="Arial"/>
          <w:sz w:val="13"/>
          <w:szCs w:val="13"/>
          <w:b w:val="1"/>
          <w:bCs w:val="1"/>
          <w:u w:val="single" w:color="auto"/>
          <w:color w:val="auto"/>
        </w:rPr>
      </w:pPr>
    </w:p>
    <w:p>
      <w:pPr>
        <w:ind w:left="880"/>
        <w:spacing w:after="0"/>
        <w:rPr>
          <w:sz w:val="20"/>
          <w:szCs w:val="20"/>
          <w:color w:val="auto"/>
        </w:rPr>
      </w:pPr>
      <w:r>
        <w:rPr>
          <w:rFonts w:ascii="Arial" w:cs="Arial" w:eastAsia="Arial" w:hAnsi="Arial"/>
          <w:sz w:val="14"/>
          <w:szCs w:val="14"/>
          <w:b w:val="1"/>
          <w:bCs w:val="1"/>
          <w:u w:val="single" w:color="auto"/>
          <w:color w:val="auto"/>
        </w:rPr>
        <w:t>Description of Exhibit</w:t>
      </w:r>
    </w:p>
    <w:p>
      <w:pPr>
        <w:spacing w:after="0" w:line="77" w:lineRule="exact"/>
        <w:rPr>
          <w:rFonts w:ascii="Arial" w:cs="Arial" w:eastAsia="Arial" w:hAnsi="Arial"/>
          <w:sz w:val="13"/>
          <w:szCs w:val="13"/>
          <w:b w:val="1"/>
          <w:bCs w:val="1"/>
          <w:u w:val="single" w:color="auto"/>
          <w:color w:val="auto"/>
        </w:rPr>
      </w:pPr>
    </w:p>
    <w:p>
      <w:pPr>
        <w:ind w:left="880"/>
        <w:spacing w:after="0"/>
        <w:rPr>
          <w:sz w:val="20"/>
          <w:szCs w:val="20"/>
          <w:color w:val="auto"/>
        </w:rPr>
      </w:pPr>
      <w:r>
        <w:rPr>
          <w:rFonts w:ascii="Arial" w:cs="Arial" w:eastAsia="Arial" w:hAnsi="Arial"/>
          <w:sz w:val="18"/>
          <w:szCs w:val="18"/>
          <w:u w:val="single" w:color="auto"/>
          <w:color w:val="0000FF"/>
        </w:rPr>
        <w:t>Press Release issued by NN, Inc., dated March 9, 2023</w:t>
      </w:r>
    </w:p>
    <w:p>
      <w:pPr>
        <w:spacing w:after="0" w:line="23" w:lineRule="exact"/>
        <w:rPr>
          <w:rFonts w:ascii="Arial" w:cs="Arial" w:eastAsia="Arial" w:hAnsi="Arial"/>
          <w:sz w:val="13"/>
          <w:szCs w:val="13"/>
          <w:b w:val="1"/>
          <w:bCs w:val="1"/>
          <w:u w:val="single" w:color="auto"/>
          <w:color w:val="auto"/>
        </w:rPr>
      </w:pPr>
    </w:p>
    <w:p>
      <w:pPr>
        <w:ind w:left="200"/>
        <w:spacing w:after="0"/>
        <w:tabs>
          <w:tab w:leader="none" w:pos="8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rFonts w:ascii="Arial" w:cs="Arial" w:eastAsia="Arial" w:hAnsi="Arial"/>
          <w:sz w:val="13"/>
          <w:szCs w:val="13"/>
          <w:b w:val="1"/>
          <w:bCs w:val="1"/>
          <w:u w:val="single" w:color="auto"/>
          <w:color w:val="auto"/>
        </w:rPr>
      </w:pPr>
      <w:r>
        <w:rPr>
          <w:rFonts w:ascii="Arial" w:cs="Arial" w:eastAsia="Arial" w:hAnsi="Arial"/>
          <w:sz w:val="13"/>
          <w:szCs w:val="13"/>
          <w:b w:val="1"/>
          <w:bCs w:val="1"/>
          <w:u w:val="single" w:color="auto"/>
          <w:color w:val="auto"/>
        </w:rPr>
        <w:drawing>
          <wp:anchor simplePos="0" relativeHeight="251657728" behindDoc="1" locked="0" layoutInCell="0" allowOverlap="1">
            <wp:simplePos x="0" y="0"/>
            <wp:positionH relativeFrom="column">
              <wp:posOffset>-6985</wp:posOffset>
            </wp:positionH>
            <wp:positionV relativeFrom="paragraph">
              <wp:posOffset>1030605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313" w:lineRule="exact"/>
        <w:rPr>
          <w:sz w:val="20"/>
          <w:szCs w:val="20"/>
          <w:color w:val="auto"/>
        </w:rPr>
      </w:pPr>
    </w:p>
    <w:p>
      <w:pPr>
        <w:ind w:right="440" w:firstLine="445"/>
        <w:spacing w:after="0" w:line="23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24"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Date:</w:t>
        <w:tab/>
        <w:t>March 9, 2023</w:t>
      </w:r>
    </w:p>
    <w:p>
      <w:pPr>
        <w:spacing w:after="0" w:line="200" w:lineRule="exact"/>
        <w:rPr>
          <w:sz w:val="20"/>
          <w:szCs w:val="20"/>
          <w:color w:val="auto"/>
        </w:rPr>
      </w:pPr>
    </w:p>
    <w:p>
      <w:pPr>
        <w:spacing w:after="0" w:line="264" w:lineRule="exact"/>
        <w:rPr>
          <w:sz w:val="20"/>
          <w:szCs w:val="20"/>
          <w:color w:val="auto"/>
        </w:rPr>
      </w:pPr>
    </w:p>
    <w:tbl>
      <w:tblPr>
        <w:tblLayout w:type="fixed"/>
        <w:tblInd w:w="440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Arial" w:cs="Arial" w:eastAsia="Arial" w:hAnsi="Arial"/>
                <w:sz w:val="18"/>
                <w:szCs w:val="18"/>
                <w:b w:val="1"/>
                <w:bCs w:val="1"/>
                <w:color w:val="auto"/>
              </w:rPr>
              <w:t>NN, INC.</w:t>
            </w:r>
          </w:p>
        </w:tc>
        <w:tc>
          <w:tcPr>
            <w:tcW w:w="3920" w:type="dxa"/>
            <w:vAlign w:val="bottom"/>
          </w:tcPr>
          <w:p>
            <w:pPr>
              <w:spacing w:after="0"/>
              <w:rPr>
                <w:sz w:val="20"/>
                <w:szCs w:val="20"/>
                <w:color w:val="auto"/>
              </w:rPr>
            </w:pPr>
          </w:p>
        </w:tc>
      </w:tr>
      <w:tr>
        <w:trPr>
          <w:trHeight w:val="527"/>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C. Felcher</w:t>
            </w:r>
          </w:p>
        </w:tc>
      </w:tr>
      <w:tr>
        <w:trPr>
          <w:trHeight w:val="236"/>
        </w:trPr>
        <w:tc>
          <w:tcPr>
            <w:tcW w:w="90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ind w:left="20"/>
              <w:spacing w:after="0"/>
              <w:rPr>
                <w:sz w:val="20"/>
                <w:szCs w:val="20"/>
                <w:color w:val="auto"/>
              </w:rPr>
            </w:pPr>
            <w:r>
              <w:rPr>
                <w:rFonts w:ascii="Arial" w:cs="Arial" w:eastAsia="Arial" w:hAnsi="Arial"/>
                <w:sz w:val="18"/>
                <w:szCs w:val="18"/>
                <w:color w:val="auto"/>
              </w:rPr>
              <w:t>Michael C. Felcher</w:t>
            </w:r>
          </w:p>
        </w:tc>
      </w:tr>
      <w:tr>
        <w:trPr>
          <w:trHeight w:val="257"/>
        </w:trPr>
        <w:tc>
          <w:tcPr>
            <w:tcW w:w="90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ind w:left="20"/>
              <w:spacing w:after="0"/>
              <w:rPr>
                <w:sz w:val="20"/>
                <w:szCs w:val="20"/>
                <w:color w:val="auto"/>
              </w:rPr>
            </w:pPr>
            <w:r>
              <w:rPr>
                <w:rFonts w:ascii="Arial" w:cs="Arial" w:eastAsia="Arial" w:hAnsi="Arial"/>
                <w:sz w:val="18"/>
                <w:szCs w:val="18"/>
                <w:color w:val="auto"/>
              </w:rPr>
              <w:t>Senior Vice President - Chief Financial Officer</w:t>
            </w:r>
          </w:p>
        </w:tc>
      </w:tr>
    </w:tbl>
    <w:p>
      <w:pPr>
        <w:sectPr>
          <w:pgSz w:w="11900" w:h="16838" w:orient="portrait"/>
          <w:cols w:equalWidth="0" w:num="1">
            <w:col w:w="9220"/>
          </w:cols>
          <w:pgMar w:left="1340" w:top="891" w:right="13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685800</wp:posOffset>
            </wp:positionV>
            <wp:extent cx="1285875" cy="12598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5875" cy="125984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1003300</wp:posOffset>
            </wp:positionV>
            <wp:extent cx="1928495" cy="6172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2849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NN,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6210 Ardrey Kell Road, Suite 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NC 28277</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IMMEDIATE RELEASE</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NN, INC. REPORTS FINANCIAL RESULTS FOR FOURTH QUARTER AND FULL YEAR 2022</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Fourth quarter net sales increased 6.9% over the prior year;</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Provides Outlook for 2023</w:t>
      </w:r>
    </w:p>
    <w:p>
      <w:pPr>
        <w:spacing w:after="0" w:line="232" w:lineRule="exact"/>
        <w:rPr>
          <w:sz w:val="20"/>
          <w:szCs w:val="20"/>
          <w:color w:val="auto"/>
        </w:rPr>
      </w:pPr>
    </w:p>
    <w:p>
      <w:pPr>
        <w:ind w:right="380"/>
        <w:spacing w:after="0" w:line="276" w:lineRule="auto"/>
        <w:rPr>
          <w:sz w:val="20"/>
          <w:szCs w:val="20"/>
          <w:color w:val="auto"/>
        </w:rPr>
      </w:pPr>
      <w:r>
        <w:rPr>
          <w:rFonts w:ascii="Arial" w:cs="Arial" w:eastAsia="Arial" w:hAnsi="Arial"/>
          <w:sz w:val="20"/>
          <w:szCs w:val="20"/>
          <w:b w:val="1"/>
          <w:bCs w:val="1"/>
          <w:color w:val="auto"/>
        </w:rPr>
        <w:t xml:space="preserve">CHARLOTTE, N.C., March 9, 2023 </w:t>
      </w:r>
      <w:r>
        <w:rPr>
          <w:rFonts w:ascii="Arial" w:cs="Arial" w:eastAsia="Arial" w:hAnsi="Arial"/>
          <w:sz w:val="20"/>
          <w:szCs w:val="20"/>
          <w:color w:val="auto"/>
        </w:rPr>
        <w:t>– NN, Inc. (NASDAQ: NNBR), a global diversified industrial company that manufactures</w:t>
      </w:r>
      <w:r>
        <w:rPr>
          <w:rFonts w:ascii="Arial" w:cs="Arial" w:eastAsia="Arial" w:hAnsi="Arial"/>
          <w:sz w:val="20"/>
          <w:szCs w:val="20"/>
          <w:b w:val="1"/>
          <w:bCs w:val="1"/>
          <w:color w:val="auto"/>
        </w:rPr>
        <w:t xml:space="preserve"> </w:t>
      </w:r>
      <w:r>
        <w:rPr>
          <w:rFonts w:ascii="Arial" w:cs="Arial" w:eastAsia="Arial" w:hAnsi="Arial"/>
          <w:sz w:val="20"/>
          <w:szCs w:val="20"/>
          <w:color w:val="auto"/>
        </w:rPr>
        <w:t>high-precision components and assemblies, today reported its financial results for the fourth quarter and full year ended December 31, 2022.</w:t>
      </w:r>
    </w:p>
    <w:p>
      <w:pPr>
        <w:spacing w:after="0" w:line="135" w:lineRule="exact"/>
        <w:rPr>
          <w:sz w:val="20"/>
          <w:szCs w:val="20"/>
          <w:color w:val="auto"/>
        </w:rPr>
      </w:pPr>
    </w:p>
    <w:p>
      <w:pPr>
        <w:ind w:right="40"/>
        <w:spacing w:after="0" w:line="233" w:lineRule="auto"/>
        <w:rPr>
          <w:sz w:val="20"/>
          <w:szCs w:val="20"/>
          <w:color w:val="auto"/>
        </w:rPr>
      </w:pPr>
      <w:r>
        <w:rPr>
          <w:rFonts w:ascii="Arial" w:cs="Arial" w:eastAsia="Arial" w:hAnsi="Arial"/>
          <w:sz w:val="20"/>
          <w:szCs w:val="20"/>
          <w:color w:val="auto"/>
        </w:rPr>
        <w:t>Warren Veltman, President and Chief Executive Officer, said, “Our fourth-quarter results were adversely impacted by non-material inflationary cost increases, ongoing supply chain interruptions, especially in China, and product launch inefficiencies in certain North America facilities. We have taken action to address these issues through significant price increases for non-material inflation effective January 1, 2023, corrective action plans to address operating performance issues, and substantial progress on our facility consolidation initiative that will significantly improve our profitability and free cash flow beginning in 2023. Additionally, we were able to achieve our free cash flow outlook for the fourth quarter, and announced amendments to our ABL and term loan that will provide additional flexibility for us to navigate what remains a challenging and uncertain operating environment.”</w:t>
      </w:r>
    </w:p>
    <w:p>
      <w:pPr>
        <w:spacing w:after="0" w:line="28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Fourth Quarter GAAP Results</w:t>
      </w:r>
    </w:p>
    <w:p>
      <w:pPr>
        <w:spacing w:after="0" w:line="78" w:lineRule="exact"/>
        <w:rPr>
          <w:sz w:val="20"/>
          <w:szCs w:val="20"/>
          <w:color w:val="auto"/>
        </w:rPr>
      </w:pPr>
    </w:p>
    <w:p>
      <w:pPr>
        <w:ind w:right="660"/>
        <w:spacing w:after="0" w:line="236" w:lineRule="auto"/>
        <w:rPr>
          <w:sz w:val="20"/>
          <w:szCs w:val="20"/>
          <w:color w:val="auto"/>
        </w:rPr>
      </w:pPr>
      <w:r>
        <w:rPr>
          <w:rFonts w:ascii="Arial" w:cs="Arial" w:eastAsia="Arial" w:hAnsi="Arial"/>
          <w:sz w:val="20"/>
          <w:szCs w:val="20"/>
          <w:color w:val="auto"/>
        </w:rPr>
        <w:t>Net sales were $118.0 million, an increase of 6.9% from the fourth quarter of 2021, primarily due to increased pricing and improved demand associated with electrical components, partially offset by unfavorable foreign exchange effects.</w:t>
      </w:r>
    </w:p>
    <w:p>
      <w:pPr>
        <w:spacing w:after="0" w:line="250"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Loss from operations was $11.0 million compared to loss from operations of $3.8 million in the fourth quarter of 2021. The increase in loss from operations was primarily driven by overall lower volume, cost increases due to inflationary pressures, and unfavorable 2022 overhead absorption when compared to 2021. These cost increases were partially offset by lower incentive compensation costs.</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Loss from operations for the Power Solutions segment was $0.8 million compared to $0.1 million for the same period in 2021.</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Loss from operations for Mobile Solutions was $5.4 million compared to income of $0.7 million for the same period in 2021.</w:t>
      </w:r>
    </w:p>
    <w:p>
      <w:pPr>
        <w:spacing w:after="0" w:line="270"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color w:val="auto"/>
        </w:rPr>
        <w:t>Net loss was $12.0 million compared to net income of $0.5 million for the same period in 2021. The increase in net loss was driven by the increased loss from operations as well as and larger favorable warrant valuation adjustments in 2021 than in 2022.</w:t>
      </w:r>
    </w:p>
    <w:p>
      <w:pPr>
        <w:sectPr>
          <w:pgSz w:w="11900" w:h="16838" w:orient="portrait"/>
          <w:cols w:equalWidth="0" w:num="1">
            <w:col w:w="11240"/>
          </w:cols>
          <w:pgMar w:left="320" w:top="125" w:right="339" w:bottom="1440" w:gutter="0" w:footer="0" w:header="0"/>
        </w:sectPr>
      </w:pPr>
    </w:p>
    <w:p>
      <w:pPr>
        <w:spacing w:after="0" w:line="368" w:lineRule="exact"/>
        <w:rPr>
          <w:sz w:val="20"/>
          <w:szCs w:val="20"/>
          <w:color w:val="auto"/>
        </w:rPr>
      </w:pPr>
    </w:p>
    <w:p>
      <w:pPr>
        <w:ind w:left="1114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25" w:right="339" w:bottom="1440" w:gutter="0" w:footer="0" w:header="0"/>
          <w:type w:val="continuous"/>
        </w:sectPr>
      </w:pPr>
    </w:p>
    <w:bookmarkStart w:id="4" w:name="page5"/>
    <w:bookmarkEnd w:id="4"/>
    <w:p>
      <w:pPr>
        <w:spacing w:after="0" w:line="37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Fourth Quarter Adjusted Results</w:t>
      </w:r>
    </w:p>
    <w:p>
      <w:pPr>
        <w:spacing w:after="0" w:line="105" w:lineRule="exact"/>
        <w:rPr>
          <w:sz w:val="20"/>
          <w:szCs w:val="20"/>
          <w:color w:val="auto"/>
        </w:rPr>
      </w:pPr>
    </w:p>
    <w:p>
      <w:pPr>
        <w:ind w:right="280"/>
        <w:spacing w:after="0" w:line="260" w:lineRule="auto"/>
        <w:rPr>
          <w:sz w:val="20"/>
          <w:szCs w:val="20"/>
          <w:color w:val="auto"/>
        </w:rPr>
      </w:pPr>
      <w:r>
        <w:rPr>
          <w:rFonts w:ascii="Arial" w:cs="Arial" w:eastAsia="Arial" w:hAnsi="Arial"/>
          <w:sz w:val="20"/>
          <w:szCs w:val="20"/>
          <w:color w:val="auto"/>
        </w:rPr>
        <w:t>Adjusted loss from operations for the fourth quarter of 2022 was $3.3 million compared to adjusted income from operations of $0.8 million for the same period in 2021. Adjusted EBITDA was $7.8 million, or 6.6% of sales, compared to $12.1 million, or 10.9% of sales, for the same period in 2021. Adjusted net loss was $5.8 million, or $0.12 per diluted share, compared to adjusted net loss of $0.8 million, or $0.01 per diluted share, for the same period in 2021.</w:t>
      </w:r>
    </w:p>
    <w:p>
      <w:pPr>
        <w:spacing w:after="0" w:line="164" w:lineRule="exact"/>
        <w:rPr>
          <w:sz w:val="20"/>
          <w:szCs w:val="20"/>
          <w:color w:val="auto"/>
        </w:rPr>
      </w:pPr>
    </w:p>
    <w:p>
      <w:pPr>
        <w:ind w:right="300"/>
        <w:spacing w:after="0" w:line="373" w:lineRule="auto"/>
        <w:rPr>
          <w:sz w:val="20"/>
          <w:szCs w:val="20"/>
          <w:color w:val="auto"/>
        </w:rPr>
      </w:pPr>
      <w:r>
        <w:rPr>
          <w:rFonts w:ascii="Arial" w:cs="Arial" w:eastAsia="Arial" w:hAnsi="Arial"/>
          <w:sz w:val="20"/>
          <w:szCs w:val="20"/>
          <w:color w:val="auto"/>
        </w:rPr>
        <w:t xml:space="preserve">Free cash flow was a source of cash of $6.4 million compared to a source of cash of $6.5 million for the same period in 2021. </w:t>
      </w:r>
      <w:r>
        <w:rPr>
          <w:rFonts w:ascii="Arial" w:cs="Arial" w:eastAsia="Arial" w:hAnsi="Arial"/>
          <w:sz w:val="20"/>
          <w:szCs w:val="20"/>
          <w:b w:val="1"/>
          <w:bCs w:val="1"/>
          <w:u w:val="single" w:color="auto"/>
          <w:color w:val="auto"/>
        </w:rPr>
        <w:t>Power Solutions</w:t>
      </w:r>
    </w:p>
    <w:p>
      <w:pPr>
        <w:spacing w:after="0" w:line="1" w:lineRule="exact"/>
        <w:rPr>
          <w:sz w:val="20"/>
          <w:szCs w:val="20"/>
          <w:color w:val="auto"/>
        </w:rPr>
      </w:pPr>
    </w:p>
    <w:p>
      <w:pPr>
        <w:ind w:right="20"/>
        <w:spacing w:after="0" w:line="237" w:lineRule="auto"/>
        <w:rPr>
          <w:sz w:val="20"/>
          <w:szCs w:val="20"/>
          <w:color w:val="auto"/>
        </w:rPr>
      </w:pPr>
      <w:r>
        <w:rPr>
          <w:rFonts w:ascii="Arial" w:cs="Arial" w:eastAsia="Arial" w:hAnsi="Arial"/>
          <w:sz w:val="20"/>
          <w:szCs w:val="20"/>
          <w:color w:val="auto"/>
        </w:rPr>
        <w:t>Net sales for the fourth quarter of 2022 were $50.0 million compared to $44.8 million in the fourth quarter of 2021, an increase of 11.7% or $5.2 million. The increase in sales was primarily due to higher customer pricing and volume, especially for electrical components. Adjusted income from operations was $4.5 million compared to $2.7 million in the fourth quarter of 2021. The increase in adjusted income from operations was primarily due to pricing and volume.</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Mobile Solutions</w:t>
      </w:r>
    </w:p>
    <w:p>
      <w:pPr>
        <w:spacing w:after="0" w:line="78" w:lineRule="exact"/>
        <w:rPr>
          <w:sz w:val="20"/>
          <w:szCs w:val="20"/>
          <w:color w:val="auto"/>
        </w:rPr>
      </w:pPr>
    </w:p>
    <w:p>
      <w:pPr>
        <w:ind w:right="100"/>
        <w:spacing w:after="0" w:line="235" w:lineRule="auto"/>
        <w:rPr>
          <w:sz w:val="20"/>
          <w:szCs w:val="20"/>
          <w:color w:val="auto"/>
        </w:rPr>
      </w:pPr>
      <w:r>
        <w:rPr>
          <w:rFonts w:ascii="Arial" w:cs="Arial" w:eastAsia="Arial" w:hAnsi="Arial"/>
          <w:sz w:val="20"/>
          <w:szCs w:val="20"/>
          <w:color w:val="auto"/>
        </w:rPr>
        <w:t>Net sales for the fourth quarter of 2022 were $68.0 million compared to $65.6 million in the fourth quarter of 2021, a increase of 3.6% or $2.4 million. The increase in sales was primarily due to increased pricing, partially offset by a 2021 customer pricing settlement and negative foreign exchange effects. Adjusted loss from operations was $3.7 million compared to adjusted income from operations of $1.5 million in the fourth quarter of 2021. The decrease in adjusted operating income was primarily driven by the 2021 customer pricing settlement and inflation that was unrecovered in 2022.</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Full Year Results</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color w:val="auto"/>
        </w:rPr>
        <w:t>Key financial highlights from the year include:</w:t>
      </w:r>
    </w:p>
    <w:p>
      <w:pPr>
        <w:spacing w:after="0" w:line="256" w:lineRule="exact"/>
        <w:rPr>
          <w:sz w:val="20"/>
          <w:szCs w:val="20"/>
          <w:color w:val="auto"/>
        </w:rPr>
      </w:pPr>
    </w:p>
    <w:p>
      <w:pPr>
        <w:ind w:right="400"/>
        <w:spacing w:after="0" w:line="236" w:lineRule="auto"/>
        <w:rPr>
          <w:sz w:val="20"/>
          <w:szCs w:val="20"/>
          <w:color w:val="auto"/>
        </w:rPr>
      </w:pPr>
      <w:r>
        <w:rPr>
          <w:rFonts w:ascii="Arial" w:cs="Arial" w:eastAsia="Arial" w:hAnsi="Arial"/>
          <w:sz w:val="20"/>
          <w:szCs w:val="20"/>
          <w:color w:val="auto"/>
        </w:rPr>
        <w:t>Net sales increased $ 21.2 million, or 4.4%, to $498.7 million compared to $477.6 million for 2021, primarily due to increased pricing partially offset by lower volume and unfavorable foreign exchange effects</w:t>
      </w:r>
    </w:p>
    <w:p>
      <w:pPr>
        <w:spacing w:after="0" w:line="236" w:lineRule="exact"/>
        <w:rPr>
          <w:sz w:val="20"/>
          <w:szCs w:val="20"/>
          <w:color w:val="auto"/>
        </w:rPr>
      </w:pPr>
    </w:p>
    <w:p>
      <w:pPr>
        <w:ind w:right="40"/>
        <w:spacing w:after="0" w:line="264" w:lineRule="auto"/>
        <w:rPr>
          <w:sz w:val="20"/>
          <w:szCs w:val="20"/>
          <w:color w:val="auto"/>
        </w:rPr>
      </w:pPr>
      <w:r>
        <w:rPr>
          <w:rFonts w:ascii="Arial" w:cs="Arial" w:eastAsia="Arial" w:hAnsi="Arial"/>
          <w:sz w:val="20"/>
          <w:szCs w:val="20"/>
          <w:color w:val="auto"/>
        </w:rPr>
        <w:t>GAAP operating loss increased to $21.1 million compared to $9.0 million in 2021, primarily due to unrecovered inflationary costs and unfavorable overhead absorption, partially offset by lower incentive compensation. Income from operations for 2022 in Power Solutions was $3.5 million and loss from operations for Mobile Solutions was $2.2 million.</w:t>
      </w:r>
    </w:p>
    <w:p>
      <w:pPr>
        <w:spacing w:after="0" w:line="227" w:lineRule="exact"/>
        <w:rPr>
          <w:sz w:val="20"/>
          <w:szCs w:val="20"/>
          <w:color w:val="auto"/>
        </w:rPr>
      </w:pPr>
    </w:p>
    <w:p>
      <w:pPr>
        <w:ind w:right="100"/>
        <w:spacing w:after="0" w:line="256" w:lineRule="auto"/>
        <w:rPr>
          <w:sz w:val="20"/>
          <w:szCs w:val="20"/>
          <w:color w:val="auto"/>
        </w:rPr>
      </w:pPr>
      <w:r>
        <w:rPr>
          <w:rFonts w:ascii="Arial" w:cs="Arial" w:eastAsia="Arial" w:hAnsi="Arial"/>
          <w:sz w:val="20"/>
          <w:szCs w:val="20"/>
          <w:color w:val="auto"/>
        </w:rPr>
        <w:t>On an adjusted basis, income from operations for 2022 was $1.9 million compared to adjusted income from operations of $10.1 million in 2021. Adjusted EBITDA for 2022 was $43.9 million, or 8.8% of sales, versus $52.1 million, or 10.9% of sales, for the same period in 2021. Free cash flow was a use of $9.8 million compared to a use of cash of $1.2 million in 2021.</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Power Solutions</w:t>
      </w:r>
    </w:p>
    <w:p>
      <w:pPr>
        <w:spacing w:after="0" w:line="86"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Net sales for 2022 were $205.2 million compared to $191.8 million in 2021, an increase of 7.0% or $13.4 million. The increase in sales was primarily driven by pricing. Adjusted income from operations for 2022 was $20.1 million compared to $17.9 million in 2021. The increase in adjusted operating income was primarily due to pricing, favorable mix and lower incentive compensation costs partially offset by unfavorable overhead absorption.</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Mobile Solutions</w:t>
      </w:r>
    </w:p>
    <w:p>
      <w:pPr>
        <w:spacing w:after="0" w:line="91" w:lineRule="exact"/>
        <w:rPr>
          <w:sz w:val="20"/>
          <w:szCs w:val="20"/>
          <w:color w:val="auto"/>
        </w:rPr>
      </w:pPr>
    </w:p>
    <w:p>
      <w:pPr>
        <w:ind w:right="120"/>
        <w:spacing w:after="0" w:line="262" w:lineRule="auto"/>
        <w:rPr>
          <w:sz w:val="20"/>
          <w:szCs w:val="20"/>
          <w:color w:val="auto"/>
        </w:rPr>
      </w:pPr>
      <w:r>
        <w:rPr>
          <w:rFonts w:ascii="Arial" w:cs="Arial" w:eastAsia="Arial" w:hAnsi="Arial"/>
          <w:sz w:val="20"/>
          <w:szCs w:val="20"/>
          <w:color w:val="auto"/>
        </w:rPr>
        <w:t>Net sales for 2022 were $293.5 million compared to $285.9 million in 2021, an increase of 2.7% or $7.7 million. The increase in sales was driven by pricing, partially offset by lower volume and unfavorable foreign exchange effects. Adjusted income from operations for 2022 was $2.7 million compared to $13.0 million of adjusted operating income in 2021. Adjusted operating income decreased due to unrecovered inflation, unfavorable overhead absorption and lower volume, partially offset by lower incentive compensation costs.</w:t>
      </w:r>
    </w:p>
    <w:p>
      <w:pPr>
        <w:sectPr>
          <w:pgSz w:w="11900" w:h="16838" w:orient="portrait"/>
          <w:cols w:equalWidth="0" w:num="1">
            <w:col w:w="11240"/>
          </w:cols>
          <w:pgMar w:left="320" w:top="1440" w:right="339" w:bottom="1440" w:gutter="0" w:footer="0" w:header="0"/>
        </w:sectPr>
      </w:pPr>
    </w:p>
    <w:p>
      <w:pPr>
        <w:spacing w:after="0" w:line="203" w:lineRule="exact"/>
        <w:rPr>
          <w:sz w:val="20"/>
          <w:szCs w:val="20"/>
          <w:color w:val="auto"/>
        </w:rPr>
      </w:pPr>
    </w:p>
    <w:p>
      <w:pPr>
        <w:ind w:left="1114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1440" w:right="339" w:bottom="1440" w:gutter="0" w:footer="0" w:header="0"/>
          <w:type w:val="continuous"/>
        </w:sectPr>
      </w:pPr>
    </w:p>
    <w:bookmarkStart w:id="5" w:name="page6"/>
    <w:bookmarkEnd w:id="5"/>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Recent Updates</w:t>
      </w:r>
    </w:p>
    <w:p>
      <w:pPr>
        <w:spacing w:after="0" w:line="91" w:lineRule="exact"/>
        <w:rPr>
          <w:sz w:val="20"/>
          <w:szCs w:val="20"/>
          <w:color w:val="auto"/>
        </w:rPr>
      </w:pPr>
    </w:p>
    <w:p>
      <w:pPr>
        <w:ind w:right="180"/>
        <w:spacing w:after="0" w:line="259" w:lineRule="auto"/>
        <w:rPr>
          <w:sz w:val="20"/>
          <w:szCs w:val="20"/>
          <w:color w:val="auto"/>
        </w:rPr>
      </w:pPr>
      <w:r>
        <w:rPr>
          <w:rFonts w:ascii="Arial" w:cs="Arial" w:eastAsia="Arial" w:hAnsi="Arial"/>
          <w:sz w:val="20"/>
          <w:szCs w:val="20"/>
          <w:color w:val="auto"/>
        </w:rPr>
        <w:t>On March 3, 2023, the Company executed amendments to its ABL and term loan to provide additional flexibility to manage through the current uncertainties in the broader economy. The amendments increase maximum total leverage ratio covenants for the duration of the term loan beginning in 2023 and provide for increased utilization of customer programs to accelerate payment terms. Additionally, the amendments introduce a quarterly domestic liquidity covenant. Interest under the term loan amendment is increased on a paid in kind basis at a rate dependent on the Company’s leverage ratio or whether the Company completes a qualifying equity raise by June 30, 2023. The Company also issued penny warrants to satisfy the lender fee associated with the term loan amendment.</w:t>
      </w:r>
    </w:p>
    <w:p>
      <w:pPr>
        <w:spacing w:after="0" w:line="180" w:lineRule="exact"/>
        <w:rPr>
          <w:sz w:val="20"/>
          <w:szCs w:val="20"/>
          <w:color w:val="auto"/>
        </w:rPr>
      </w:pPr>
    </w:p>
    <w:p>
      <w:pPr>
        <w:ind w:right="480"/>
        <w:spacing w:after="0" w:line="287" w:lineRule="auto"/>
        <w:rPr>
          <w:sz w:val="20"/>
          <w:szCs w:val="20"/>
          <w:color w:val="auto"/>
        </w:rPr>
      </w:pPr>
      <w:r>
        <w:rPr>
          <w:rFonts w:ascii="Arial" w:cs="Arial" w:eastAsia="Arial" w:hAnsi="Arial"/>
          <w:sz w:val="19"/>
          <w:szCs w:val="19"/>
          <w:color w:val="auto"/>
        </w:rPr>
        <w:t>The Company is also in the late stages of negotiations for the sublease of its Taunton, Massachusetts and Irvine, California facilities, with the expected net impact of the subleases to be neutral to cash flow over the remaining term of the leases.</w:t>
      </w:r>
    </w:p>
    <w:p>
      <w:pPr>
        <w:spacing w:after="0" w:line="152" w:lineRule="exact"/>
        <w:rPr>
          <w:sz w:val="20"/>
          <w:szCs w:val="20"/>
          <w:color w:val="auto"/>
        </w:rPr>
      </w:pPr>
    </w:p>
    <w:p>
      <w:pPr>
        <w:ind w:right="380"/>
        <w:spacing w:after="0" w:line="261" w:lineRule="auto"/>
        <w:rPr>
          <w:sz w:val="20"/>
          <w:szCs w:val="20"/>
          <w:color w:val="auto"/>
        </w:rPr>
      </w:pPr>
      <w:r>
        <w:rPr>
          <w:rFonts w:ascii="Arial" w:cs="Arial" w:eastAsia="Arial" w:hAnsi="Arial"/>
          <w:sz w:val="20"/>
          <w:szCs w:val="20"/>
          <w:color w:val="auto"/>
        </w:rPr>
        <w:t>Finally, regarding the search for a new Chief Executive Officer, the Board has actively been interviewing qualified candidates and anticipates naming a new CEO by the second quarter of 2023.</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2023 Outlook</w:t>
      </w:r>
    </w:p>
    <w:p>
      <w:pPr>
        <w:spacing w:after="0" w:line="226" w:lineRule="exact"/>
        <w:rPr>
          <w:sz w:val="20"/>
          <w:szCs w:val="20"/>
          <w:color w:val="auto"/>
        </w:rPr>
      </w:pPr>
    </w:p>
    <w:p>
      <w:pPr>
        <w:ind w:right="500"/>
        <w:spacing w:after="0" w:line="261" w:lineRule="auto"/>
        <w:rPr>
          <w:sz w:val="20"/>
          <w:szCs w:val="20"/>
          <w:color w:val="auto"/>
        </w:rPr>
      </w:pPr>
      <w:r>
        <w:rPr>
          <w:rFonts w:ascii="Arial" w:cs="Arial" w:eastAsia="Arial" w:hAnsi="Arial"/>
          <w:sz w:val="20"/>
          <w:szCs w:val="20"/>
          <w:color w:val="auto"/>
        </w:rPr>
        <w:t>The Company has summarized its expectations for 2023 financial performance with certain assumptions documented in its quarterly earnings presentation, as follows:</w:t>
      </w:r>
    </w:p>
    <w:p>
      <w:pPr>
        <w:spacing w:after="0" w:line="22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Revenue in the range of $525 million to $555 million</w:t>
      </w:r>
    </w:p>
    <w:p>
      <w:pPr>
        <w:spacing w:after="0" w:line="26"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Adjusted EBITDA in the range of $50 million to $60 million</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Free cash flow in the range of $10 to $20 million</w:t>
      </w:r>
    </w:p>
    <w:p>
      <w:pPr>
        <w:spacing w:after="0" w:line="13" w:lineRule="exact"/>
        <w:rPr>
          <w:rFonts w:ascii="Arial" w:cs="Arial" w:eastAsia="Arial" w:hAnsi="Arial"/>
          <w:sz w:val="20"/>
          <w:szCs w:val="20"/>
          <w:color w:val="auto"/>
        </w:rPr>
      </w:pPr>
    </w:p>
    <w:p>
      <w:pPr>
        <w:ind w:left="660" w:hanging="328"/>
        <w:spacing w:after="0"/>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Free cash flow outlook does not include CARES Act tax refund of ~$11 million due to uncertain timing</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Conference Call</w:t>
      </w:r>
    </w:p>
    <w:p>
      <w:pPr>
        <w:spacing w:after="0" w:line="78" w:lineRule="exact"/>
        <w:rPr>
          <w:sz w:val="20"/>
          <w:szCs w:val="20"/>
          <w:color w:val="auto"/>
        </w:rPr>
      </w:pPr>
    </w:p>
    <w:p>
      <w:pPr>
        <w:ind w:right="260" w:firstLine="8"/>
        <w:spacing w:after="0" w:line="237" w:lineRule="auto"/>
        <w:tabs>
          <w:tab w:leader="none" w:pos="341" w:val="left"/>
        </w:tabs>
        <w:numPr>
          <w:ilvl w:val="0"/>
          <w:numId w:val="4"/>
        </w:numPr>
        <w:rPr>
          <w:rFonts w:ascii="Arial" w:cs="Arial" w:eastAsia="Arial" w:hAnsi="Arial"/>
          <w:sz w:val="20"/>
          <w:szCs w:val="20"/>
          <w:color w:val="auto"/>
        </w:rPr>
      </w:pPr>
      <w:r>
        <w:rPr>
          <w:rFonts w:ascii="Arial" w:cs="Arial" w:eastAsia="Arial" w:hAnsi="Arial"/>
          <w:sz w:val="20"/>
          <w:szCs w:val="20"/>
          <w:color w:val="auto"/>
        </w:rPr>
        <w:t>will discuss its results during its quarterly investor conference call on March 10, 2023, at 9:00 a.m. ET. The call and supplemental presentation may be accessed via NN's website, www.nninc.com. The conference call can also be accessed by dialing 1-877-317-6789 or 1-412-317-6789, Conference ID: 10173910. For those who are unavailable to listen to the live broadcast, a replay will be available shortly after the call until March 24, 2023.</w:t>
      </w:r>
    </w:p>
    <w:p>
      <w:pPr>
        <w:spacing w:after="0" w:line="253" w:lineRule="exact"/>
        <w:rPr>
          <w:sz w:val="20"/>
          <w:szCs w:val="20"/>
          <w:color w:val="auto"/>
        </w:rPr>
      </w:pPr>
    </w:p>
    <w:p>
      <w:pPr>
        <w:ind w:left="340" w:hanging="332"/>
        <w:spacing w:after="0"/>
        <w:tabs>
          <w:tab w:leader="none" w:pos="340" w:val="left"/>
        </w:tabs>
        <w:numPr>
          <w:ilvl w:val="0"/>
          <w:numId w:val="5"/>
        </w:numPr>
        <w:rPr>
          <w:rFonts w:ascii="Arial" w:cs="Arial" w:eastAsia="Arial" w:hAnsi="Arial"/>
          <w:sz w:val="20"/>
          <w:szCs w:val="20"/>
          <w:color w:val="auto"/>
        </w:rPr>
      </w:pPr>
      <w:r>
        <w:rPr>
          <w:rFonts w:ascii="Arial" w:cs="Arial" w:eastAsia="Arial" w:hAnsi="Arial"/>
          <w:sz w:val="20"/>
          <w:szCs w:val="20"/>
          <w:color w:val="auto"/>
        </w:rPr>
        <w:t>discloses in this press release the non-GAAP financial measures of adjusted income (loss) from operations, adjusted</w:t>
      </w:r>
    </w:p>
    <w:p>
      <w:pPr>
        <w:spacing w:after="0" w:line="26" w:lineRule="exact"/>
        <w:rPr>
          <w:rFonts w:ascii="Arial" w:cs="Arial" w:eastAsia="Arial" w:hAnsi="Arial"/>
          <w:sz w:val="20"/>
          <w:szCs w:val="20"/>
          <w:color w:val="auto"/>
        </w:rPr>
      </w:pPr>
    </w:p>
    <w:p>
      <w:pPr>
        <w:ind w:right="100"/>
        <w:spacing w:after="0" w:line="260" w:lineRule="auto"/>
        <w:rPr>
          <w:rFonts w:ascii="Arial" w:cs="Arial" w:eastAsia="Arial" w:hAnsi="Arial"/>
          <w:sz w:val="20"/>
          <w:szCs w:val="20"/>
          <w:color w:val="auto"/>
        </w:rPr>
      </w:pPr>
      <w:r>
        <w:rPr>
          <w:rFonts w:ascii="Arial" w:cs="Arial" w:eastAsia="Arial" w:hAnsi="Arial"/>
          <w:sz w:val="20"/>
          <w:szCs w:val="20"/>
          <w:color w:val="auto"/>
        </w:rPr>
        <w:t>EBITDA, adjusted net income (loss), adjusted net income (loss) per diluted common share, and free cash flow. Each of these non-GAAP financial measures provides supplementary information about the impacts of restructuring and integration expense, acquisition and transition expenses, foreign exchange impacts on inter-company loans, amortization of intangibles and deferred financing costs, and other non-operating impacts on our business.</w:t>
      </w:r>
    </w:p>
    <w:p>
      <w:pPr>
        <w:spacing w:after="0" w:line="164"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The financial tables found later in this press release include a reconciliation of adjusted income (loss) from operations, adjusted operating margin, adjusted EBITDA, adjusted EBITDA margin, adjusted net income (loss), adjusted net income (loss) per diluted share, free cash flow to the U.S. GAAP financial measures of income (loss) from operations, net income (loss), net income (loss) per diluted common share, and cash provided (used) by operating activities.</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NN, Inc</w:t>
      </w:r>
      <w:r>
        <w:rPr>
          <w:rFonts w:ascii="Arial" w:cs="Arial" w:eastAsia="Arial" w:hAnsi="Arial"/>
          <w:sz w:val="20"/>
          <w:szCs w:val="20"/>
          <w:b w:val="1"/>
          <w:bCs w:val="1"/>
          <w:color w:val="auto"/>
        </w:rPr>
        <w:t>.</w:t>
      </w:r>
    </w:p>
    <w:p>
      <w:pPr>
        <w:spacing w:after="0" w:line="91" w:lineRule="exact"/>
        <w:rPr>
          <w:sz w:val="20"/>
          <w:szCs w:val="20"/>
          <w:color w:val="auto"/>
        </w:rPr>
      </w:pPr>
    </w:p>
    <w:p>
      <w:pPr>
        <w:ind w:right="100"/>
        <w:spacing w:after="0" w:line="260" w:lineRule="auto"/>
        <w:rPr>
          <w:sz w:val="20"/>
          <w:szCs w:val="20"/>
          <w:color w:val="auto"/>
        </w:rPr>
      </w:pPr>
      <w:r>
        <w:rPr>
          <w:rFonts w:ascii="Arial" w:cs="Arial" w:eastAsia="Arial" w:hAnsi="Arial"/>
          <w:sz w:val="20"/>
          <w:szCs w:val="20"/>
          <w:color w:val="auto"/>
        </w:rPr>
        <w:t>NN, Inc., a global diversified industrial company, combines advanced engineering and production capabilities with in-depth materials science expertise to design and manufacture high-precision components and assemblies for a variety of markets on a global basis. Headquartered in Charlotte, North Carolina, NN has 31 facilities in North America, Europe, South America, and Asia.</w:t>
      </w:r>
    </w:p>
    <w:p>
      <w:pPr>
        <w:spacing w:after="0" w:line="154" w:lineRule="exact"/>
        <w:rPr>
          <w:sz w:val="20"/>
          <w:szCs w:val="20"/>
          <w:color w:val="auto"/>
        </w:rPr>
      </w:pPr>
    </w:p>
    <w:p>
      <w:pPr>
        <w:jc w:val="both"/>
        <w:ind w:right="100"/>
        <w:spacing w:after="0" w:line="281" w:lineRule="auto"/>
        <w:rPr>
          <w:sz w:val="20"/>
          <w:szCs w:val="20"/>
          <w:color w:val="auto"/>
        </w:rPr>
      </w:pPr>
      <w:r>
        <w:rPr>
          <w:rFonts w:ascii="Arial" w:cs="Arial" w:eastAsia="Arial" w:hAnsi="Arial"/>
          <w:sz w:val="16"/>
          <w:szCs w:val="16"/>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statements may discuss goals, intentions and expectations as to future trends, plans, events, results of operations or financial condition, or state other information relating</w:t>
      </w:r>
    </w:p>
    <w:p>
      <w:pPr>
        <w:sectPr>
          <w:pgSz w:w="11900" w:h="16838" w:orient="portrait"/>
          <w:cols w:equalWidth="0" w:num="1">
            <w:col w:w="11240"/>
          </w:cols>
          <w:pgMar w:left="320" w:top="1440" w:right="339" w:bottom="1440" w:gutter="0" w:footer="0" w:header="0"/>
        </w:sectPr>
      </w:pPr>
    </w:p>
    <w:p>
      <w:pPr>
        <w:spacing w:after="0" w:line="201" w:lineRule="exact"/>
        <w:rPr>
          <w:sz w:val="20"/>
          <w:szCs w:val="20"/>
          <w:color w:val="auto"/>
        </w:rPr>
      </w:pPr>
    </w:p>
    <w:p>
      <w:pPr>
        <w:ind w:left="1114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1440" w:right="339" w:bottom="1440" w:gutter="0" w:footer="0" w:header="0"/>
          <w:type w:val="continuous"/>
        </w:sectPr>
      </w:pPr>
    </w:p>
    <w:bookmarkStart w:id="6" w:name="page7"/>
    <w:bookmarkEnd w:id="6"/>
    <w:p>
      <w:pPr>
        <w:spacing w:after="0" w:line="266" w:lineRule="auto"/>
        <w:rPr>
          <w:sz w:val="20"/>
          <w:szCs w:val="20"/>
          <w:color w:val="auto"/>
        </w:rPr>
      </w:pPr>
      <w:r>
        <w:rPr>
          <w:rFonts w:ascii="Arial" w:cs="Arial" w:eastAsia="Arial" w:hAnsi="Arial"/>
          <w:sz w:val="16"/>
          <w:szCs w:val="16"/>
          <w:i w:val="1"/>
          <w:iCs w:val="1"/>
          <w:color w:val="auto"/>
        </w:rPr>
        <w:t>to NN, Inc. based on current beliefs of management as well as assumptions made by, and information currently available to, management. Forward-looking statements generally will be accompanied by words such as “anticipate,” “believe,” “could,” “estimate,” “expect,” “forecast,” “guidance,” “intend,” “may,” “possible,” “potential,” “predict,” “project” or other similar words, phrases or expressions. Forward-looking statements involve a number of risks and uncertainties that are outside of management’s control and that may cause actual results to be materially different from such forward-looking statements. Such factors include, among others, general economic conditions and economic conditions in the industrial sector; the impacts of pandemics, epidemics, disease outbreaks and other public health crises, including the COVID-19 pandemic, on our financial condition, business operations and liquidity; competitive influences; risks that current customers will commence or increase captive production; risks of capacity underutilization; quality issues; material changes in the costs and availability of raw materials; economic, social, political and geopolitical instability, currency fluctuation, and other risks of doing business outside of the United States; inflationary pressures and changes in the cost or availability of materials, supply chain shortages and disruptions, and the availability of labor; our dependence on certain major customers, some of whom are not parties to long-term agreements (and/or are terminable on short notice); the impact of acquisitions and divestitures; our ability to hire or retain key personnel; the level of our indebtedness; the restrictions contained in our debt agreements; our ability to obtain financing at favorable rates, if at all, and to refinance existing debt as it matures; unanticipated difficulties integrating acquisitions; new laws and governmental regulations; the impact of climate change on our operations; and cyber liability or potential liability for breaches of our or our service providers’ information technology systems or business operations disruptions. The foregoing factors should be not be construed as exhaustive and should be read in conjunction with the sections entitled “Risk Factors” and “Management’s Discussion and Analysis of Financial Condition and Results of Operations” included in the Company’s filings made with the Securities and Exchange Commission. Any forward-looking statement speaks only as of the date of this press release, and the Company undertakes no obligation to publicly update or review any forward-looking statement, whether as a result of new information, future developments or otherwise, except as required by law. New risks and uncertainties may emerge from time to time, and it is not possible for the Company to predict their occurrence or how they will affect the Company. The Company qualifies all forward-looking statements by these cautionary statements.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FOR FURTHER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Jeff Tryka, CFA</w:t>
      </w:r>
    </w:p>
    <w:p>
      <w:pPr>
        <w:spacing w:after="0"/>
        <w:rPr>
          <w:sz w:val="20"/>
          <w:szCs w:val="20"/>
          <w:color w:val="auto"/>
        </w:rPr>
      </w:pPr>
      <w:r>
        <w:rPr>
          <w:rFonts w:ascii="Arial" w:cs="Arial" w:eastAsia="Arial" w:hAnsi="Arial"/>
          <w:sz w:val="20"/>
          <w:szCs w:val="20"/>
          <w:color w:val="auto"/>
        </w:rPr>
        <w:t>Investor Relations Contact</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jtryka@lambert.com</w:t>
      </w:r>
    </w:p>
    <w:p>
      <w:pPr>
        <w:spacing w:after="0"/>
        <w:rPr>
          <w:sz w:val="20"/>
          <w:szCs w:val="20"/>
          <w:color w:val="auto"/>
        </w:rPr>
      </w:pPr>
      <w:r>
        <w:rPr>
          <w:rFonts w:ascii="Arial" w:cs="Arial" w:eastAsia="Arial" w:hAnsi="Arial"/>
          <w:sz w:val="20"/>
          <w:szCs w:val="20"/>
          <w:color w:val="auto"/>
        </w:rPr>
        <w:t>(616) 258-5766</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Financial Tables Follow</w:t>
      </w:r>
    </w:p>
    <w:p>
      <w:pPr>
        <w:spacing w:after="0" w:line="26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394" w:right="339" w:bottom="1440" w:gutter="0" w:footer="0" w:header="0"/>
        </w:sectPr>
      </w:pPr>
    </w:p>
    <w:bookmarkStart w:id="7" w:name="page8"/>
    <w:bookmarkEnd w:id="7"/>
    <w:p>
      <w:pPr>
        <w:ind w:left="5300"/>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40" w:type="dxa"/>
            <w:vAlign w:val="bottom"/>
            <w:gridSpan w:val="5"/>
          </w:tcPr>
          <w:p>
            <w:pPr>
              <w:ind w:left="28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6"/>
                <w:szCs w:val="16"/>
                <w:color w:val="auto"/>
              </w:rPr>
            </w:pPr>
          </w:p>
        </w:tc>
        <w:tc>
          <w:tcPr>
            <w:tcW w:w="152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Year Ended</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9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900" w:type="dxa"/>
            <w:vAlign w:val="bottom"/>
            <w:tcBorders>
              <w:bottom w:val="single" w:sz="8" w:color="BFE4FF"/>
            </w:tcBorders>
          </w:tcPr>
          <w:p>
            <w:pPr>
              <w:ind w:left="20"/>
              <w:spacing w:after="0"/>
              <w:rPr>
                <w:sz w:val="20"/>
                <w:szCs w:val="20"/>
                <w:color w:val="auto"/>
              </w:rPr>
            </w:pPr>
            <w:r>
              <w:rPr>
                <w:rFonts w:ascii="Arial" w:cs="Arial" w:eastAsia="Arial" w:hAnsi="Arial"/>
                <w:sz w:val="16"/>
                <w:szCs w:val="16"/>
                <w:b w:val="1"/>
                <w:bCs w:val="1"/>
                <w:i w:val="1"/>
                <w:iCs w:val="1"/>
                <w:color w:val="auto"/>
              </w:rPr>
              <w:t>(in thousands, except per share data)</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BFE4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bottom w:val="single" w:sz="8" w:color="BFE4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BFE4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w w:val="95"/>
              </w:rPr>
              <w:t>2021</w:t>
            </w:r>
          </w:p>
        </w:tc>
        <w:tc>
          <w:tcPr>
            <w:tcW w:w="0" w:type="dxa"/>
            <w:vAlign w:val="bottom"/>
          </w:tcPr>
          <w:p>
            <w:pPr>
              <w:spacing w:after="0"/>
              <w:rPr>
                <w:sz w:val="1"/>
                <w:szCs w:val="1"/>
                <w:color w:val="auto"/>
              </w:rPr>
            </w:pPr>
          </w:p>
        </w:tc>
      </w:tr>
      <w:tr>
        <w:trPr>
          <w:trHeight w:val="212"/>
        </w:trPr>
        <w:tc>
          <w:tcPr>
            <w:tcW w:w="5900" w:type="dxa"/>
            <w:vAlign w:val="bottom"/>
            <w:shd w:val="clear" w:color="auto" w:fill="BFE4FF"/>
          </w:tcPr>
          <w:p>
            <w:pPr>
              <w:ind w:left="360"/>
              <w:spacing w:after="0"/>
              <w:rPr>
                <w:sz w:val="20"/>
                <w:szCs w:val="20"/>
                <w:color w:val="auto"/>
              </w:rPr>
            </w:pPr>
            <w:r>
              <w:rPr>
                <w:rFonts w:ascii="Arial" w:cs="Arial" w:eastAsia="Arial" w:hAnsi="Arial"/>
                <w:sz w:val="16"/>
                <w:szCs w:val="16"/>
                <w:color w:val="auto"/>
              </w:rPr>
              <w:t>Net sales</w:t>
            </w:r>
          </w:p>
        </w:tc>
        <w:tc>
          <w:tcPr>
            <w:tcW w:w="280" w:type="dxa"/>
            <w:vAlign w:val="bottom"/>
            <w:shd w:val="clear" w:color="auto" w:fill="BFE4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118,012</w:t>
            </w:r>
          </w:p>
        </w:tc>
        <w:tc>
          <w:tcPr>
            <w:tcW w:w="120" w:type="dxa"/>
            <w:vAlign w:val="bottom"/>
            <w:shd w:val="clear" w:color="auto" w:fill="BFE4FF"/>
          </w:tcPr>
          <w:p>
            <w:pPr>
              <w:spacing w:after="0"/>
              <w:rPr>
                <w:sz w:val="18"/>
                <w:szCs w:val="18"/>
                <w:color w:val="auto"/>
              </w:rPr>
            </w:pPr>
          </w:p>
        </w:tc>
        <w:tc>
          <w:tcPr>
            <w:tcW w:w="440" w:type="dxa"/>
            <w:vAlign w:val="bottom"/>
            <w:shd w:val="clear" w:color="auto" w:fill="BFE4FF"/>
          </w:tcPr>
          <w:p>
            <w:pPr>
              <w:jc w:val="right"/>
              <w:ind w:right="2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110,379</w:t>
            </w:r>
          </w:p>
        </w:tc>
        <w:tc>
          <w:tcPr>
            <w:tcW w:w="100" w:type="dxa"/>
            <w:vAlign w:val="bottom"/>
            <w:shd w:val="clear" w:color="auto" w:fill="BFE4FF"/>
          </w:tcPr>
          <w:p>
            <w:pPr>
              <w:spacing w:after="0"/>
              <w:rPr>
                <w:sz w:val="18"/>
                <w:szCs w:val="18"/>
                <w:color w:val="auto"/>
              </w:rPr>
            </w:pPr>
          </w:p>
        </w:tc>
        <w:tc>
          <w:tcPr>
            <w:tcW w:w="280" w:type="dxa"/>
            <w:vAlign w:val="bottom"/>
            <w:shd w:val="clear" w:color="auto" w:fill="BFE4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498,738</w:t>
            </w:r>
          </w:p>
        </w:tc>
        <w:tc>
          <w:tcPr>
            <w:tcW w:w="100" w:type="dxa"/>
            <w:vAlign w:val="bottom"/>
            <w:shd w:val="clear" w:color="auto" w:fill="BFE4FF"/>
          </w:tcPr>
          <w:p>
            <w:pPr>
              <w:spacing w:after="0"/>
              <w:rPr>
                <w:sz w:val="18"/>
                <w:szCs w:val="18"/>
                <w:color w:val="auto"/>
              </w:rPr>
            </w:pPr>
          </w:p>
        </w:tc>
        <w:tc>
          <w:tcPr>
            <w:tcW w:w="440" w:type="dxa"/>
            <w:vAlign w:val="bottom"/>
            <w:shd w:val="clear" w:color="auto" w:fill="BFE4FF"/>
          </w:tcPr>
          <w:p>
            <w:pPr>
              <w:jc w:val="right"/>
              <w:ind w:right="2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477,584</w:t>
            </w:r>
          </w:p>
        </w:tc>
        <w:tc>
          <w:tcPr>
            <w:tcW w:w="0" w:type="dxa"/>
            <w:vAlign w:val="bottom"/>
          </w:tcPr>
          <w:p>
            <w:pPr>
              <w:spacing w:after="0"/>
              <w:rPr>
                <w:sz w:val="1"/>
                <w:szCs w:val="1"/>
                <w:color w:val="auto"/>
              </w:rPr>
            </w:pPr>
          </w:p>
        </w:tc>
      </w:tr>
      <w:tr>
        <w:trPr>
          <w:trHeight w:val="213"/>
        </w:trPr>
        <w:tc>
          <w:tcPr>
            <w:tcW w:w="5900" w:type="dxa"/>
            <w:vAlign w:val="bottom"/>
          </w:tcPr>
          <w:p>
            <w:pPr>
              <w:ind w:left="360"/>
              <w:spacing w:after="0"/>
              <w:rPr>
                <w:sz w:val="20"/>
                <w:szCs w:val="20"/>
                <w:color w:val="auto"/>
              </w:rPr>
            </w:pPr>
            <w:r>
              <w:rPr>
                <w:rFonts w:ascii="Arial" w:cs="Arial" w:eastAsia="Arial" w:hAnsi="Arial"/>
                <w:sz w:val="16"/>
                <w:szCs w:val="16"/>
                <w:color w:val="auto"/>
                <w:w w:val="95"/>
              </w:rPr>
              <w:t>Cost of sales (exclusive of depreciation and amortization shown separately below)</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104,605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91,868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421,105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389,995</w:t>
            </w:r>
          </w:p>
        </w:tc>
        <w:tc>
          <w:tcPr>
            <w:tcW w:w="0" w:type="dxa"/>
            <w:vAlign w:val="bottom"/>
          </w:tcPr>
          <w:p>
            <w:pPr>
              <w:spacing w:after="0"/>
              <w:rPr>
                <w:sz w:val="1"/>
                <w:szCs w:val="1"/>
                <w:color w:val="auto"/>
              </w:rPr>
            </w:pPr>
          </w:p>
        </w:tc>
      </w:tr>
      <w:tr>
        <w:trPr>
          <w:trHeight w:val="219"/>
        </w:trPr>
        <w:tc>
          <w:tcPr>
            <w:tcW w:w="5900" w:type="dxa"/>
            <w:vAlign w:val="bottom"/>
            <w:shd w:val="clear" w:color="auto" w:fill="BFE4FF"/>
          </w:tcPr>
          <w:p>
            <w:pPr>
              <w:ind w:left="360"/>
              <w:spacing w:after="0"/>
              <w:rPr>
                <w:sz w:val="20"/>
                <w:szCs w:val="20"/>
                <w:color w:val="auto"/>
              </w:rPr>
            </w:pPr>
            <w:r>
              <w:rPr>
                <w:rFonts w:ascii="Arial" w:cs="Arial" w:eastAsia="Arial" w:hAnsi="Arial"/>
                <w:sz w:val="16"/>
                <w:szCs w:val="16"/>
                <w:color w:val="auto"/>
              </w:rPr>
              <w:t>Selling, general, and administrative expense</w:t>
            </w:r>
          </w:p>
        </w:tc>
        <w:tc>
          <w:tcPr>
            <w:tcW w:w="280" w:type="dxa"/>
            <w:vAlign w:val="bottom"/>
            <w:shd w:val="clear" w:color="auto" w:fill="BFE4FF"/>
          </w:tcPr>
          <w:p>
            <w:pPr>
              <w:spacing w:after="0"/>
              <w:rPr>
                <w:sz w:val="19"/>
                <w:szCs w:val="19"/>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11,182</w:t>
            </w:r>
          </w:p>
        </w:tc>
        <w:tc>
          <w:tcPr>
            <w:tcW w:w="120" w:type="dxa"/>
            <w:vAlign w:val="bottom"/>
            <w:shd w:val="clear" w:color="auto" w:fill="BFE4FF"/>
          </w:tcPr>
          <w:p>
            <w:pPr>
              <w:spacing w:after="0"/>
              <w:rPr>
                <w:sz w:val="19"/>
                <w:szCs w:val="19"/>
                <w:color w:val="auto"/>
              </w:rPr>
            </w:pPr>
          </w:p>
        </w:tc>
        <w:tc>
          <w:tcPr>
            <w:tcW w:w="440" w:type="dxa"/>
            <w:vAlign w:val="bottom"/>
            <w:shd w:val="clear" w:color="auto" w:fill="BFE4FF"/>
          </w:tcPr>
          <w:p>
            <w:pPr>
              <w:spacing w:after="0"/>
              <w:rPr>
                <w:sz w:val="19"/>
                <w:szCs w:val="19"/>
                <w:color w:val="auto"/>
              </w:rPr>
            </w:pPr>
          </w:p>
        </w:tc>
        <w:tc>
          <w:tcPr>
            <w:tcW w:w="8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11,148</w:t>
            </w:r>
          </w:p>
        </w:tc>
        <w:tc>
          <w:tcPr>
            <w:tcW w:w="100" w:type="dxa"/>
            <w:vAlign w:val="bottom"/>
            <w:shd w:val="clear" w:color="auto" w:fill="BFE4FF"/>
          </w:tcPr>
          <w:p>
            <w:pPr>
              <w:spacing w:after="0"/>
              <w:rPr>
                <w:sz w:val="19"/>
                <w:szCs w:val="19"/>
                <w:color w:val="auto"/>
              </w:rPr>
            </w:pPr>
          </w:p>
        </w:tc>
        <w:tc>
          <w:tcPr>
            <w:tcW w:w="280" w:type="dxa"/>
            <w:vAlign w:val="bottom"/>
            <w:shd w:val="clear" w:color="auto" w:fill="BFE4FF"/>
          </w:tcPr>
          <w:p>
            <w:pPr>
              <w:spacing w:after="0"/>
              <w:rPr>
                <w:sz w:val="19"/>
                <w:szCs w:val="19"/>
                <w:color w:val="auto"/>
              </w:rPr>
            </w:pPr>
          </w:p>
        </w:tc>
        <w:tc>
          <w:tcPr>
            <w:tcW w:w="9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49,635</w:t>
            </w:r>
          </w:p>
        </w:tc>
        <w:tc>
          <w:tcPr>
            <w:tcW w:w="100" w:type="dxa"/>
            <w:vAlign w:val="bottom"/>
            <w:shd w:val="clear" w:color="auto" w:fill="BFE4FF"/>
          </w:tcPr>
          <w:p>
            <w:pPr>
              <w:spacing w:after="0"/>
              <w:rPr>
                <w:sz w:val="19"/>
                <w:szCs w:val="19"/>
                <w:color w:val="auto"/>
              </w:rPr>
            </w:pPr>
          </w:p>
        </w:tc>
        <w:tc>
          <w:tcPr>
            <w:tcW w:w="440" w:type="dxa"/>
            <w:vAlign w:val="bottom"/>
            <w:shd w:val="clear" w:color="auto" w:fill="BFE4FF"/>
          </w:tcPr>
          <w:p>
            <w:pPr>
              <w:spacing w:after="0"/>
              <w:rPr>
                <w:sz w:val="19"/>
                <w:szCs w:val="19"/>
                <w:color w:val="auto"/>
              </w:rPr>
            </w:pPr>
          </w:p>
        </w:tc>
        <w:tc>
          <w:tcPr>
            <w:tcW w:w="8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51,489</w:t>
            </w:r>
          </w:p>
        </w:tc>
        <w:tc>
          <w:tcPr>
            <w:tcW w:w="0" w:type="dxa"/>
            <w:vAlign w:val="bottom"/>
          </w:tcPr>
          <w:p>
            <w:pPr>
              <w:spacing w:after="0"/>
              <w:rPr>
                <w:sz w:val="1"/>
                <w:szCs w:val="1"/>
                <w:color w:val="auto"/>
              </w:rPr>
            </w:pPr>
          </w:p>
        </w:tc>
      </w:tr>
      <w:tr>
        <w:trPr>
          <w:trHeight w:val="213"/>
        </w:trPr>
        <w:tc>
          <w:tcPr>
            <w:tcW w:w="590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13,269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11,335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47,231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46,195</w:t>
            </w:r>
          </w:p>
        </w:tc>
        <w:tc>
          <w:tcPr>
            <w:tcW w:w="0" w:type="dxa"/>
            <w:vAlign w:val="bottom"/>
          </w:tcPr>
          <w:p>
            <w:pPr>
              <w:spacing w:after="0"/>
              <w:rPr>
                <w:sz w:val="1"/>
                <w:szCs w:val="1"/>
                <w:color w:val="auto"/>
              </w:rPr>
            </w:pPr>
          </w:p>
        </w:tc>
      </w:tr>
      <w:tr>
        <w:trPr>
          <w:trHeight w:val="219"/>
        </w:trPr>
        <w:tc>
          <w:tcPr>
            <w:tcW w:w="5900" w:type="dxa"/>
            <w:vAlign w:val="bottom"/>
            <w:shd w:val="clear" w:color="auto" w:fill="BFE4FF"/>
          </w:tcPr>
          <w:p>
            <w:pPr>
              <w:ind w:left="360"/>
              <w:spacing w:after="0"/>
              <w:rPr>
                <w:sz w:val="20"/>
                <w:szCs w:val="20"/>
                <w:color w:val="auto"/>
              </w:rPr>
            </w:pPr>
            <w:r>
              <w:rPr>
                <w:rFonts w:ascii="Arial" w:cs="Arial" w:eastAsia="Arial" w:hAnsi="Arial"/>
                <w:sz w:val="16"/>
                <w:szCs w:val="16"/>
                <w:color w:val="auto"/>
              </w:rPr>
              <w:t>Other operating expense (income), net</w:t>
            </w:r>
          </w:p>
        </w:tc>
        <w:tc>
          <w:tcPr>
            <w:tcW w:w="280" w:type="dxa"/>
            <w:vAlign w:val="bottom"/>
            <w:tcBorders>
              <w:bottom w:val="single" w:sz="8" w:color="auto"/>
            </w:tcBorders>
            <w:shd w:val="clear" w:color="auto" w:fill="BFE4FF"/>
          </w:tcPr>
          <w:p>
            <w:pPr>
              <w:spacing w:after="0"/>
              <w:rPr>
                <w:sz w:val="19"/>
                <w:szCs w:val="19"/>
                <w:color w:val="auto"/>
              </w:rPr>
            </w:pPr>
          </w:p>
        </w:tc>
        <w:tc>
          <w:tcPr>
            <w:tcW w:w="9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BFE4FF"/>
          </w:tcPr>
          <w:p>
            <w:pPr>
              <w:spacing w:after="0"/>
              <w:rPr>
                <w:sz w:val="19"/>
                <w:szCs w:val="19"/>
                <w:color w:val="auto"/>
              </w:rPr>
            </w:pPr>
          </w:p>
        </w:tc>
        <w:tc>
          <w:tcPr>
            <w:tcW w:w="440" w:type="dxa"/>
            <w:vAlign w:val="bottom"/>
            <w:tcBorders>
              <w:bottom w:val="single" w:sz="8" w:color="auto"/>
            </w:tcBorders>
            <w:shd w:val="clear" w:color="auto" w:fill="BFE4FF"/>
          </w:tcPr>
          <w:p>
            <w:pPr>
              <w:spacing w:after="0"/>
              <w:rPr>
                <w:sz w:val="19"/>
                <w:szCs w:val="19"/>
                <w:color w:val="auto"/>
              </w:rPr>
            </w:pPr>
          </w:p>
        </w:tc>
        <w:tc>
          <w:tcPr>
            <w:tcW w:w="8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(190)</w:t>
            </w:r>
          </w:p>
        </w:tc>
        <w:tc>
          <w:tcPr>
            <w:tcW w:w="100" w:type="dxa"/>
            <w:vAlign w:val="bottom"/>
            <w:shd w:val="clear" w:color="auto" w:fill="BFE4FF"/>
          </w:tcPr>
          <w:p>
            <w:pPr>
              <w:spacing w:after="0"/>
              <w:rPr>
                <w:sz w:val="19"/>
                <w:szCs w:val="19"/>
                <w:color w:val="auto"/>
              </w:rPr>
            </w:pPr>
          </w:p>
        </w:tc>
        <w:tc>
          <w:tcPr>
            <w:tcW w:w="280" w:type="dxa"/>
            <w:vAlign w:val="bottom"/>
            <w:tcBorders>
              <w:bottom w:val="single" w:sz="8" w:color="auto"/>
            </w:tcBorders>
            <w:shd w:val="clear" w:color="auto" w:fill="BFE4FF"/>
          </w:tcPr>
          <w:p>
            <w:pPr>
              <w:spacing w:after="0"/>
              <w:rPr>
                <w:sz w:val="19"/>
                <w:szCs w:val="19"/>
                <w:color w:val="auto"/>
              </w:rPr>
            </w:pPr>
          </w:p>
        </w:tc>
        <w:tc>
          <w:tcPr>
            <w:tcW w:w="9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1,859</w:t>
            </w:r>
          </w:p>
        </w:tc>
        <w:tc>
          <w:tcPr>
            <w:tcW w:w="100" w:type="dxa"/>
            <w:vAlign w:val="bottom"/>
            <w:shd w:val="clear" w:color="auto" w:fill="BFE4FF"/>
          </w:tcPr>
          <w:p>
            <w:pPr>
              <w:spacing w:after="0"/>
              <w:rPr>
                <w:sz w:val="19"/>
                <w:szCs w:val="19"/>
                <w:color w:val="auto"/>
              </w:rPr>
            </w:pPr>
          </w:p>
        </w:tc>
        <w:tc>
          <w:tcPr>
            <w:tcW w:w="440" w:type="dxa"/>
            <w:vAlign w:val="bottom"/>
            <w:tcBorders>
              <w:bottom w:val="single" w:sz="8" w:color="auto"/>
            </w:tcBorders>
            <w:shd w:val="clear" w:color="auto" w:fill="BFE4FF"/>
          </w:tcPr>
          <w:p>
            <w:pPr>
              <w:spacing w:after="0"/>
              <w:rPr>
                <w:sz w:val="19"/>
                <w:szCs w:val="19"/>
                <w:color w:val="auto"/>
              </w:rPr>
            </w:pPr>
          </w:p>
        </w:tc>
        <w:tc>
          <w:tcPr>
            <w:tcW w:w="8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(1,091)</w:t>
            </w:r>
          </w:p>
        </w:tc>
        <w:tc>
          <w:tcPr>
            <w:tcW w:w="0" w:type="dxa"/>
            <w:vAlign w:val="bottom"/>
          </w:tcPr>
          <w:p>
            <w:pPr>
              <w:spacing w:after="0"/>
              <w:rPr>
                <w:sz w:val="1"/>
                <w:szCs w:val="1"/>
                <w:color w:val="auto"/>
              </w:rPr>
            </w:pPr>
          </w:p>
        </w:tc>
      </w:tr>
      <w:tr>
        <w:trPr>
          <w:trHeight w:val="206"/>
        </w:trPr>
        <w:tc>
          <w:tcPr>
            <w:tcW w:w="590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(11,041)</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(3,782)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(21,092)</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(9,004)</w:t>
            </w:r>
          </w:p>
        </w:tc>
        <w:tc>
          <w:tcPr>
            <w:tcW w:w="0" w:type="dxa"/>
            <w:vAlign w:val="bottom"/>
          </w:tcPr>
          <w:p>
            <w:pPr>
              <w:spacing w:after="0"/>
              <w:rPr>
                <w:sz w:val="1"/>
                <w:szCs w:val="1"/>
                <w:color w:val="auto"/>
              </w:rPr>
            </w:pPr>
          </w:p>
        </w:tc>
      </w:tr>
      <w:tr>
        <w:trPr>
          <w:trHeight w:val="219"/>
        </w:trPr>
        <w:tc>
          <w:tcPr>
            <w:tcW w:w="5900" w:type="dxa"/>
            <w:vAlign w:val="bottom"/>
            <w:shd w:val="clear" w:color="auto" w:fill="BFE4FF"/>
          </w:tcPr>
          <w:p>
            <w:pPr>
              <w:ind w:left="360"/>
              <w:spacing w:after="0"/>
              <w:rPr>
                <w:sz w:val="20"/>
                <w:szCs w:val="20"/>
                <w:color w:val="auto"/>
              </w:rPr>
            </w:pPr>
            <w:r>
              <w:rPr>
                <w:rFonts w:ascii="Arial" w:cs="Arial" w:eastAsia="Arial" w:hAnsi="Arial"/>
                <w:sz w:val="16"/>
                <w:szCs w:val="16"/>
                <w:color w:val="auto"/>
              </w:rPr>
              <w:t>Interest expense</w:t>
            </w:r>
          </w:p>
        </w:tc>
        <w:tc>
          <w:tcPr>
            <w:tcW w:w="280" w:type="dxa"/>
            <w:vAlign w:val="bottom"/>
            <w:shd w:val="clear" w:color="auto" w:fill="BFE4FF"/>
          </w:tcPr>
          <w:p>
            <w:pPr>
              <w:spacing w:after="0"/>
              <w:rPr>
                <w:sz w:val="19"/>
                <w:szCs w:val="19"/>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4,368</w:t>
            </w:r>
          </w:p>
        </w:tc>
        <w:tc>
          <w:tcPr>
            <w:tcW w:w="120" w:type="dxa"/>
            <w:vAlign w:val="bottom"/>
            <w:shd w:val="clear" w:color="auto" w:fill="BFE4FF"/>
          </w:tcPr>
          <w:p>
            <w:pPr>
              <w:spacing w:after="0"/>
              <w:rPr>
                <w:sz w:val="19"/>
                <w:szCs w:val="19"/>
                <w:color w:val="auto"/>
              </w:rPr>
            </w:pPr>
          </w:p>
        </w:tc>
        <w:tc>
          <w:tcPr>
            <w:tcW w:w="440" w:type="dxa"/>
            <w:vAlign w:val="bottom"/>
            <w:shd w:val="clear" w:color="auto" w:fill="BFE4FF"/>
          </w:tcPr>
          <w:p>
            <w:pPr>
              <w:spacing w:after="0"/>
              <w:rPr>
                <w:sz w:val="19"/>
                <w:szCs w:val="19"/>
                <w:color w:val="auto"/>
              </w:rPr>
            </w:pPr>
          </w:p>
        </w:tc>
        <w:tc>
          <w:tcPr>
            <w:tcW w:w="8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3,489</w:t>
            </w:r>
          </w:p>
        </w:tc>
        <w:tc>
          <w:tcPr>
            <w:tcW w:w="100" w:type="dxa"/>
            <w:vAlign w:val="bottom"/>
            <w:shd w:val="clear" w:color="auto" w:fill="BFE4FF"/>
          </w:tcPr>
          <w:p>
            <w:pPr>
              <w:spacing w:after="0"/>
              <w:rPr>
                <w:sz w:val="19"/>
                <w:szCs w:val="19"/>
                <w:color w:val="auto"/>
              </w:rPr>
            </w:pPr>
          </w:p>
        </w:tc>
        <w:tc>
          <w:tcPr>
            <w:tcW w:w="280" w:type="dxa"/>
            <w:vAlign w:val="bottom"/>
            <w:shd w:val="clear" w:color="auto" w:fill="BFE4FF"/>
          </w:tcPr>
          <w:p>
            <w:pPr>
              <w:spacing w:after="0"/>
              <w:rPr>
                <w:sz w:val="19"/>
                <w:szCs w:val="19"/>
                <w:color w:val="auto"/>
              </w:rPr>
            </w:pPr>
          </w:p>
        </w:tc>
        <w:tc>
          <w:tcPr>
            <w:tcW w:w="9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15,041</w:t>
            </w:r>
          </w:p>
        </w:tc>
        <w:tc>
          <w:tcPr>
            <w:tcW w:w="100" w:type="dxa"/>
            <w:vAlign w:val="bottom"/>
            <w:shd w:val="clear" w:color="auto" w:fill="BFE4FF"/>
          </w:tcPr>
          <w:p>
            <w:pPr>
              <w:spacing w:after="0"/>
              <w:rPr>
                <w:sz w:val="19"/>
                <w:szCs w:val="19"/>
                <w:color w:val="auto"/>
              </w:rPr>
            </w:pPr>
          </w:p>
        </w:tc>
        <w:tc>
          <w:tcPr>
            <w:tcW w:w="440" w:type="dxa"/>
            <w:vAlign w:val="bottom"/>
            <w:shd w:val="clear" w:color="auto" w:fill="BFE4FF"/>
          </w:tcPr>
          <w:p>
            <w:pPr>
              <w:spacing w:after="0"/>
              <w:rPr>
                <w:sz w:val="19"/>
                <w:szCs w:val="19"/>
                <w:color w:val="auto"/>
              </w:rPr>
            </w:pPr>
          </w:p>
        </w:tc>
        <w:tc>
          <w:tcPr>
            <w:tcW w:w="8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12,664</w:t>
            </w:r>
          </w:p>
        </w:tc>
        <w:tc>
          <w:tcPr>
            <w:tcW w:w="0" w:type="dxa"/>
            <w:vAlign w:val="bottom"/>
          </w:tcPr>
          <w:p>
            <w:pPr>
              <w:spacing w:after="0"/>
              <w:rPr>
                <w:sz w:val="1"/>
                <w:szCs w:val="1"/>
                <w:color w:val="auto"/>
              </w:rPr>
            </w:pPr>
          </w:p>
        </w:tc>
      </w:tr>
      <w:tr>
        <w:trPr>
          <w:trHeight w:val="213"/>
        </w:trPr>
        <w:tc>
          <w:tcPr>
            <w:tcW w:w="5900" w:type="dxa"/>
            <w:vAlign w:val="bottom"/>
          </w:tcPr>
          <w:p>
            <w:pPr>
              <w:ind w:left="360"/>
              <w:spacing w:after="0"/>
              <w:rPr>
                <w:sz w:val="20"/>
                <w:szCs w:val="20"/>
                <w:color w:val="auto"/>
              </w:rPr>
            </w:pPr>
            <w:r>
              <w:rPr>
                <w:rFonts w:ascii="Arial" w:cs="Arial" w:eastAsia="Arial" w:hAnsi="Arial"/>
                <w:sz w:val="16"/>
                <w:szCs w:val="16"/>
                <w:color w:val="auto"/>
              </w:rPr>
              <w:t>Loss on extinguishment of debt and write-off of debt issuance costs</w:t>
            </w: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2,390</w:t>
            </w:r>
          </w:p>
        </w:tc>
        <w:tc>
          <w:tcPr>
            <w:tcW w:w="0" w:type="dxa"/>
            <w:vAlign w:val="bottom"/>
          </w:tcPr>
          <w:p>
            <w:pPr>
              <w:spacing w:after="0"/>
              <w:rPr>
                <w:sz w:val="1"/>
                <w:szCs w:val="1"/>
                <w:color w:val="auto"/>
              </w:rPr>
            </w:pPr>
          </w:p>
        </w:tc>
      </w:tr>
      <w:tr>
        <w:trPr>
          <w:trHeight w:val="219"/>
        </w:trPr>
        <w:tc>
          <w:tcPr>
            <w:tcW w:w="5900" w:type="dxa"/>
            <w:vAlign w:val="bottom"/>
            <w:shd w:val="clear" w:color="auto" w:fill="BFE4FF"/>
          </w:tcPr>
          <w:p>
            <w:pPr>
              <w:ind w:left="360"/>
              <w:spacing w:after="0"/>
              <w:rPr>
                <w:sz w:val="20"/>
                <w:szCs w:val="20"/>
                <w:color w:val="auto"/>
              </w:rPr>
            </w:pPr>
            <w:r>
              <w:rPr>
                <w:rFonts w:ascii="Arial" w:cs="Arial" w:eastAsia="Arial" w:hAnsi="Arial"/>
                <w:sz w:val="16"/>
                <w:szCs w:val="16"/>
                <w:color w:val="auto"/>
              </w:rPr>
              <w:t>Derivative payments on interest rate swap</w:t>
            </w:r>
          </w:p>
        </w:tc>
        <w:tc>
          <w:tcPr>
            <w:tcW w:w="280" w:type="dxa"/>
            <w:vAlign w:val="bottom"/>
            <w:shd w:val="clear" w:color="auto" w:fill="BFE4FF"/>
          </w:tcPr>
          <w:p>
            <w:pPr>
              <w:spacing w:after="0"/>
              <w:rPr>
                <w:sz w:val="19"/>
                <w:szCs w:val="19"/>
                <w:color w:val="auto"/>
              </w:rPr>
            </w:pPr>
          </w:p>
        </w:tc>
        <w:tc>
          <w:tcPr>
            <w:tcW w:w="1080" w:type="dxa"/>
            <w:vAlign w:val="bottom"/>
            <w:gridSpan w:val="2"/>
            <w:shd w:val="clear" w:color="auto" w:fill="BFE4FF"/>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shd w:val="clear" w:color="auto" w:fill="BFE4FF"/>
          </w:tcPr>
          <w:p>
            <w:pPr>
              <w:spacing w:after="0"/>
              <w:rPr>
                <w:sz w:val="19"/>
                <w:szCs w:val="19"/>
                <w:color w:val="auto"/>
              </w:rPr>
            </w:pPr>
          </w:p>
        </w:tc>
        <w:tc>
          <w:tcPr>
            <w:tcW w:w="920" w:type="dxa"/>
            <w:vAlign w:val="bottom"/>
            <w:gridSpan w:val="2"/>
            <w:shd w:val="clear" w:color="auto" w:fill="BFE4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BFE4FF"/>
          </w:tcPr>
          <w:p>
            <w:pPr>
              <w:spacing w:after="0"/>
              <w:rPr>
                <w:sz w:val="19"/>
                <w:szCs w:val="19"/>
                <w:color w:val="auto"/>
              </w:rPr>
            </w:pPr>
          </w:p>
        </w:tc>
        <w:tc>
          <w:tcPr>
            <w:tcW w:w="1080" w:type="dxa"/>
            <w:vAlign w:val="bottom"/>
            <w:gridSpan w:val="2"/>
            <w:shd w:val="clear" w:color="auto" w:fill="BFE4FF"/>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shd w:val="clear" w:color="auto" w:fill="BFE4FF"/>
          </w:tcPr>
          <w:p>
            <w:pPr>
              <w:spacing w:after="0"/>
              <w:rPr>
                <w:sz w:val="19"/>
                <w:szCs w:val="19"/>
                <w:color w:val="auto"/>
              </w:rPr>
            </w:pPr>
          </w:p>
        </w:tc>
        <w:tc>
          <w:tcPr>
            <w:tcW w:w="8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1,717</w:t>
            </w:r>
          </w:p>
        </w:tc>
        <w:tc>
          <w:tcPr>
            <w:tcW w:w="0" w:type="dxa"/>
            <w:vAlign w:val="bottom"/>
          </w:tcPr>
          <w:p>
            <w:pPr>
              <w:spacing w:after="0"/>
              <w:rPr>
                <w:sz w:val="1"/>
                <w:szCs w:val="1"/>
                <w:color w:val="auto"/>
              </w:rPr>
            </w:pPr>
          </w:p>
        </w:tc>
      </w:tr>
      <w:tr>
        <w:trPr>
          <w:trHeight w:val="213"/>
        </w:trPr>
        <w:tc>
          <w:tcPr>
            <w:tcW w:w="5900" w:type="dxa"/>
            <w:vAlign w:val="bottom"/>
          </w:tcPr>
          <w:p>
            <w:pPr>
              <w:ind w:left="360"/>
              <w:spacing w:after="0"/>
              <w:rPr>
                <w:sz w:val="20"/>
                <w:szCs w:val="20"/>
                <w:color w:val="auto"/>
              </w:rPr>
            </w:pPr>
            <w:r>
              <w:rPr>
                <w:rFonts w:ascii="Arial" w:cs="Arial" w:eastAsia="Arial" w:hAnsi="Arial"/>
                <w:sz w:val="16"/>
                <w:szCs w:val="16"/>
                <w:color w:val="auto"/>
              </w:rPr>
              <w:t>Loss on interest rate swap</w:t>
            </w: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2,033</w:t>
            </w:r>
          </w:p>
        </w:tc>
        <w:tc>
          <w:tcPr>
            <w:tcW w:w="0" w:type="dxa"/>
            <w:vAlign w:val="bottom"/>
          </w:tcPr>
          <w:p>
            <w:pPr>
              <w:spacing w:after="0"/>
              <w:rPr>
                <w:sz w:val="1"/>
                <w:szCs w:val="1"/>
                <w:color w:val="auto"/>
              </w:rPr>
            </w:pPr>
          </w:p>
        </w:tc>
      </w:tr>
      <w:tr>
        <w:trPr>
          <w:trHeight w:val="219"/>
        </w:trPr>
        <w:tc>
          <w:tcPr>
            <w:tcW w:w="5900" w:type="dxa"/>
            <w:vAlign w:val="bottom"/>
            <w:shd w:val="clear" w:color="auto" w:fill="BFE4FF"/>
          </w:tcPr>
          <w:p>
            <w:pPr>
              <w:ind w:left="360"/>
              <w:spacing w:after="0"/>
              <w:rPr>
                <w:sz w:val="20"/>
                <w:szCs w:val="20"/>
                <w:color w:val="auto"/>
              </w:rPr>
            </w:pPr>
            <w:r>
              <w:rPr>
                <w:rFonts w:ascii="Arial" w:cs="Arial" w:eastAsia="Arial" w:hAnsi="Arial"/>
                <w:sz w:val="16"/>
                <w:szCs w:val="16"/>
                <w:color w:val="auto"/>
              </w:rPr>
              <w:t>Other income, net</w:t>
            </w:r>
          </w:p>
        </w:tc>
        <w:tc>
          <w:tcPr>
            <w:tcW w:w="280" w:type="dxa"/>
            <w:vAlign w:val="bottom"/>
            <w:tcBorders>
              <w:bottom w:val="single" w:sz="8" w:color="auto"/>
            </w:tcBorders>
            <w:shd w:val="clear" w:color="auto" w:fill="BFE4FF"/>
          </w:tcPr>
          <w:p>
            <w:pPr>
              <w:spacing w:after="0"/>
              <w:rPr>
                <w:sz w:val="19"/>
                <w:szCs w:val="19"/>
                <w:color w:val="auto"/>
              </w:rPr>
            </w:pPr>
          </w:p>
        </w:tc>
        <w:tc>
          <w:tcPr>
            <w:tcW w:w="9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(845)</w:t>
            </w:r>
          </w:p>
        </w:tc>
        <w:tc>
          <w:tcPr>
            <w:tcW w:w="120" w:type="dxa"/>
            <w:vAlign w:val="bottom"/>
            <w:shd w:val="clear" w:color="auto" w:fill="BFE4FF"/>
          </w:tcPr>
          <w:p>
            <w:pPr>
              <w:spacing w:after="0"/>
              <w:rPr>
                <w:sz w:val="19"/>
                <w:szCs w:val="19"/>
                <w:color w:val="auto"/>
              </w:rPr>
            </w:pPr>
          </w:p>
        </w:tc>
        <w:tc>
          <w:tcPr>
            <w:tcW w:w="440" w:type="dxa"/>
            <w:vAlign w:val="bottom"/>
            <w:tcBorders>
              <w:bottom w:val="single" w:sz="8" w:color="auto"/>
            </w:tcBorders>
            <w:shd w:val="clear" w:color="auto" w:fill="BFE4FF"/>
          </w:tcPr>
          <w:p>
            <w:pPr>
              <w:spacing w:after="0"/>
              <w:rPr>
                <w:sz w:val="19"/>
                <w:szCs w:val="19"/>
                <w:color w:val="auto"/>
              </w:rPr>
            </w:pPr>
          </w:p>
        </w:tc>
        <w:tc>
          <w:tcPr>
            <w:tcW w:w="8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(2,578)</w:t>
            </w:r>
          </w:p>
        </w:tc>
        <w:tc>
          <w:tcPr>
            <w:tcW w:w="100" w:type="dxa"/>
            <w:vAlign w:val="bottom"/>
            <w:shd w:val="clear" w:color="auto" w:fill="BFE4FF"/>
          </w:tcPr>
          <w:p>
            <w:pPr>
              <w:spacing w:after="0"/>
              <w:rPr>
                <w:sz w:val="19"/>
                <w:szCs w:val="19"/>
                <w:color w:val="auto"/>
              </w:rPr>
            </w:pPr>
          </w:p>
        </w:tc>
        <w:tc>
          <w:tcPr>
            <w:tcW w:w="280" w:type="dxa"/>
            <w:vAlign w:val="bottom"/>
            <w:tcBorders>
              <w:bottom w:val="single" w:sz="8" w:color="auto"/>
            </w:tcBorders>
            <w:shd w:val="clear" w:color="auto" w:fill="BFE4FF"/>
          </w:tcPr>
          <w:p>
            <w:pPr>
              <w:spacing w:after="0"/>
              <w:rPr>
                <w:sz w:val="19"/>
                <w:szCs w:val="19"/>
                <w:color w:val="auto"/>
              </w:rPr>
            </w:pPr>
          </w:p>
        </w:tc>
        <w:tc>
          <w:tcPr>
            <w:tcW w:w="9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(5,064)</w:t>
            </w:r>
          </w:p>
        </w:tc>
        <w:tc>
          <w:tcPr>
            <w:tcW w:w="100" w:type="dxa"/>
            <w:vAlign w:val="bottom"/>
            <w:shd w:val="clear" w:color="auto" w:fill="BFE4FF"/>
          </w:tcPr>
          <w:p>
            <w:pPr>
              <w:spacing w:after="0"/>
              <w:rPr>
                <w:sz w:val="19"/>
                <w:szCs w:val="19"/>
                <w:color w:val="auto"/>
              </w:rPr>
            </w:pPr>
          </w:p>
        </w:tc>
        <w:tc>
          <w:tcPr>
            <w:tcW w:w="440" w:type="dxa"/>
            <w:vAlign w:val="bottom"/>
            <w:tcBorders>
              <w:bottom w:val="single" w:sz="8" w:color="auto"/>
            </w:tcBorders>
            <w:shd w:val="clear" w:color="auto" w:fill="BFE4FF"/>
          </w:tcPr>
          <w:p>
            <w:pPr>
              <w:spacing w:after="0"/>
              <w:rPr>
                <w:sz w:val="19"/>
                <w:szCs w:val="19"/>
                <w:color w:val="auto"/>
              </w:rPr>
            </w:pPr>
          </w:p>
        </w:tc>
        <w:tc>
          <w:tcPr>
            <w:tcW w:w="8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(5,366)</w:t>
            </w:r>
          </w:p>
        </w:tc>
        <w:tc>
          <w:tcPr>
            <w:tcW w:w="0" w:type="dxa"/>
            <w:vAlign w:val="bottom"/>
          </w:tcPr>
          <w:p>
            <w:pPr>
              <w:spacing w:after="0"/>
              <w:rPr>
                <w:sz w:val="1"/>
                <w:szCs w:val="1"/>
                <w:color w:val="auto"/>
              </w:rPr>
            </w:pPr>
          </w:p>
        </w:tc>
      </w:tr>
      <w:tr>
        <w:trPr>
          <w:trHeight w:val="146"/>
        </w:trPr>
        <w:tc>
          <w:tcPr>
            <w:tcW w:w="5900" w:type="dxa"/>
            <w:vAlign w:val="bottom"/>
          </w:tcPr>
          <w:p>
            <w:pPr>
              <w:ind w:left="20"/>
              <w:spacing w:after="0" w:line="146" w:lineRule="exact"/>
              <w:rPr>
                <w:sz w:val="20"/>
                <w:szCs w:val="20"/>
                <w:color w:val="auto"/>
              </w:rPr>
            </w:pPr>
            <w:r>
              <w:rPr>
                <w:rFonts w:ascii="Arial" w:cs="Arial" w:eastAsia="Arial" w:hAnsi="Arial"/>
                <w:sz w:val="16"/>
                <w:szCs w:val="16"/>
                <w:color w:val="auto"/>
              </w:rPr>
              <w:t>Loss before benefit (provision) for income taxes and share of net income from joint</w:t>
            </w:r>
          </w:p>
        </w:tc>
        <w:tc>
          <w:tcPr>
            <w:tcW w:w="28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(14,564)</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(4,693)</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(31,069)</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(22,442)</w:t>
            </w:r>
          </w:p>
        </w:tc>
        <w:tc>
          <w:tcPr>
            <w:tcW w:w="0" w:type="dxa"/>
            <w:vAlign w:val="bottom"/>
          </w:tcPr>
          <w:p>
            <w:pPr>
              <w:spacing w:after="0"/>
              <w:rPr>
                <w:sz w:val="1"/>
                <w:szCs w:val="1"/>
                <w:color w:val="auto"/>
              </w:rPr>
            </w:pPr>
          </w:p>
        </w:tc>
      </w:tr>
      <w:tr>
        <w:trPr>
          <w:trHeight w:val="209"/>
        </w:trPr>
        <w:tc>
          <w:tcPr>
            <w:tcW w:w="5900" w:type="dxa"/>
            <w:vAlign w:val="bottom"/>
          </w:tcPr>
          <w:p>
            <w:pPr>
              <w:ind w:left="20"/>
              <w:spacing w:after="0"/>
              <w:rPr>
                <w:sz w:val="20"/>
                <w:szCs w:val="20"/>
                <w:color w:val="auto"/>
              </w:rPr>
            </w:pPr>
            <w:r>
              <w:rPr>
                <w:rFonts w:ascii="Arial" w:cs="Arial" w:eastAsia="Arial" w:hAnsi="Arial"/>
                <w:sz w:val="16"/>
                <w:szCs w:val="16"/>
                <w:color w:val="auto"/>
              </w:rPr>
              <w:t>venture</w:t>
            </w: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00" w:type="dxa"/>
            <w:vAlign w:val="bottom"/>
            <w:shd w:val="clear" w:color="auto" w:fill="BFE4FF"/>
          </w:tcPr>
          <w:p>
            <w:pPr>
              <w:ind w:left="360"/>
              <w:spacing w:after="0"/>
              <w:rPr>
                <w:sz w:val="20"/>
                <w:szCs w:val="20"/>
                <w:color w:val="auto"/>
              </w:rPr>
            </w:pPr>
            <w:r>
              <w:rPr>
                <w:rFonts w:ascii="Arial" w:cs="Arial" w:eastAsia="Arial" w:hAnsi="Arial"/>
                <w:sz w:val="16"/>
                <w:szCs w:val="16"/>
                <w:color w:val="auto"/>
              </w:rPr>
              <w:t>Benefit (provision) for income taxes</w:t>
            </w:r>
          </w:p>
        </w:tc>
        <w:tc>
          <w:tcPr>
            <w:tcW w:w="280" w:type="dxa"/>
            <w:vAlign w:val="bottom"/>
            <w:shd w:val="clear" w:color="auto" w:fill="BFE4FF"/>
          </w:tcPr>
          <w:p>
            <w:pPr>
              <w:spacing w:after="0"/>
              <w:rPr>
                <w:sz w:val="19"/>
                <w:szCs w:val="19"/>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(107)</w:t>
            </w:r>
          </w:p>
        </w:tc>
        <w:tc>
          <w:tcPr>
            <w:tcW w:w="120" w:type="dxa"/>
            <w:vAlign w:val="bottom"/>
            <w:shd w:val="clear" w:color="auto" w:fill="BFE4FF"/>
          </w:tcPr>
          <w:p>
            <w:pPr>
              <w:spacing w:after="0"/>
              <w:rPr>
                <w:sz w:val="19"/>
                <w:szCs w:val="19"/>
                <w:color w:val="auto"/>
              </w:rPr>
            </w:pPr>
          </w:p>
        </w:tc>
        <w:tc>
          <w:tcPr>
            <w:tcW w:w="440" w:type="dxa"/>
            <w:vAlign w:val="bottom"/>
            <w:shd w:val="clear" w:color="auto" w:fill="BFE4FF"/>
          </w:tcPr>
          <w:p>
            <w:pPr>
              <w:spacing w:after="0"/>
              <w:rPr>
                <w:sz w:val="19"/>
                <w:szCs w:val="19"/>
                <w:color w:val="auto"/>
              </w:rPr>
            </w:pPr>
          </w:p>
        </w:tc>
        <w:tc>
          <w:tcPr>
            <w:tcW w:w="8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1,144</w:t>
            </w:r>
          </w:p>
        </w:tc>
        <w:tc>
          <w:tcPr>
            <w:tcW w:w="100" w:type="dxa"/>
            <w:vAlign w:val="bottom"/>
            <w:shd w:val="clear" w:color="auto" w:fill="BFE4FF"/>
          </w:tcPr>
          <w:p>
            <w:pPr>
              <w:spacing w:after="0"/>
              <w:rPr>
                <w:sz w:val="19"/>
                <w:szCs w:val="19"/>
                <w:color w:val="auto"/>
              </w:rPr>
            </w:pPr>
          </w:p>
        </w:tc>
        <w:tc>
          <w:tcPr>
            <w:tcW w:w="280" w:type="dxa"/>
            <w:vAlign w:val="bottom"/>
            <w:shd w:val="clear" w:color="auto" w:fill="BFE4FF"/>
          </w:tcPr>
          <w:p>
            <w:pPr>
              <w:spacing w:after="0"/>
              <w:rPr>
                <w:sz w:val="19"/>
                <w:szCs w:val="19"/>
                <w:color w:val="auto"/>
              </w:rPr>
            </w:pPr>
          </w:p>
        </w:tc>
        <w:tc>
          <w:tcPr>
            <w:tcW w:w="9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(1,621)</w:t>
            </w:r>
          </w:p>
        </w:tc>
        <w:tc>
          <w:tcPr>
            <w:tcW w:w="100" w:type="dxa"/>
            <w:vAlign w:val="bottom"/>
            <w:shd w:val="clear" w:color="auto" w:fill="BFE4FF"/>
          </w:tcPr>
          <w:p>
            <w:pPr>
              <w:spacing w:after="0"/>
              <w:rPr>
                <w:sz w:val="19"/>
                <w:szCs w:val="19"/>
                <w:color w:val="auto"/>
              </w:rPr>
            </w:pPr>
          </w:p>
        </w:tc>
        <w:tc>
          <w:tcPr>
            <w:tcW w:w="440" w:type="dxa"/>
            <w:vAlign w:val="bottom"/>
            <w:shd w:val="clear" w:color="auto" w:fill="BFE4FF"/>
          </w:tcPr>
          <w:p>
            <w:pPr>
              <w:spacing w:after="0"/>
              <w:rPr>
                <w:sz w:val="19"/>
                <w:szCs w:val="19"/>
                <w:color w:val="auto"/>
              </w:rPr>
            </w:pPr>
          </w:p>
        </w:tc>
        <w:tc>
          <w:tcPr>
            <w:tcW w:w="8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1,756</w:t>
            </w:r>
          </w:p>
        </w:tc>
        <w:tc>
          <w:tcPr>
            <w:tcW w:w="0" w:type="dxa"/>
            <w:vAlign w:val="bottom"/>
          </w:tcPr>
          <w:p>
            <w:pPr>
              <w:spacing w:after="0"/>
              <w:rPr>
                <w:sz w:val="1"/>
                <w:szCs w:val="1"/>
                <w:color w:val="auto"/>
              </w:rPr>
            </w:pPr>
          </w:p>
        </w:tc>
      </w:tr>
      <w:tr>
        <w:trPr>
          <w:trHeight w:val="213"/>
        </w:trPr>
        <w:tc>
          <w:tcPr>
            <w:tcW w:w="5900" w:type="dxa"/>
            <w:vAlign w:val="bottom"/>
            <w:tcBorders>
              <w:bottom w:val="single" w:sz="8" w:color="BFE4FF"/>
            </w:tcBorders>
          </w:tcPr>
          <w:p>
            <w:pPr>
              <w:ind w:left="360"/>
              <w:spacing w:after="0"/>
              <w:rPr>
                <w:sz w:val="20"/>
                <w:szCs w:val="20"/>
                <w:color w:val="auto"/>
              </w:rPr>
            </w:pPr>
            <w:r>
              <w:rPr>
                <w:rFonts w:ascii="Arial" w:cs="Arial" w:eastAsia="Arial" w:hAnsi="Arial"/>
                <w:sz w:val="16"/>
                <w:szCs w:val="16"/>
                <w:color w:val="auto"/>
              </w:rPr>
              <w:t>Share of net income from joint venture</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2,657</w:t>
            </w:r>
          </w:p>
        </w:tc>
        <w:tc>
          <w:tcPr>
            <w:tcW w:w="120" w:type="dxa"/>
            <w:vAlign w:val="bottom"/>
            <w:tcBorders>
              <w:bottom w:val="single" w:sz="8" w:color="BFE4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2,805</w:t>
            </w:r>
          </w:p>
        </w:tc>
        <w:tc>
          <w:tcPr>
            <w:tcW w:w="100" w:type="dxa"/>
            <w:vAlign w:val="bottom"/>
            <w:tcBorders>
              <w:bottom w:val="single" w:sz="8" w:color="BFE4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6,592</w:t>
            </w:r>
          </w:p>
        </w:tc>
        <w:tc>
          <w:tcPr>
            <w:tcW w:w="100" w:type="dxa"/>
            <w:vAlign w:val="bottom"/>
            <w:tcBorders>
              <w:bottom w:val="single" w:sz="8" w:color="BFE4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6,261</w:t>
            </w:r>
          </w:p>
        </w:tc>
        <w:tc>
          <w:tcPr>
            <w:tcW w:w="0" w:type="dxa"/>
            <w:vAlign w:val="bottom"/>
          </w:tcPr>
          <w:p>
            <w:pPr>
              <w:spacing w:after="0"/>
              <w:rPr>
                <w:sz w:val="1"/>
                <w:szCs w:val="1"/>
                <w:color w:val="auto"/>
              </w:rPr>
            </w:pPr>
          </w:p>
        </w:tc>
      </w:tr>
      <w:tr>
        <w:trPr>
          <w:trHeight w:val="213"/>
        </w:trPr>
        <w:tc>
          <w:tcPr>
            <w:tcW w:w="5900" w:type="dxa"/>
            <w:vAlign w:val="bottom"/>
            <w:shd w:val="clear" w:color="auto" w:fill="BFE4FF"/>
          </w:tcPr>
          <w:p>
            <w:pPr>
              <w:ind w:left="20"/>
              <w:spacing w:after="0"/>
              <w:rPr>
                <w:sz w:val="20"/>
                <w:szCs w:val="20"/>
                <w:color w:val="auto"/>
              </w:rPr>
            </w:pPr>
            <w:r>
              <w:rPr>
                <w:rFonts w:ascii="Arial" w:cs="Arial" w:eastAsia="Arial" w:hAnsi="Arial"/>
                <w:sz w:val="16"/>
                <w:szCs w:val="16"/>
                <w:b w:val="1"/>
                <w:bCs w:val="1"/>
                <w:color w:val="auto"/>
              </w:rPr>
              <w:t>Loss from continuing operations</w:t>
            </w:r>
          </w:p>
        </w:tc>
        <w:tc>
          <w:tcPr>
            <w:tcW w:w="280" w:type="dxa"/>
            <w:vAlign w:val="bottom"/>
            <w:shd w:val="clear" w:color="auto" w:fill="BFE4FF"/>
          </w:tcPr>
          <w:p>
            <w:pPr>
              <w:spacing w:after="0"/>
              <w:rPr>
                <w:sz w:val="18"/>
                <w:szCs w:val="18"/>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(12,014)</w:t>
            </w:r>
          </w:p>
        </w:tc>
        <w:tc>
          <w:tcPr>
            <w:tcW w:w="120" w:type="dxa"/>
            <w:vAlign w:val="bottom"/>
            <w:shd w:val="clear" w:color="auto" w:fill="BFE4FF"/>
          </w:tcPr>
          <w:p>
            <w:pPr>
              <w:spacing w:after="0"/>
              <w:rPr>
                <w:sz w:val="18"/>
                <w:szCs w:val="18"/>
                <w:color w:val="auto"/>
              </w:rPr>
            </w:pPr>
          </w:p>
        </w:tc>
        <w:tc>
          <w:tcPr>
            <w:tcW w:w="440" w:type="dxa"/>
            <w:vAlign w:val="bottom"/>
            <w:shd w:val="clear" w:color="auto" w:fill="BFE4FF"/>
          </w:tcPr>
          <w:p>
            <w:pPr>
              <w:spacing w:after="0"/>
              <w:rPr>
                <w:sz w:val="18"/>
                <w:szCs w:val="18"/>
                <w:color w:val="auto"/>
              </w:rPr>
            </w:pPr>
          </w:p>
        </w:tc>
        <w:tc>
          <w:tcPr>
            <w:tcW w:w="8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(744)</w:t>
            </w:r>
          </w:p>
        </w:tc>
        <w:tc>
          <w:tcPr>
            <w:tcW w:w="100" w:type="dxa"/>
            <w:vAlign w:val="bottom"/>
            <w:shd w:val="clear" w:color="auto" w:fill="BFE4FF"/>
          </w:tcPr>
          <w:p>
            <w:pPr>
              <w:spacing w:after="0"/>
              <w:rPr>
                <w:sz w:val="18"/>
                <w:szCs w:val="18"/>
                <w:color w:val="auto"/>
              </w:rPr>
            </w:pPr>
          </w:p>
        </w:tc>
        <w:tc>
          <w:tcPr>
            <w:tcW w:w="280" w:type="dxa"/>
            <w:vAlign w:val="bottom"/>
            <w:shd w:val="clear" w:color="auto" w:fill="BFE4FF"/>
          </w:tcPr>
          <w:p>
            <w:pPr>
              <w:spacing w:after="0"/>
              <w:rPr>
                <w:sz w:val="18"/>
                <w:szCs w:val="18"/>
                <w:color w:val="auto"/>
              </w:rPr>
            </w:pPr>
          </w:p>
        </w:tc>
        <w:tc>
          <w:tcPr>
            <w:tcW w:w="9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(26,098)</w:t>
            </w:r>
          </w:p>
        </w:tc>
        <w:tc>
          <w:tcPr>
            <w:tcW w:w="100" w:type="dxa"/>
            <w:vAlign w:val="bottom"/>
            <w:shd w:val="clear" w:color="auto" w:fill="BFE4FF"/>
          </w:tcPr>
          <w:p>
            <w:pPr>
              <w:spacing w:after="0"/>
              <w:rPr>
                <w:sz w:val="18"/>
                <w:szCs w:val="18"/>
                <w:color w:val="auto"/>
              </w:rPr>
            </w:pPr>
          </w:p>
        </w:tc>
        <w:tc>
          <w:tcPr>
            <w:tcW w:w="440" w:type="dxa"/>
            <w:vAlign w:val="bottom"/>
            <w:shd w:val="clear" w:color="auto" w:fill="BFE4FF"/>
          </w:tcPr>
          <w:p>
            <w:pPr>
              <w:spacing w:after="0"/>
              <w:rPr>
                <w:sz w:val="18"/>
                <w:szCs w:val="18"/>
                <w:color w:val="auto"/>
              </w:rPr>
            </w:pPr>
          </w:p>
        </w:tc>
        <w:tc>
          <w:tcPr>
            <w:tcW w:w="8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(14,425)</w:t>
            </w:r>
          </w:p>
        </w:tc>
        <w:tc>
          <w:tcPr>
            <w:tcW w:w="0" w:type="dxa"/>
            <w:vAlign w:val="bottom"/>
          </w:tcPr>
          <w:p>
            <w:pPr>
              <w:spacing w:after="0"/>
              <w:rPr>
                <w:sz w:val="1"/>
                <w:szCs w:val="1"/>
                <w:color w:val="auto"/>
              </w:rPr>
            </w:pPr>
          </w:p>
        </w:tc>
      </w:tr>
      <w:tr>
        <w:trPr>
          <w:trHeight w:val="213"/>
        </w:trPr>
        <w:tc>
          <w:tcPr>
            <w:tcW w:w="5900" w:type="dxa"/>
            <w:vAlign w:val="bottom"/>
          </w:tcPr>
          <w:p>
            <w:pPr>
              <w:ind w:left="20"/>
              <w:spacing w:after="0"/>
              <w:rPr>
                <w:sz w:val="20"/>
                <w:szCs w:val="20"/>
                <w:color w:val="auto"/>
              </w:rPr>
            </w:pPr>
            <w:r>
              <w:rPr>
                <w:rFonts w:ascii="Arial" w:cs="Arial" w:eastAsia="Arial" w:hAnsi="Arial"/>
                <w:sz w:val="16"/>
                <w:szCs w:val="16"/>
                <w:color w:val="auto"/>
              </w:rPr>
              <w:t>Income from discontinued operations, net of tax</w:t>
            </w: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1,200</w:t>
            </w:r>
          </w:p>
        </w:tc>
        <w:tc>
          <w:tcPr>
            <w:tcW w:w="0" w:type="dxa"/>
            <w:vAlign w:val="bottom"/>
          </w:tcPr>
          <w:p>
            <w:pPr>
              <w:spacing w:after="0"/>
              <w:rPr>
                <w:sz w:val="1"/>
                <w:szCs w:val="1"/>
                <w:color w:val="auto"/>
              </w:rPr>
            </w:pPr>
          </w:p>
        </w:tc>
      </w:tr>
      <w:tr>
        <w:trPr>
          <w:trHeight w:val="212"/>
        </w:trPr>
        <w:tc>
          <w:tcPr>
            <w:tcW w:w="5900" w:type="dxa"/>
            <w:vAlign w:val="bottom"/>
            <w:tcBorders>
              <w:top w:val="single" w:sz="8" w:color="BFE4FF"/>
            </w:tcBorders>
            <w:shd w:val="clear" w:color="auto" w:fill="BFE4FF"/>
          </w:tcPr>
          <w:p>
            <w:pPr>
              <w:ind w:left="20"/>
              <w:spacing w:after="0"/>
              <w:rPr>
                <w:sz w:val="20"/>
                <w:szCs w:val="20"/>
                <w:color w:val="auto"/>
              </w:rPr>
            </w:pPr>
            <w:r>
              <w:rPr>
                <w:rFonts w:ascii="Arial" w:cs="Arial" w:eastAsia="Arial" w:hAnsi="Arial"/>
                <w:sz w:val="16"/>
                <w:szCs w:val="16"/>
                <w:b w:val="1"/>
                <w:bCs w:val="1"/>
                <w:color w:val="auto"/>
              </w:rPr>
              <w:t>Net income (loss)</w:t>
            </w:r>
          </w:p>
        </w:tc>
        <w:tc>
          <w:tcPr>
            <w:tcW w:w="280" w:type="dxa"/>
            <w:vAlign w:val="bottom"/>
            <w:tcBorders>
              <w:top w:val="single" w:sz="8" w:color="auto"/>
              <w:bottom w:val="single" w:sz="8" w:color="auto"/>
            </w:tcBorders>
            <w:shd w:val="clear" w:color="auto" w:fill="BFE4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(12,014)</w:t>
            </w:r>
          </w:p>
        </w:tc>
        <w:tc>
          <w:tcPr>
            <w:tcW w:w="120" w:type="dxa"/>
            <w:vAlign w:val="bottom"/>
            <w:tcBorders>
              <w:top w:val="single" w:sz="8" w:color="BFE4FF"/>
            </w:tcBorders>
            <w:shd w:val="clear" w:color="auto" w:fill="BFE4FF"/>
          </w:tcPr>
          <w:p>
            <w:pPr>
              <w:spacing w:after="0"/>
              <w:rPr>
                <w:sz w:val="18"/>
                <w:szCs w:val="18"/>
                <w:color w:val="auto"/>
              </w:rPr>
            </w:pPr>
          </w:p>
        </w:tc>
        <w:tc>
          <w:tcPr>
            <w:tcW w:w="440" w:type="dxa"/>
            <w:vAlign w:val="bottom"/>
            <w:tcBorders>
              <w:top w:val="single" w:sz="8" w:color="auto"/>
              <w:bottom w:val="single" w:sz="8" w:color="auto"/>
            </w:tcBorders>
            <w:shd w:val="clear" w:color="auto" w:fill="BFE4FF"/>
          </w:tcPr>
          <w:p>
            <w:pPr>
              <w:jc w:val="right"/>
              <w:ind w:right="25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456</w:t>
            </w:r>
          </w:p>
        </w:tc>
        <w:tc>
          <w:tcPr>
            <w:tcW w:w="100" w:type="dxa"/>
            <w:vAlign w:val="bottom"/>
            <w:tcBorders>
              <w:top w:val="single" w:sz="8" w:color="BFE4FF"/>
            </w:tcBorders>
            <w:shd w:val="clear" w:color="auto" w:fill="BFE4FF"/>
          </w:tcPr>
          <w:p>
            <w:pPr>
              <w:spacing w:after="0"/>
              <w:rPr>
                <w:sz w:val="18"/>
                <w:szCs w:val="18"/>
                <w:color w:val="auto"/>
              </w:rPr>
            </w:pPr>
          </w:p>
        </w:tc>
        <w:tc>
          <w:tcPr>
            <w:tcW w:w="280" w:type="dxa"/>
            <w:vAlign w:val="bottom"/>
            <w:tcBorders>
              <w:top w:val="single" w:sz="8" w:color="auto"/>
              <w:bottom w:val="single" w:sz="8" w:color="auto"/>
            </w:tcBorders>
            <w:shd w:val="clear" w:color="auto" w:fill="BFE4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(26,098)</w:t>
            </w:r>
          </w:p>
        </w:tc>
        <w:tc>
          <w:tcPr>
            <w:tcW w:w="100" w:type="dxa"/>
            <w:vAlign w:val="bottom"/>
            <w:tcBorders>
              <w:top w:val="single" w:sz="8" w:color="BFE4FF"/>
            </w:tcBorders>
            <w:shd w:val="clear" w:color="auto" w:fill="BFE4FF"/>
          </w:tcPr>
          <w:p>
            <w:pPr>
              <w:spacing w:after="0"/>
              <w:rPr>
                <w:sz w:val="18"/>
                <w:szCs w:val="18"/>
                <w:color w:val="auto"/>
              </w:rPr>
            </w:pPr>
          </w:p>
        </w:tc>
        <w:tc>
          <w:tcPr>
            <w:tcW w:w="440" w:type="dxa"/>
            <w:vAlign w:val="bottom"/>
            <w:tcBorders>
              <w:top w:val="single" w:sz="8" w:color="auto"/>
              <w:bottom w:val="single" w:sz="8" w:color="auto"/>
            </w:tcBorders>
            <w:shd w:val="clear" w:color="auto" w:fill="BFE4FF"/>
          </w:tcPr>
          <w:p>
            <w:pPr>
              <w:jc w:val="right"/>
              <w:ind w:right="25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(13,225)</w:t>
            </w:r>
          </w:p>
        </w:tc>
        <w:tc>
          <w:tcPr>
            <w:tcW w:w="0" w:type="dxa"/>
            <w:vAlign w:val="bottom"/>
          </w:tcPr>
          <w:p>
            <w:pPr>
              <w:spacing w:after="0"/>
              <w:rPr>
                <w:sz w:val="1"/>
                <w:szCs w:val="1"/>
                <w:color w:val="auto"/>
              </w:rPr>
            </w:pPr>
          </w:p>
        </w:tc>
      </w:tr>
      <w:tr>
        <w:trPr>
          <w:trHeight w:val="193"/>
        </w:trPr>
        <w:tc>
          <w:tcPr>
            <w:tcW w:w="590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900" w:type="dxa"/>
            <w:vAlign w:val="bottom"/>
            <w:shd w:val="clear" w:color="auto" w:fill="BFE4FF"/>
          </w:tcPr>
          <w:p>
            <w:pPr>
              <w:ind w:left="360"/>
              <w:spacing w:after="0"/>
              <w:rPr>
                <w:sz w:val="20"/>
                <w:szCs w:val="20"/>
                <w:color w:val="auto"/>
              </w:rPr>
            </w:pPr>
            <w:r>
              <w:rPr>
                <w:rFonts w:ascii="Arial" w:cs="Arial" w:eastAsia="Arial" w:hAnsi="Arial"/>
                <w:sz w:val="16"/>
                <w:szCs w:val="16"/>
                <w:color w:val="auto"/>
              </w:rPr>
              <w:t>Foreign currency transaction gain (loss)</w:t>
            </w:r>
          </w:p>
        </w:tc>
        <w:tc>
          <w:tcPr>
            <w:tcW w:w="280" w:type="dxa"/>
            <w:vAlign w:val="bottom"/>
            <w:shd w:val="clear" w:color="auto" w:fill="BFE4FF"/>
          </w:tcPr>
          <w:p>
            <w:pPr>
              <w:spacing w:after="0"/>
              <w:rPr>
                <w:sz w:val="19"/>
                <w:szCs w:val="19"/>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5,387</w:t>
            </w:r>
          </w:p>
        </w:tc>
        <w:tc>
          <w:tcPr>
            <w:tcW w:w="120" w:type="dxa"/>
            <w:vAlign w:val="bottom"/>
            <w:shd w:val="clear" w:color="auto" w:fill="BFE4FF"/>
          </w:tcPr>
          <w:p>
            <w:pPr>
              <w:spacing w:after="0"/>
              <w:rPr>
                <w:sz w:val="19"/>
                <w:szCs w:val="19"/>
                <w:color w:val="auto"/>
              </w:rPr>
            </w:pPr>
          </w:p>
        </w:tc>
        <w:tc>
          <w:tcPr>
            <w:tcW w:w="440" w:type="dxa"/>
            <w:vAlign w:val="bottom"/>
            <w:shd w:val="clear" w:color="auto" w:fill="BFE4FF"/>
          </w:tcPr>
          <w:p>
            <w:pPr>
              <w:spacing w:after="0"/>
              <w:rPr>
                <w:sz w:val="19"/>
                <w:szCs w:val="19"/>
                <w:color w:val="auto"/>
              </w:rPr>
            </w:pPr>
          </w:p>
        </w:tc>
        <w:tc>
          <w:tcPr>
            <w:tcW w:w="8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415</w:t>
            </w:r>
          </w:p>
        </w:tc>
        <w:tc>
          <w:tcPr>
            <w:tcW w:w="100" w:type="dxa"/>
            <w:vAlign w:val="bottom"/>
            <w:shd w:val="clear" w:color="auto" w:fill="BFE4FF"/>
          </w:tcPr>
          <w:p>
            <w:pPr>
              <w:spacing w:after="0"/>
              <w:rPr>
                <w:sz w:val="19"/>
                <w:szCs w:val="19"/>
                <w:color w:val="auto"/>
              </w:rPr>
            </w:pPr>
          </w:p>
        </w:tc>
        <w:tc>
          <w:tcPr>
            <w:tcW w:w="280" w:type="dxa"/>
            <w:vAlign w:val="bottom"/>
            <w:shd w:val="clear" w:color="auto" w:fill="BFE4FF"/>
          </w:tcPr>
          <w:p>
            <w:pPr>
              <w:spacing w:after="0"/>
              <w:rPr>
                <w:sz w:val="19"/>
                <w:szCs w:val="19"/>
                <w:color w:val="auto"/>
              </w:rPr>
            </w:pPr>
          </w:p>
        </w:tc>
        <w:tc>
          <w:tcPr>
            <w:tcW w:w="9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(8,156)</w:t>
            </w:r>
          </w:p>
        </w:tc>
        <w:tc>
          <w:tcPr>
            <w:tcW w:w="100" w:type="dxa"/>
            <w:vAlign w:val="bottom"/>
            <w:shd w:val="clear" w:color="auto" w:fill="BFE4FF"/>
          </w:tcPr>
          <w:p>
            <w:pPr>
              <w:spacing w:after="0"/>
              <w:rPr>
                <w:sz w:val="19"/>
                <w:szCs w:val="19"/>
                <w:color w:val="auto"/>
              </w:rPr>
            </w:pPr>
          </w:p>
        </w:tc>
        <w:tc>
          <w:tcPr>
            <w:tcW w:w="440" w:type="dxa"/>
            <w:vAlign w:val="bottom"/>
            <w:shd w:val="clear" w:color="auto" w:fill="BFE4FF"/>
          </w:tcPr>
          <w:p>
            <w:pPr>
              <w:spacing w:after="0"/>
              <w:rPr>
                <w:sz w:val="19"/>
                <w:szCs w:val="19"/>
                <w:color w:val="auto"/>
              </w:rPr>
            </w:pPr>
          </w:p>
        </w:tc>
        <w:tc>
          <w:tcPr>
            <w:tcW w:w="8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(1,135)</w:t>
            </w:r>
          </w:p>
        </w:tc>
        <w:tc>
          <w:tcPr>
            <w:tcW w:w="0" w:type="dxa"/>
            <w:vAlign w:val="bottom"/>
          </w:tcPr>
          <w:p>
            <w:pPr>
              <w:spacing w:after="0"/>
              <w:rPr>
                <w:sz w:val="1"/>
                <w:szCs w:val="1"/>
                <w:color w:val="auto"/>
              </w:rPr>
            </w:pPr>
          </w:p>
        </w:tc>
      </w:tr>
      <w:tr>
        <w:trPr>
          <w:trHeight w:val="213"/>
        </w:trPr>
        <w:tc>
          <w:tcPr>
            <w:tcW w:w="5900" w:type="dxa"/>
            <w:vAlign w:val="bottom"/>
          </w:tcPr>
          <w:p>
            <w:pPr>
              <w:ind w:left="360"/>
              <w:spacing w:after="0"/>
              <w:rPr>
                <w:sz w:val="20"/>
                <w:szCs w:val="20"/>
                <w:color w:val="auto"/>
              </w:rPr>
            </w:pPr>
            <w:r>
              <w:rPr>
                <w:rFonts w:ascii="Arial" w:cs="Arial" w:eastAsia="Arial" w:hAnsi="Arial"/>
                <w:sz w:val="16"/>
                <w:szCs w:val="16"/>
                <w:color w:val="auto"/>
              </w:rPr>
              <w:t>Interest rate swap:</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00" w:type="dxa"/>
            <w:vAlign w:val="bottom"/>
            <w:shd w:val="clear" w:color="auto" w:fill="BFE4FF"/>
          </w:tcPr>
          <w:p>
            <w:pPr>
              <w:ind w:left="560"/>
              <w:spacing w:after="0"/>
              <w:rPr>
                <w:sz w:val="20"/>
                <w:szCs w:val="20"/>
                <w:color w:val="auto"/>
              </w:rPr>
            </w:pPr>
            <w:r>
              <w:rPr>
                <w:rFonts w:ascii="Arial" w:cs="Arial" w:eastAsia="Arial" w:hAnsi="Arial"/>
                <w:sz w:val="16"/>
                <w:szCs w:val="16"/>
                <w:color w:val="auto"/>
              </w:rPr>
              <w:t>Change in fair value, net of tax</w:t>
            </w:r>
          </w:p>
        </w:tc>
        <w:tc>
          <w:tcPr>
            <w:tcW w:w="280" w:type="dxa"/>
            <w:vAlign w:val="bottom"/>
            <w:shd w:val="clear" w:color="auto" w:fill="BFE4FF"/>
          </w:tcPr>
          <w:p>
            <w:pPr>
              <w:spacing w:after="0"/>
              <w:rPr>
                <w:sz w:val="19"/>
                <w:szCs w:val="19"/>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894</w:t>
            </w:r>
          </w:p>
        </w:tc>
        <w:tc>
          <w:tcPr>
            <w:tcW w:w="120" w:type="dxa"/>
            <w:vAlign w:val="bottom"/>
            <w:shd w:val="clear" w:color="auto" w:fill="BFE4FF"/>
          </w:tcPr>
          <w:p>
            <w:pPr>
              <w:spacing w:after="0"/>
              <w:rPr>
                <w:sz w:val="19"/>
                <w:szCs w:val="19"/>
                <w:color w:val="auto"/>
              </w:rPr>
            </w:pPr>
          </w:p>
        </w:tc>
        <w:tc>
          <w:tcPr>
            <w:tcW w:w="440" w:type="dxa"/>
            <w:vAlign w:val="bottom"/>
            <w:shd w:val="clear" w:color="auto" w:fill="BFE4FF"/>
          </w:tcPr>
          <w:p>
            <w:pPr>
              <w:spacing w:after="0"/>
              <w:rPr>
                <w:sz w:val="19"/>
                <w:szCs w:val="19"/>
                <w:color w:val="auto"/>
              </w:rPr>
            </w:pPr>
          </w:p>
        </w:tc>
        <w:tc>
          <w:tcPr>
            <w:tcW w:w="8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235</w:t>
            </w:r>
          </w:p>
        </w:tc>
        <w:tc>
          <w:tcPr>
            <w:tcW w:w="100" w:type="dxa"/>
            <w:vAlign w:val="bottom"/>
            <w:shd w:val="clear" w:color="auto" w:fill="BFE4FF"/>
          </w:tcPr>
          <w:p>
            <w:pPr>
              <w:spacing w:after="0"/>
              <w:rPr>
                <w:sz w:val="19"/>
                <w:szCs w:val="19"/>
                <w:color w:val="auto"/>
              </w:rPr>
            </w:pPr>
          </w:p>
        </w:tc>
        <w:tc>
          <w:tcPr>
            <w:tcW w:w="280" w:type="dxa"/>
            <w:vAlign w:val="bottom"/>
            <w:shd w:val="clear" w:color="auto" w:fill="BFE4FF"/>
          </w:tcPr>
          <w:p>
            <w:pPr>
              <w:spacing w:after="0"/>
              <w:rPr>
                <w:sz w:val="19"/>
                <w:szCs w:val="19"/>
                <w:color w:val="auto"/>
              </w:rPr>
            </w:pPr>
          </w:p>
        </w:tc>
        <w:tc>
          <w:tcPr>
            <w:tcW w:w="9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3,358</w:t>
            </w:r>
          </w:p>
        </w:tc>
        <w:tc>
          <w:tcPr>
            <w:tcW w:w="100" w:type="dxa"/>
            <w:vAlign w:val="bottom"/>
            <w:shd w:val="clear" w:color="auto" w:fill="BFE4FF"/>
          </w:tcPr>
          <w:p>
            <w:pPr>
              <w:spacing w:after="0"/>
              <w:rPr>
                <w:sz w:val="19"/>
                <w:szCs w:val="19"/>
                <w:color w:val="auto"/>
              </w:rPr>
            </w:pPr>
          </w:p>
        </w:tc>
        <w:tc>
          <w:tcPr>
            <w:tcW w:w="440" w:type="dxa"/>
            <w:vAlign w:val="bottom"/>
            <w:shd w:val="clear" w:color="auto" w:fill="BFE4FF"/>
          </w:tcPr>
          <w:p>
            <w:pPr>
              <w:spacing w:after="0"/>
              <w:rPr>
                <w:sz w:val="19"/>
                <w:szCs w:val="19"/>
                <w:color w:val="auto"/>
              </w:rPr>
            </w:pPr>
          </w:p>
        </w:tc>
        <w:tc>
          <w:tcPr>
            <w:tcW w:w="8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166"/>
        </w:trPr>
        <w:tc>
          <w:tcPr>
            <w:tcW w:w="5900" w:type="dxa"/>
            <w:vAlign w:val="bottom"/>
          </w:tcPr>
          <w:p>
            <w:pPr>
              <w:ind w:left="560"/>
              <w:spacing w:after="0" w:line="166" w:lineRule="exact"/>
              <w:rPr>
                <w:sz w:val="20"/>
                <w:szCs w:val="20"/>
                <w:color w:val="auto"/>
              </w:rPr>
            </w:pPr>
            <w:r>
              <w:rPr>
                <w:rFonts w:ascii="Arial" w:cs="Arial" w:eastAsia="Arial" w:hAnsi="Arial"/>
                <w:sz w:val="16"/>
                <w:szCs w:val="16"/>
                <w:color w:val="auto"/>
                <w:w w:val="92"/>
              </w:rPr>
              <w:t>Reclassification adjustment for losses (gains) included in net income (loss), net of</w:t>
            </w:r>
          </w:p>
        </w:tc>
        <w:tc>
          <w:tcPr>
            <w:tcW w:w="2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(369)</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(420)</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2,906</w:t>
            </w:r>
          </w:p>
        </w:tc>
        <w:tc>
          <w:tcPr>
            <w:tcW w:w="0" w:type="dxa"/>
            <w:vAlign w:val="bottom"/>
          </w:tcPr>
          <w:p>
            <w:pPr>
              <w:spacing w:after="0"/>
              <w:rPr>
                <w:sz w:val="1"/>
                <w:szCs w:val="1"/>
                <w:color w:val="auto"/>
              </w:rPr>
            </w:pPr>
          </w:p>
        </w:tc>
      </w:tr>
      <w:tr>
        <w:trPr>
          <w:trHeight w:val="209"/>
        </w:trPr>
        <w:tc>
          <w:tcPr>
            <w:tcW w:w="5900" w:type="dxa"/>
            <w:vAlign w:val="bottom"/>
            <w:tcBorders>
              <w:bottom w:val="single" w:sz="8" w:color="BFE4FF"/>
            </w:tcBorders>
          </w:tcPr>
          <w:p>
            <w:pPr>
              <w:ind w:left="560"/>
              <w:spacing w:after="0"/>
              <w:rPr>
                <w:sz w:val="20"/>
                <w:szCs w:val="20"/>
                <w:color w:val="auto"/>
              </w:rPr>
            </w:pPr>
            <w:r>
              <w:rPr>
                <w:rFonts w:ascii="Arial" w:cs="Arial" w:eastAsia="Arial" w:hAnsi="Arial"/>
                <w:sz w:val="16"/>
                <w:szCs w:val="16"/>
                <w:color w:val="auto"/>
              </w:rPr>
              <w:t>tax</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BFE4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BFE4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BFE4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00" w:type="dxa"/>
            <w:vAlign w:val="bottom"/>
            <w:shd w:val="clear" w:color="auto" w:fill="BFE4FF"/>
          </w:tcPr>
          <w:p>
            <w:pPr>
              <w:ind w:left="20"/>
              <w:spacing w:after="0"/>
              <w:rPr>
                <w:sz w:val="20"/>
                <w:szCs w:val="20"/>
                <w:color w:val="auto"/>
              </w:rPr>
            </w:pPr>
            <w:r>
              <w:rPr>
                <w:rFonts w:ascii="Arial" w:cs="Arial" w:eastAsia="Arial" w:hAnsi="Arial"/>
                <w:sz w:val="16"/>
                <w:szCs w:val="16"/>
                <w:color w:val="auto"/>
              </w:rPr>
              <w:t>Other comprehensive income (loss)</w:t>
            </w:r>
          </w:p>
        </w:tc>
        <w:tc>
          <w:tcPr>
            <w:tcW w:w="280" w:type="dxa"/>
            <w:vAlign w:val="bottom"/>
            <w:tcBorders>
              <w:bottom w:val="single" w:sz="8" w:color="auto"/>
            </w:tcBorders>
            <w:shd w:val="clear" w:color="auto" w:fill="BFE4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5,912</w:t>
            </w:r>
          </w:p>
        </w:tc>
        <w:tc>
          <w:tcPr>
            <w:tcW w:w="120" w:type="dxa"/>
            <w:vAlign w:val="bottom"/>
            <w:shd w:val="clear" w:color="auto" w:fill="BFE4FF"/>
          </w:tcPr>
          <w:p>
            <w:pPr>
              <w:spacing w:after="0"/>
              <w:rPr>
                <w:sz w:val="18"/>
                <w:szCs w:val="18"/>
                <w:color w:val="auto"/>
              </w:rPr>
            </w:pPr>
          </w:p>
        </w:tc>
        <w:tc>
          <w:tcPr>
            <w:tcW w:w="440" w:type="dxa"/>
            <w:vAlign w:val="bottom"/>
            <w:tcBorders>
              <w:bottom w:val="single" w:sz="8" w:color="auto"/>
            </w:tcBorders>
            <w:shd w:val="clear" w:color="auto" w:fill="BFE4FF"/>
          </w:tcPr>
          <w:p>
            <w:pPr>
              <w:jc w:val="right"/>
              <w:ind w:right="2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683</w:t>
            </w:r>
          </w:p>
        </w:tc>
        <w:tc>
          <w:tcPr>
            <w:tcW w:w="100" w:type="dxa"/>
            <w:vAlign w:val="bottom"/>
            <w:shd w:val="clear" w:color="auto" w:fill="BFE4FF"/>
          </w:tcPr>
          <w:p>
            <w:pPr>
              <w:spacing w:after="0"/>
              <w:rPr>
                <w:sz w:val="18"/>
                <w:szCs w:val="18"/>
                <w:color w:val="auto"/>
              </w:rPr>
            </w:pPr>
          </w:p>
        </w:tc>
        <w:tc>
          <w:tcPr>
            <w:tcW w:w="280" w:type="dxa"/>
            <w:vAlign w:val="bottom"/>
            <w:tcBorders>
              <w:bottom w:val="single" w:sz="8" w:color="auto"/>
            </w:tcBorders>
            <w:shd w:val="clear" w:color="auto" w:fill="BFE4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(5,218)</w:t>
            </w:r>
          </w:p>
        </w:tc>
        <w:tc>
          <w:tcPr>
            <w:tcW w:w="100" w:type="dxa"/>
            <w:vAlign w:val="bottom"/>
            <w:shd w:val="clear" w:color="auto" w:fill="BFE4FF"/>
          </w:tcPr>
          <w:p>
            <w:pPr>
              <w:spacing w:after="0"/>
              <w:rPr>
                <w:sz w:val="18"/>
                <w:szCs w:val="18"/>
                <w:color w:val="auto"/>
              </w:rPr>
            </w:pPr>
          </w:p>
        </w:tc>
        <w:tc>
          <w:tcPr>
            <w:tcW w:w="440" w:type="dxa"/>
            <w:vAlign w:val="bottom"/>
            <w:tcBorders>
              <w:bottom w:val="single" w:sz="8" w:color="auto"/>
            </w:tcBorders>
            <w:shd w:val="clear" w:color="auto" w:fill="BFE4FF"/>
          </w:tcPr>
          <w:p>
            <w:pPr>
              <w:jc w:val="right"/>
              <w:ind w:right="2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1,830</w:t>
            </w:r>
          </w:p>
        </w:tc>
        <w:tc>
          <w:tcPr>
            <w:tcW w:w="0" w:type="dxa"/>
            <w:vAlign w:val="bottom"/>
          </w:tcPr>
          <w:p>
            <w:pPr>
              <w:spacing w:after="0"/>
              <w:rPr>
                <w:sz w:val="1"/>
                <w:szCs w:val="1"/>
                <w:color w:val="auto"/>
              </w:rPr>
            </w:pPr>
          </w:p>
        </w:tc>
      </w:tr>
      <w:tr>
        <w:trPr>
          <w:trHeight w:val="206"/>
        </w:trPr>
        <w:tc>
          <w:tcPr>
            <w:tcW w:w="5900" w:type="dxa"/>
            <w:vAlign w:val="bottom"/>
          </w:tcPr>
          <w:p>
            <w:pPr>
              <w:ind w:left="20"/>
              <w:spacing w:after="0"/>
              <w:rPr>
                <w:sz w:val="20"/>
                <w:szCs w:val="20"/>
                <w:color w:val="auto"/>
              </w:rPr>
            </w:pPr>
            <w:r>
              <w:rPr>
                <w:rFonts w:ascii="Arial" w:cs="Arial" w:eastAsia="Arial" w:hAnsi="Arial"/>
                <w:sz w:val="16"/>
                <w:szCs w:val="16"/>
                <w:b w:val="1"/>
                <w:bCs w:val="1"/>
                <w:color w:val="auto"/>
              </w:rPr>
              <w:t>Comprehensive income (loss)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(6,102)</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1,139</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(31,316)</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(11,395)</w:t>
            </w:r>
          </w:p>
        </w:tc>
        <w:tc>
          <w:tcPr>
            <w:tcW w:w="0" w:type="dxa"/>
            <w:vAlign w:val="bottom"/>
          </w:tcPr>
          <w:p>
            <w:pPr>
              <w:spacing w:after="0"/>
              <w:rPr>
                <w:sz w:val="1"/>
                <w:szCs w:val="1"/>
                <w:color w:val="auto"/>
              </w:rPr>
            </w:pPr>
          </w:p>
        </w:tc>
      </w:tr>
      <w:tr>
        <w:trPr>
          <w:trHeight w:val="20"/>
        </w:trPr>
        <w:tc>
          <w:tcPr>
            <w:tcW w:w="5900" w:type="dxa"/>
            <w:vAlign w:val="bottom"/>
            <w:tcBorders>
              <w:bottom w:val="single" w:sz="8" w:color="BFE4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FE4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FE4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FE4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900" w:type="dxa"/>
            <w:vAlign w:val="bottom"/>
            <w:shd w:val="clear" w:color="auto" w:fill="BFE4FF"/>
          </w:tcPr>
          <w:p>
            <w:pPr>
              <w:ind w:left="20"/>
              <w:spacing w:after="0"/>
              <w:rPr>
                <w:sz w:val="20"/>
                <w:szCs w:val="20"/>
                <w:color w:val="auto"/>
              </w:rPr>
            </w:pPr>
            <w:r>
              <w:rPr>
                <w:rFonts w:ascii="Arial" w:cs="Arial" w:eastAsia="Arial" w:hAnsi="Arial"/>
                <w:sz w:val="16"/>
                <w:szCs w:val="16"/>
                <w:b w:val="1"/>
                <w:bCs w:val="1"/>
                <w:color w:val="auto"/>
              </w:rPr>
              <w:t>Basic net income (loss) per common share:</w:t>
            </w:r>
          </w:p>
        </w:tc>
        <w:tc>
          <w:tcPr>
            <w:tcW w:w="280" w:type="dxa"/>
            <w:vAlign w:val="bottom"/>
            <w:shd w:val="clear" w:color="auto" w:fill="BFE4FF"/>
          </w:tcPr>
          <w:p>
            <w:pPr>
              <w:spacing w:after="0"/>
              <w:rPr>
                <w:sz w:val="16"/>
                <w:szCs w:val="16"/>
                <w:color w:val="auto"/>
              </w:rPr>
            </w:pPr>
          </w:p>
        </w:tc>
        <w:tc>
          <w:tcPr>
            <w:tcW w:w="960" w:type="dxa"/>
            <w:vAlign w:val="bottom"/>
            <w:shd w:val="clear" w:color="auto" w:fill="BFE4FF"/>
          </w:tcPr>
          <w:p>
            <w:pPr>
              <w:spacing w:after="0"/>
              <w:rPr>
                <w:sz w:val="16"/>
                <w:szCs w:val="16"/>
                <w:color w:val="auto"/>
              </w:rPr>
            </w:pPr>
          </w:p>
        </w:tc>
        <w:tc>
          <w:tcPr>
            <w:tcW w:w="120" w:type="dxa"/>
            <w:vAlign w:val="bottom"/>
            <w:shd w:val="clear" w:color="auto" w:fill="BFE4FF"/>
          </w:tcPr>
          <w:p>
            <w:pPr>
              <w:spacing w:after="0"/>
              <w:rPr>
                <w:sz w:val="16"/>
                <w:szCs w:val="16"/>
                <w:color w:val="auto"/>
              </w:rPr>
            </w:pPr>
          </w:p>
        </w:tc>
        <w:tc>
          <w:tcPr>
            <w:tcW w:w="440" w:type="dxa"/>
            <w:vAlign w:val="bottom"/>
            <w:shd w:val="clear" w:color="auto" w:fill="BFE4FF"/>
          </w:tcPr>
          <w:p>
            <w:pPr>
              <w:spacing w:after="0"/>
              <w:rPr>
                <w:sz w:val="16"/>
                <w:szCs w:val="16"/>
                <w:color w:val="auto"/>
              </w:rPr>
            </w:pPr>
          </w:p>
        </w:tc>
        <w:tc>
          <w:tcPr>
            <w:tcW w:w="820" w:type="dxa"/>
            <w:vAlign w:val="bottom"/>
            <w:shd w:val="clear" w:color="auto" w:fill="BFE4FF"/>
          </w:tcPr>
          <w:p>
            <w:pPr>
              <w:spacing w:after="0"/>
              <w:rPr>
                <w:sz w:val="16"/>
                <w:szCs w:val="16"/>
                <w:color w:val="auto"/>
              </w:rPr>
            </w:pPr>
          </w:p>
        </w:tc>
        <w:tc>
          <w:tcPr>
            <w:tcW w:w="100" w:type="dxa"/>
            <w:vAlign w:val="bottom"/>
            <w:shd w:val="clear" w:color="auto" w:fill="BFE4FF"/>
          </w:tcPr>
          <w:p>
            <w:pPr>
              <w:spacing w:after="0"/>
              <w:rPr>
                <w:sz w:val="16"/>
                <w:szCs w:val="16"/>
                <w:color w:val="auto"/>
              </w:rPr>
            </w:pPr>
          </w:p>
        </w:tc>
        <w:tc>
          <w:tcPr>
            <w:tcW w:w="280" w:type="dxa"/>
            <w:vAlign w:val="bottom"/>
            <w:shd w:val="clear" w:color="auto" w:fill="BFE4FF"/>
          </w:tcPr>
          <w:p>
            <w:pPr>
              <w:spacing w:after="0"/>
              <w:rPr>
                <w:sz w:val="16"/>
                <w:szCs w:val="16"/>
                <w:color w:val="auto"/>
              </w:rPr>
            </w:pPr>
          </w:p>
        </w:tc>
        <w:tc>
          <w:tcPr>
            <w:tcW w:w="980" w:type="dxa"/>
            <w:vAlign w:val="bottom"/>
            <w:shd w:val="clear" w:color="auto" w:fill="BFE4FF"/>
          </w:tcPr>
          <w:p>
            <w:pPr>
              <w:spacing w:after="0"/>
              <w:rPr>
                <w:sz w:val="16"/>
                <w:szCs w:val="16"/>
                <w:color w:val="auto"/>
              </w:rPr>
            </w:pPr>
          </w:p>
        </w:tc>
        <w:tc>
          <w:tcPr>
            <w:tcW w:w="100" w:type="dxa"/>
            <w:vAlign w:val="bottom"/>
            <w:shd w:val="clear" w:color="auto" w:fill="BFE4FF"/>
          </w:tcPr>
          <w:p>
            <w:pPr>
              <w:spacing w:after="0"/>
              <w:rPr>
                <w:sz w:val="16"/>
                <w:szCs w:val="16"/>
                <w:color w:val="auto"/>
              </w:rPr>
            </w:pPr>
          </w:p>
        </w:tc>
        <w:tc>
          <w:tcPr>
            <w:tcW w:w="440" w:type="dxa"/>
            <w:vAlign w:val="bottom"/>
            <w:shd w:val="clear" w:color="auto" w:fill="BFE4FF"/>
          </w:tcPr>
          <w:p>
            <w:pPr>
              <w:spacing w:after="0"/>
              <w:rPr>
                <w:sz w:val="16"/>
                <w:szCs w:val="16"/>
                <w:color w:val="auto"/>
              </w:rPr>
            </w:pPr>
          </w:p>
        </w:tc>
        <w:tc>
          <w:tcPr>
            <w:tcW w:w="820" w:type="dxa"/>
            <w:vAlign w:val="bottom"/>
            <w:shd w:val="clear" w:color="auto" w:fill="BFE4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900" w:type="dxa"/>
            <w:vAlign w:val="bottom"/>
          </w:tcPr>
          <w:p>
            <w:pPr>
              <w:ind w:left="360"/>
              <w:spacing w:after="0"/>
              <w:rPr>
                <w:sz w:val="20"/>
                <w:szCs w:val="20"/>
                <w:color w:val="auto"/>
              </w:rPr>
            </w:pPr>
            <w:r>
              <w:rPr>
                <w:rFonts w:ascii="Arial" w:cs="Arial" w:eastAsia="Arial" w:hAnsi="Arial"/>
                <w:sz w:val="16"/>
                <w:szCs w:val="16"/>
                <w:color w:val="auto"/>
              </w:rPr>
              <w:t>Loss from continuing operations per common share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(0.33)</w:t>
            </w:r>
          </w:p>
        </w:tc>
        <w:tc>
          <w:tcPr>
            <w:tcW w:w="12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(0.07)</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(0.83)</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(0.82)</w:t>
            </w:r>
          </w:p>
        </w:tc>
        <w:tc>
          <w:tcPr>
            <w:tcW w:w="0" w:type="dxa"/>
            <w:vAlign w:val="bottom"/>
          </w:tcPr>
          <w:p>
            <w:pPr>
              <w:spacing w:after="0"/>
              <w:rPr>
                <w:sz w:val="1"/>
                <w:szCs w:val="1"/>
                <w:color w:val="auto"/>
              </w:rPr>
            </w:pPr>
          </w:p>
        </w:tc>
      </w:tr>
      <w:tr>
        <w:trPr>
          <w:trHeight w:val="219"/>
        </w:trPr>
        <w:tc>
          <w:tcPr>
            <w:tcW w:w="5900" w:type="dxa"/>
            <w:vAlign w:val="bottom"/>
            <w:shd w:val="clear" w:color="auto" w:fill="BFE4FF"/>
          </w:tcPr>
          <w:p>
            <w:pPr>
              <w:ind w:left="360"/>
              <w:spacing w:after="0"/>
              <w:rPr>
                <w:sz w:val="20"/>
                <w:szCs w:val="20"/>
                <w:color w:val="auto"/>
              </w:rPr>
            </w:pPr>
            <w:r>
              <w:rPr>
                <w:rFonts w:ascii="Arial" w:cs="Arial" w:eastAsia="Arial" w:hAnsi="Arial"/>
                <w:sz w:val="16"/>
                <w:szCs w:val="16"/>
                <w:color w:val="auto"/>
              </w:rPr>
              <w:t>Income from discontinued operations per common share</w:t>
            </w:r>
          </w:p>
        </w:tc>
        <w:tc>
          <w:tcPr>
            <w:tcW w:w="280" w:type="dxa"/>
            <w:vAlign w:val="bottom"/>
            <w:shd w:val="clear" w:color="auto" w:fill="BFE4FF"/>
          </w:tcPr>
          <w:p>
            <w:pPr>
              <w:spacing w:after="0"/>
              <w:rPr>
                <w:sz w:val="19"/>
                <w:szCs w:val="19"/>
                <w:color w:val="auto"/>
              </w:rPr>
            </w:pPr>
          </w:p>
        </w:tc>
        <w:tc>
          <w:tcPr>
            <w:tcW w:w="1080" w:type="dxa"/>
            <w:vAlign w:val="bottom"/>
            <w:gridSpan w:val="2"/>
            <w:shd w:val="clear" w:color="auto" w:fill="BFE4FF"/>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shd w:val="clear" w:color="auto" w:fill="BFE4FF"/>
          </w:tcPr>
          <w:p>
            <w:pPr>
              <w:spacing w:after="0"/>
              <w:rPr>
                <w:sz w:val="19"/>
                <w:szCs w:val="19"/>
                <w:color w:val="auto"/>
              </w:rPr>
            </w:pPr>
          </w:p>
        </w:tc>
        <w:tc>
          <w:tcPr>
            <w:tcW w:w="8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0.03</w:t>
            </w:r>
          </w:p>
        </w:tc>
        <w:tc>
          <w:tcPr>
            <w:tcW w:w="100" w:type="dxa"/>
            <w:vAlign w:val="bottom"/>
            <w:shd w:val="clear" w:color="auto" w:fill="BFE4FF"/>
          </w:tcPr>
          <w:p>
            <w:pPr>
              <w:spacing w:after="0"/>
              <w:rPr>
                <w:sz w:val="19"/>
                <w:szCs w:val="19"/>
                <w:color w:val="auto"/>
              </w:rPr>
            </w:pPr>
          </w:p>
        </w:tc>
        <w:tc>
          <w:tcPr>
            <w:tcW w:w="280" w:type="dxa"/>
            <w:vAlign w:val="bottom"/>
            <w:shd w:val="clear" w:color="auto" w:fill="BFE4FF"/>
          </w:tcPr>
          <w:p>
            <w:pPr>
              <w:spacing w:after="0"/>
              <w:rPr>
                <w:sz w:val="19"/>
                <w:szCs w:val="19"/>
                <w:color w:val="auto"/>
              </w:rPr>
            </w:pPr>
          </w:p>
        </w:tc>
        <w:tc>
          <w:tcPr>
            <w:tcW w:w="1080" w:type="dxa"/>
            <w:vAlign w:val="bottom"/>
            <w:gridSpan w:val="2"/>
            <w:shd w:val="clear" w:color="auto" w:fill="BFE4FF"/>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shd w:val="clear" w:color="auto" w:fill="BFE4FF"/>
          </w:tcPr>
          <w:p>
            <w:pPr>
              <w:spacing w:after="0"/>
              <w:rPr>
                <w:sz w:val="19"/>
                <w:szCs w:val="19"/>
                <w:color w:val="auto"/>
              </w:rPr>
            </w:pPr>
          </w:p>
        </w:tc>
        <w:tc>
          <w:tcPr>
            <w:tcW w:w="8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07"/>
        </w:trPr>
        <w:tc>
          <w:tcPr>
            <w:tcW w:w="5900" w:type="dxa"/>
            <w:vAlign w:val="bottom"/>
          </w:tcPr>
          <w:p>
            <w:pPr>
              <w:ind w:left="360"/>
              <w:spacing w:after="0"/>
              <w:rPr>
                <w:sz w:val="20"/>
                <w:szCs w:val="20"/>
                <w:color w:val="auto"/>
              </w:rPr>
            </w:pPr>
            <w:r>
              <w:rPr>
                <w:rFonts w:ascii="Arial" w:cs="Arial" w:eastAsia="Arial" w:hAnsi="Arial"/>
                <w:sz w:val="16"/>
                <w:szCs w:val="16"/>
                <w:color w:val="auto"/>
              </w:rPr>
              <w:t>Net income (loss) per common share</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(0.33)</w:t>
            </w:r>
          </w:p>
        </w:tc>
        <w:tc>
          <w:tcPr>
            <w:tcW w:w="12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(0.83)</w:t>
            </w:r>
          </w:p>
        </w:tc>
        <w:tc>
          <w:tcPr>
            <w:tcW w:w="10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(0.79)</w:t>
            </w:r>
          </w:p>
        </w:tc>
        <w:tc>
          <w:tcPr>
            <w:tcW w:w="0" w:type="dxa"/>
            <w:vAlign w:val="bottom"/>
          </w:tcPr>
          <w:p>
            <w:pPr>
              <w:spacing w:after="0"/>
              <w:rPr>
                <w:sz w:val="1"/>
                <w:szCs w:val="1"/>
                <w:color w:val="auto"/>
              </w:rPr>
            </w:pPr>
          </w:p>
        </w:tc>
      </w:tr>
      <w:tr>
        <w:trPr>
          <w:trHeight w:val="20"/>
        </w:trPr>
        <w:tc>
          <w:tcPr>
            <w:tcW w:w="5900" w:type="dxa"/>
            <w:vAlign w:val="bottom"/>
            <w:tcBorders>
              <w:bottom w:val="single" w:sz="8" w:color="BFE4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FE4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FE4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FE4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900" w:type="dxa"/>
            <w:vAlign w:val="bottom"/>
            <w:shd w:val="clear" w:color="auto" w:fill="BFE4FF"/>
          </w:tcPr>
          <w:p>
            <w:pPr>
              <w:ind w:left="360"/>
              <w:spacing w:after="0"/>
              <w:rPr>
                <w:sz w:val="20"/>
                <w:szCs w:val="20"/>
                <w:color w:val="auto"/>
              </w:rPr>
            </w:pPr>
            <w:r>
              <w:rPr>
                <w:rFonts w:ascii="Arial" w:cs="Arial" w:eastAsia="Arial" w:hAnsi="Arial"/>
                <w:sz w:val="16"/>
                <w:szCs w:val="16"/>
                <w:color w:val="auto"/>
              </w:rPr>
              <w:t>Weighted average common shares outstanding</w:t>
            </w:r>
          </w:p>
        </w:tc>
        <w:tc>
          <w:tcPr>
            <w:tcW w:w="280" w:type="dxa"/>
            <w:vAlign w:val="bottom"/>
            <w:shd w:val="clear" w:color="auto" w:fill="BFE4FF"/>
          </w:tcPr>
          <w:p>
            <w:pPr>
              <w:spacing w:after="0"/>
              <w:rPr>
                <w:sz w:val="18"/>
                <w:szCs w:val="18"/>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44,708</w:t>
            </w:r>
          </w:p>
        </w:tc>
        <w:tc>
          <w:tcPr>
            <w:tcW w:w="120" w:type="dxa"/>
            <w:vAlign w:val="bottom"/>
            <w:shd w:val="clear" w:color="auto" w:fill="BFE4FF"/>
          </w:tcPr>
          <w:p>
            <w:pPr>
              <w:spacing w:after="0"/>
              <w:rPr>
                <w:sz w:val="18"/>
                <w:szCs w:val="18"/>
                <w:color w:val="auto"/>
              </w:rPr>
            </w:pPr>
          </w:p>
        </w:tc>
        <w:tc>
          <w:tcPr>
            <w:tcW w:w="440" w:type="dxa"/>
            <w:vAlign w:val="bottom"/>
            <w:shd w:val="clear" w:color="auto" w:fill="BFE4FF"/>
          </w:tcPr>
          <w:p>
            <w:pPr>
              <w:spacing w:after="0"/>
              <w:rPr>
                <w:sz w:val="18"/>
                <w:szCs w:val="18"/>
                <w:color w:val="auto"/>
              </w:rPr>
            </w:pPr>
          </w:p>
        </w:tc>
        <w:tc>
          <w:tcPr>
            <w:tcW w:w="8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44,454</w:t>
            </w:r>
          </w:p>
        </w:tc>
        <w:tc>
          <w:tcPr>
            <w:tcW w:w="100" w:type="dxa"/>
            <w:vAlign w:val="bottom"/>
            <w:shd w:val="clear" w:color="auto" w:fill="BFE4FF"/>
          </w:tcPr>
          <w:p>
            <w:pPr>
              <w:spacing w:after="0"/>
              <w:rPr>
                <w:sz w:val="18"/>
                <w:szCs w:val="18"/>
                <w:color w:val="auto"/>
              </w:rPr>
            </w:pPr>
          </w:p>
        </w:tc>
        <w:tc>
          <w:tcPr>
            <w:tcW w:w="280" w:type="dxa"/>
            <w:vAlign w:val="bottom"/>
            <w:shd w:val="clear" w:color="auto" w:fill="BFE4FF"/>
          </w:tcPr>
          <w:p>
            <w:pPr>
              <w:spacing w:after="0"/>
              <w:rPr>
                <w:sz w:val="18"/>
                <w:szCs w:val="18"/>
                <w:color w:val="auto"/>
              </w:rPr>
            </w:pPr>
          </w:p>
        </w:tc>
        <w:tc>
          <w:tcPr>
            <w:tcW w:w="9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44,680</w:t>
            </w:r>
          </w:p>
        </w:tc>
        <w:tc>
          <w:tcPr>
            <w:tcW w:w="100" w:type="dxa"/>
            <w:vAlign w:val="bottom"/>
            <w:shd w:val="clear" w:color="auto" w:fill="BFE4FF"/>
          </w:tcPr>
          <w:p>
            <w:pPr>
              <w:spacing w:after="0"/>
              <w:rPr>
                <w:sz w:val="18"/>
                <w:szCs w:val="18"/>
                <w:color w:val="auto"/>
              </w:rPr>
            </w:pPr>
          </w:p>
        </w:tc>
        <w:tc>
          <w:tcPr>
            <w:tcW w:w="440" w:type="dxa"/>
            <w:vAlign w:val="bottom"/>
            <w:shd w:val="clear" w:color="auto" w:fill="BFE4FF"/>
          </w:tcPr>
          <w:p>
            <w:pPr>
              <w:spacing w:after="0"/>
              <w:rPr>
                <w:sz w:val="18"/>
                <w:szCs w:val="18"/>
                <w:color w:val="auto"/>
              </w:rPr>
            </w:pPr>
          </w:p>
        </w:tc>
        <w:tc>
          <w:tcPr>
            <w:tcW w:w="8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44,011</w:t>
            </w:r>
          </w:p>
        </w:tc>
        <w:tc>
          <w:tcPr>
            <w:tcW w:w="0" w:type="dxa"/>
            <w:vAlign w:val="bottom"/>
          </w:tcPr>
          <w:p>
            <w:pPr>
              <w:spacing w:after="0"/>
              <w:rPr>
                <w:sz w:val="1"/>
                <w:szCs w:val="1"/>
                <w:color w:val="auto"/>
              </w:rPr>
            </w:pPr>
          </w:p>
        </w:tc>
      </w:tr>
      <w:tr>
        <w:trPr>
          <w:trHeight w:val="213"/>
        </w:trPr>
        <w:tc>
          <w:tcPr>
            <w:tcW w:w="5900" w:type="dxa"/>
            <w:vAlign w:val="bottom"/>
          </w:tcPr>
          <w:p>
            <w:pPr>
              <w:ind w:left="20"/>
              <w:spacing w:after="0"/>
              <w:rPr>
                <w:sz w:val="20"/>
                <w:szCs w:val="20"/>
                <w:color w:val="auto"/>
              </w:rPr>
            </w:pPr>
            <w:r>
              <w:rPr>
                <w:rFonts w:ascii="Arial" w:cs="Arial" w:eastAsia="Arial" w:hAnsi="Arial"/>
                <w:sz w:val="16"/>
                <w:szCs w:val="16"/>
                <w:b w:val="1"/>
                <w:bCs w:val="1"/>
                <w:color w:val="auto"/>
              </w:rPr>
              <w:t>Diluted net income (loss) per common share:</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00" w:type="dxa"/>
            <w:vAlign w:val="bottom"/>
            <w:shd w:val="clear" w:color="auto" w:fill="BFE4FF"/>
          </w:tcPr>
          <w:p>
            <w:pPr>
              <w:ind w:left="360"/>
              <w:spacing w:after="0"/>
              <w:rPr>
                <w:sz w:val="20"/>
                <w:szCs w:val="20"/>
                <w:color w:val="auto"/>
              </w:rPr>
            </w:pPr>
            <w:r>
              <w:rPr>
                <w:rFonts w:ascii="Arial" w:cs="Arial" w:eastAsia="Arial" w:hAnsi="Arial"/>
                <w:sz w:val="16"/>
                <w:szCs w:val="16"/>
                <w:color w:val="auto"/>
              </w:rPr>
              <w:t>Loss from continuing operations per common share</w:t>
            </w:r>
          </w:p>
        </w:tc>
        <w:tc>
          <w:tcPr>
            <w:tcW w:w="280" w:type="dxa"/>
            <w:vAlign w:val="bottom"/>
            <w:shd w:val="clear" w:color="auto" w:fill="BFE4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(0.33)</w:t>
            </w:r>
          </w:p>
        </w:tc>
        <w:tc>
          <w:tcPr>
            <w:tcW w:w="120" w:type="dxa"/>
            <w:vAlign w:val="bottom"/>
            <w:shd w:val="clear" w:color="auto" w:fill="BFE4FF"/>
          </w:tcPr>
          <w:p>
            <w:pPr>
              <w:spacing w:after="0"/>
              <w:rPr>
                <w:sz w:val="19"/>
                <w:szCs w:val="19"/>
                <w:color w:val="auto"/>
              </w:rPr>
            </w:pPr>
          </w:p>
        </w:tc>
        <w:tc>
          <w:tcPr>
            <w:tcW w:w="440" w:type="dxa"/>
            <w:vAlign w:val="bottom"/>
            <w:shd w:val="clear" w:color="auto" w:fill="BFE4FF"/>
          </w:tcPr>
          <w:p>
            <w:pPr>
              <w:jc w:val="right"/>
              <w:ind w:right="2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(0.07)</w:t>
            </w:r>
          </w:p>
        </w:tc>
        <w:tc>
          <w:tcPr>
            <w:tcW w:w="100" w:type="dxa"/>
            <w:vAlign w:val="bottom"/>
            <w:shd w:val="clear" w:color="auto" w:fill="BFE4FF"/>
          </w:tcPr>
          <w:p>
            <w:pPr>
              <w:spacing w:after="0"/>
              <w:rPr>
                <w:sz w:val="19"/>
                <w:szCs w:val="19"/>
                <w:color w:val="auto"/>
              </w:rPr>
            </w:pPr>
          </w:p>
        </w:tc>
        <w:tc>
          <w:tcPr>
            <w:tcW w:w="280" w:type="dxa"/>
            <w:vAlign w:val="bottom"/>
            <w:shd w:val="clear" w:color="auto" w:fill="BFE4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(0.83)</w:t>
            </w:r>
          </w:p>
        </w:tc>
        <w:tc>
          <w:tcPr>
            <w:tcW w:w="100" w:type="dxa"/>
            <w:vAlign w:val="bottom"/>
            <w:shd w:val="clear" w:color="auto" w:fill="BFE4FF"/>
          </w:tcPr>
          <w:p>
            <w:pPr>
              <w:spacing w:after="0"/>
              <w:rPr>
                <w:sz w:val="19"/>
                <w:szCs w:val="19"/>
                <w:color w:val="auto"/>
              </w:rPr>
            </w:pPr>
          </w:p>
        </w:tc>
        <w:tc>
          <w:tcPr>
            <w:tcW w:w="440" w:type="dxa"/>
            <w:vAlign w:val="bottom"/>
            <w:shd w:val="clear" w:color="auto" w:fill="BFE4FF"/>
          </w:tcPr>
          <w:p>
            <w:pPr>
              <w:jc w:val="right"/>
              <w:ind w:right="2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(0.82)</w:t>
            </w:r>
          </w:p>
        </w:tc>
        <w:tc>
          <w:tcPr>
            <w:tcW w:w="0" w:type="dxa"/>
            <w:vAlign w:val="bottom"/>
          </w:tcPr>
          <w:p>
            <w:pPr>
              <w:spacing w:after="0"/>
              <w:rPr>
                <w:sz w:val="1"/>
                <w:szCs w:val="1"/>
                <w:color w:val="auto"/>
              </w:rPr>
            </w:pPr>
          </w:p>
        </w:tc>
      </w:tr>
      <w:tr>
        <w:trPr>
          <w:trHeight w:val="213"/>
        </w:trPr>
        <w:tc>
          <w:tcPr>
            <w:tcW w:w="5900" w:type="dxa"/>
            <w:vAlign w:val="bottom"/>
          </w:tcPr>
          <w:p>
            <w:pPr>
              <w:ind w:left="360"/>
              <w:spacing w:after="0"/>
              <w:rPr>
                <w:sz w:val="20"/>
                <w:szCs w:val="20"/>
                <w:color w:val="auto"/>
              </w:rPr>
            </w:pPr>
            <w:r>
              <w:rPr>
                <w:rFonts w:ascii="Arial" w:cs="Arial" w:eastAsia="Arial" w:hAnsi="Arial"/>
                <w:sz w:val="16"/>
                <w:szCs w:val="16"/>
                <w:color w:val="auto"/>
              </w:rPr>
              <w:t>Income from discontinued operations per common share</w:t>
            </w: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34"/>
        </w:trPr>
        <w:tc>
          <w:tcPr>
            <w:tcW w:w="5900" w:type="dxa"/>
            <w:vAlign w:val="bottom"/>
            <w:tcBorders>
              <w:top w:val="single" w:sz="8" w:color="BFE4FF"/>
              <w:bottom w:val="single" w:sz="8" w:color="BFE4FF"/>
            </w:tcBorders>
            <w:shd w:val="clear" w:color="auto" w:fill="BFE4FF"/>
          </w:tcPr>
          <w:p>
            <w:pPr>
              <w:ind w:left="360"/>
              <w:spacing w:after="0"/>
              <w:rPr>
                <w:sz w:val="20"/>
                <w:szCs w:val="20"/>
                <w:color w:val="auto"/>
              </w:rPr>
            </w:pPr>
            <w:r>
              <w:rPr>
                <w:rFonts w:ascii="Arial" w:cs="Arial" w:eastAsia="Arial" w:hAnsi="Arial"/>
                <w:sz w:val="16"/>
                <w:szCs w:val="16"/>
                <w:color w:val="auto"/>
              </w:rPr>
              <w:t>Net income (loss) per common share</w:t>
            </w:r>
          </w:p>
        </w:tc>
        <w:tc>
          <w:tcPr>
            <w:tcW w:w="280" w:type="dxa"/>
            <w:vAlign w:val="bottom"/>
            <w:tcBorders>
              <w:top w:val="single" w:sz="8" w:color="auto"/>
              <w:bottom w:val="single" w:sz="8" w:color="auto"/>
            </w:tcBorders>
            <w:shd w:val="clear" w:color="auto" w:fill="BFE4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(0.33)</w:t>
            </w:r>
          </w:p>
        </w:tc>
        <w:tc>
          <w:tcPr>
            <w:tcW w:w="120" w:type="dxa"/>
            <w:vAlign w:val="bottom"/>
            <w:tcBorders>
              <w:top w:val="single" w:sz="8" w:color="BFE4FF"/>
              <w:bottom w:val="single" w:sz="8" w:color="BFE4FF"/>
            </w:tcBorders>
            <w:shd w:val="clear" w:color="auto" w:fill="BFE4FF"/>
          </w:tcPr>
          <w:p>
            <w:pPr>
              <w:spacing w:after="0"/>
              <w:rPr>
                <w:sz w:val="19"/>
                <w:szCs w:val="19"/>
                <w:color w:val="auto"/>
              </w:rPr>
            </w:pPr>
          </w:p>
        </w:tc>
        <w:tc>
          <w:tcPr>
            <w:tcW w:w="440" w:type="dxa"/>
            <w:vAlign w:val="bottom"/>
            <w:tcBorders>
              <w:top w:val="single" w:sz="8" w:color="auto"/>
              <w:bottom w:val="single" w:sz="8" w:color="auto"/>
            </w:tcBorders>
            <w:shd w:val="clear" w:color="auto" w:fill="BFE4FF"/>
          </w:tcPr>
          <w:p>
            <w:pPr>
              <w:jc w:val="right"/>
              <w:ind w:right="25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Borders>
              <w:top w:val="single" w:sz="8" w:color="BFE4FF"/>
              <w:bottom w:val="single" w:sz="8" w:color="BFE4FF"/>
            </w:tcBorders>
            <w:shd w:val="clear" w:color="auto" w:fill="BFE4FF"/>
          </w:tcPr>
          <w:p>
            <w:pPr>
              <w:spacing w:after="0"/>
              <w:rPr>
                <w:sz w:val="19"/>
                <w:szCs w:val="19"/>
                <w:color w:val="auto"/>
              </w:rPr>
            </w:pPr>
          </w:p>
        </w:tc>
        <w:tc>
          <w:tcPr>
            <w:tcW w:w="280" w:type="dxa"/>
            <w:vAlign w:val="bottom"/>
            <w:tcBorders>
              <w:top w:val="single" w:sz="8" w:color="auto"/>
              <w:bottom w:val="single" w:sz="8" w:color="auto"/>
            </w:tcBorders>
            <w:shd w:val="clear" w:color="auto" w:fill="BFE4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(0.83)</w:t>
            </w:r>
          </w:p>
        </w:tc>
        <w:tc>
          <w:tcPr>
            <w:tcW w:w="100" w:type="dxa"/>
            <w:vAlign w:val="bottom"/>
            <w:tcBorders>
              <w:top w:val="single" w:sz="8" w:color="BFE4FF"/>
              <w:bottom w:val="single" w:sz="8" w:color="BFE4FF"/>
            </w:tcBorders>
            <w:shd w:val="clear" w:color="auto" w:fill="BFE4FF"/>
          </w:tcPr>
          <w:p>
            <w:pPr>
              <w:spacing w:after="0"/>
              <w:rPr>
                <w:sz w:val="19"/>
                <w:szCs w:val="19"/>
                <w:color w:val="auto"/>
              </w:rPr>
            </w:pPr>
          </w:p>
        </w:tc>
        <w:tc>
          <w:tcPr>
            <w:tcW w:w="440" w:type="dxa"/>
            <w:vAlign w:val="bottom"/>
            <w:tcBorders>
              <w:top w:val="single" w:sz="8" w:color="auto"/>
              <w:bottom w:val="single" w:sz="8" w:color="auto"/>
            </w:tcBorders>
            <w:shd w:val="clear" w:color="auto" w:fill="BFE4FF"/>
          </w:tcPr>
          <w:p>
            <w:pPr>
              <w:jc w:val="right"/>
              <w:ind w:right="25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(0.79)</w:t>
            </w:r>
          </w:p>
        </w:tc>
        <w:tc>
          <w:tcPr>
            <w:tcW w:w="0" w:type="dxa"/>
            <w:vAlign w:val="bottom"/>
          </w:tcPr>
          <w:p>
            <w:pPr>
              <w:spacing w:after="0"/>
              <w:rPr>
                <w:sz w:val="1"/>
                <w:szCs w:val="1"/>
                <w:color w:val="auto"/>
              </w:rPr>
            </w:pPr>
          </w:p>
        </w:tc>
      </w:tr>
      <w:tr>
        <w:trPr>
          <w:trHeight w:val="20"/>
        </w:trPr>
        <w:tc>
          <w:tcPr>
            <w:tcW w:w="5900" w:type="dxa"/>
            <w:vAlign w:val="bottom"/>
            <w:tcBorders>
              <w:top w:val="single" w:sz="8" w:color="BFE4FF"/>
              <w:bottom w:val="single" w:sz="8" w:color="BFE4FF"/>
            </w:tcBorders>
            <w:vMerge w:val="restart"/>
          </w:tcPr>
          <w:p>
            <w:pPr>
              <w:ind w:left="360"/>
              <w:spacing w:after="0"/>
              <w:rPr>
                <w:sz w:val="20"/>
                <w:szCs w:val="20"/>
                <w:color w:val="auto"/>
              </w:rPr>
            </w:pPr>
            <w:r>
              <w:rPr>
                <w:rFonts w:ascii="Arial" w:cs="Arial" w:eastAsia="Arial" w:hAnsi="Arial"/>
                <w:sz w:val="16"/>
                <w:szCs w:val="16"/>
                <w:color w:val="auto"/>
              </w:rPr>
              <w:t>Weighted average common shares outstanding</w:t>
            </w:r>
          </w:p>
        </w:tc>
        <w:tc>
          <w:tcPr>
            <w:tcW w:w="280" w:type="dxa"/>
            <w:vAlign w:val="bottom"/>
            <w:tcBorders>
              <w:top w:val="single" w:sz="8" w:color="BFE4FF"/>
              <w:bottom w:val="single" w:sz="8" w:color="auto"/>
            </w:tcBorders>
          </w:tcPr>
          <w:p>
            <w:pPr>
              <w:spacing w:after="0" w:line="20" w:lineRule="exact"/>
              <w:rPr>
                <w:sz w:val="1"/>
                <w:szCs w:val="1"/>
                <w:color w:val="auto"/>
              </w:rPr>
            </w:pPr>
          </w:p>
        </w:tc>
        <w:tc>
          <w:tcPr>
            <w:tcW w:w="960" w:type="dxa"/>
            <w:vAlign w:val="bottom"/>
            <w:tcBorders>
              <w:top w:val="single" w:sz="8" w:color="BFE4FF"/>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440" w:type="dxa"/>
            <w:vAlign w:val="bottom"/>
            <w:tcBorders>
              <w:top w:val="single" w:sz="8" w:color="BFE4FF"/>
              <w:bottom w:val="single" w:sz="8" w:color="auto"/>
            </w:tcBorders>
          </w:tcPr>
          <w:p>
            <w:pPr>
              <w:spacing w:after="0" w:line="20" w:lineRule="exact"/>
              <w:rPr>
                <w:sz w:val="1"/>
                <w:szCs w:val="1"/>
                <w:color w:val="auto"/>
              </w:rPr>
            </w:pPr>
          </w:p>
        </w:tc>
        <w:tc>
          <w:tcPr>
            <w:tcW w:w="82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280" w:type="dxa"/>
            <w:vAlign w:val="bottom"/>
            <w:tcBorders>
              <w:top w:val="single" w:sz="8" w:color="BFE4FF"/>
              <w:bottom w:val="single" w:sz="8" w:color="auto"/>
            </w:tcBorders>
          </w:tcPr>
          <w:p>
            <w:pPr>
              <w:spacing w:after="0" w:line="20" w:lineRule="exact"/>
              <w:rPr>
                <w:sz w:val="1"/>
                <w:szCs w:val="1"/>
                <w:color w:val="auto"/>
              </w:rPr>
            </w:pPr>
          </w:p>
        </w:tc>
        <w:tc>
          <w:tcPr>
            <w:tcW w:w="98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440" w:type="dxa"/>
            <w:vAlign w:val="bottom"/>
            <w:tcBorders>
              <w:top w:val="single" w:sz="8" w:color="BFE4FF"/>
              <w:bottom w:val="single" w:sz="8" w:color="auto"/>
            </w:tcBorders>
          </w:tcPr>
          <w:p>
            <w:pPr>
              <w:spacing w:after="0" w:line="20" w:lineRule="exact"/>
              <w:rPr>
                <w:sz w:val="1"/>
                <w:szCs w:val="1"/>
                <w:color w:val="auto"/>
              </w:rPr>
            </w:pPr>
          </w:p>
        </w:tc>
        <w:tc>
          <w:tcPr>
            <w:tcW w:w="820" w:type="dxa"/>
            <w:vAlign w:val="bottom"/>
            <w:tcBorders>
              <w:top w:val="single" w:sz="8" w:color="BFE4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44,708</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44,454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44,680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44,011</w:t>
            </w:r>
          </w:p>
        </w:tc>
        <w:tc>
          <w:tcPr>
            <w:tcW w:w="0" w:type="dxa"/>
            <w:vAlign w:val="bottom"/>
          </w:tcPr>
          <w:p>
            <w:pPr>
              <w:spacing w:after="0"/>
              <w:rPr>
                <w:sz w:val="1"/>
                <w:szCs w:val="1"/>
                <w:color w:val="auto"/>
              </w:rPr>
            </w:pPr>
          </w:p>
        </w:tc>
      </w:tr>
      <w:tr>
        <w:trPr>
          <w:trHeight w:val="604"/>
        </w:trPr>
        <w:tc>
          <w:tcPr>
            <w:tcW w:w="5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bl>
    <w:p>
      <w:pPr>
        <w:sectPr>
          <w:pgSz w:w="11900" w:h="16838" w:orient="portrait"/>
          <w:cols w:equalWidth="0" w:num="1">
            <w:col w:w="11240"/>
          </w:cols>
          <w:pgMar w:left="320" w:top="1390" w:right="339" w:bottom="1440" w:gutter="0" w:footer="0" w:header="0"/>
        </w:sectPr>
      </w:pPr>
    </w:p>
    <w:bookmarkStart w:id="8" w:name="page9"/>
    <w:bookmarkEnd w:id="8"/>
    <w:p>
      <w:pPr>
        <w:ind w:left="5300"/>
        <w:spacing w:after="0"/>
        <w:rPr>
          <w:sz w:val="20"/>
          <w:szCs w:val="20"/>
          <w:color w:val="auto"/>
        </w:rPr>
      </w:pPr>
      <w:r>
        <w:rPr>
          <w:rFonts w:ascii="Arial" w:cs="Arial" w:eastAsia="Arial" w:hAnsi="Arial"/>
          <w:sz w:val="18"/>
          <w:szCs w:val="18"/>
          <w:b w:val="1"/>
          <w:bCs w:val="1"/>
          <w:color w:val="auto"/>
        </w:rPr>
        <w:t>NN, Inc.</w:t>
      </w:r>
    </w:p>
    <w:p>
      <w:pPr>
        <w:spacing w:after="0" w:line="50"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60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auto"/>
              </w:rPr>
              <w:t>(in thousands, except per share data)</w:t>
            </w:r>
          </w:p>
        </w:tc>
        <w:tc>
          <w:tcPr>
            <w:tcW w:w="120" w:type="dxa"/>
            <w:vAlign w:val="bottom"/>
          </w:tcPr>
          <w:p>
            <w:pPr>
              <w:spacing w:after="0"/>
              <w:rPr>
                <w:sz w:val="16"/>
                <w:szCs w:val="16"/>
                <w:color w:val="auto"/>
              </w:rPr>
            </w:pPr>
          </w:p>
        </w:tc>
        <w:tc>
          <w:tcPr>
            <w:tcW w:w="126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6"/>
                <w:szCs w:val="16"/>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3"/>
        </w:trPr>
        <w:tc>
          <w:tcPr>
            <w:tcW w:w="8600" w:type="dxa"/>
            <w:vAlign w:val="bottom"/>
            <w:tcBorders>
              <w:bottom w:val="single" w:sz="8" w:color="BFE4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BFE4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99"/>
        </w:trPr>
        <w:tc>
          <w:tcPr>
            <w:tcW w:w="8600" w:type="dxa"/>
            <w:vAlign w:val="bottom"/>
            <w:shd w:val="clear" w:color="auto" w:fill="BFE4FF"/>
          </w:tcPr>
          <w:p>
            <w:pPr>
              <w:ind w:left="20"/>
              <w:spacing w:after="0"/>
              <w:rPr>
                <w:sz w:val="20"/>
                <w:szCs w:val="20"/>
                <w:color w:val="auto"/>
              </w:rPr>
            </w:pPr>
            <w:r>
              <w:rPr>
                <w:rFonts w:ascii="Arial" w:cs="Arial" w:eastAsia="Arial" w:hAnsi="Arial"/>
                <w:sz w:val="16"/>
                <w:szCs w:val="16"/>
                <w:b w:val="1"/>
                <w:bCs w:val="1"/>
                <w:color w:val="auto"/>
              </w:rPr>
              <w:t>Assets</w:t>
            </w:r>
          </w:p>
        </w:tc>
        <w:tc>
          <w:tcPr>
            <w:tcW w:w="120" w:type="dxa"/>
            <w:vAlign w:val="bottom"/>
            <w:shd w:val="clear" w:color="auto" w:fill="BFE4FF"/>
          </w:tcPr>
          <w:p>
            <w:pPr>
              <w:spacing w:after="0"/>
              <w:rPr>
                <w:sz w:val="17"/>
                <w:szCs w:val="17"/>
                <w:color w:val="auto"/>
              </w:rPr>
            </w:pPr>
          </w:p>
        </w:tc>
        <w:tc>
          <w:tcPr>
            <w:tcW w:w="1140" w:type="dxa"/>
            <w:vAlign w:val="bottom"/>
            <w:shd w:val="clear" w:color="auto" w:fill="BFE4FF"/>
          </w:tcPr>
          <w:p>
            <w:pPr>
              <w:spacing w:after="0"/>
              <w:rPr>
                <w:sz w:val="17"/>
                <w:szCs w:val="17"/>
                <w:color w:val="auto"/>
              </w:rPr>
            </w:pPr>
          </w:p>
        </w:tc>
        <w:tc>
          <w:tcPr>
            <w:tcW w:w="120" w:type="dxa"/>
            <w:vAlign w:val="bottom"/>
            <w:shd w:val="clear" w:color="auto" w:fill="BFE4FF"/>
          </w:tcPr>
          <w:p>
            <w:pPr>
              <w:spacing w:after="0"/>
              <w:rPr>
                <w:sz w:val="17"/>
                <w:szCs w:val="17"/>
                <w:color w:val="auto"/>
              </w:rPr>
            </w:pPr>
          </w:p>
        </w:tc>
        <w:tc>
          <w:tcPr>
            <w:tcW w:w="120" w:type="dxa"/>
            <w:vAlign w:val="bottom"/>
            <w:shd w:val="clear" w:color="auto" w:fill="BFE4FF"/>
          </w:tcPr>
          <w:p>
            <w:pPr>
              <w:spacing w:after="0"/>
              <w:rPr>
                <w:sz w:val="17"/>
                <w:szCs w:val="17"/>
                <w:color w:val="auto"/>
              </w:rPr>
            </w:pPr>
          </w:p>
        </w:tc>
        <w:tc>
          <w:tcPr>
            <w:tcW w:w="1140" w:type="dxa"/>
            <w:vAlign w:val="bottom"/>
            <w:shd w:val="clear" w:color="auto" w:fill="BFE4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600" w:type="dxa"/>
            <w:vAlign w:val="bottom"/>
          </w:tcPr>
          <w:p>
            <w:pPr>
              <w:ind w:left="140"/>
              <w:spacing w:after="0"/>
              <w:rPr>
                <w:sz w:val="20"/>
                <w:szCs w:val="20"/>
                <w:color w:val="auto"/>
              </w:rPr>
            </w:pPr>
            <w:r>
              <w:rPr>
                <w:rFonts w:ascii="Arial" w:cs="Arial" w:eastAsia="Arial" w:hAnsi="Arial"/>
                <w:sz w:val="16"/>
                <w:szCs w:val="16"/>
                <w:color w:val="auto"/>
              </w:rPr>
              <w:t>Current assets:</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600" w:type="dxa"/>
            <w:vAlign w:val="bottom"/>
            <w:shd w:val="clear" w:color="auto" w:fill="BFE4FF"/>
          </w:tcPr>
          <w:p>
            <w:pPr>
              <w:ind w:left="360"/>
              <w:spacing w:after="0"/>
              <w:rPr>
                <w:sz w:val="20"/>
                <w:szCs w:val="20"/>
                <w:color w:val="auto"/>
              </w:rPr>
            </w:pPr>
            <w:r>
              <w:rPr>
                <w:rFonts w:ascii="Arial" w:cs="Arial" w:eastAsia="Arial" w:hAnsi="Arial"/>
                <w:sz w:val="16"/>
                <w:szCs w:val="16"/>
                <w:color w:val="auto"/>
              </w:rPr>
              <w:t>Cash and cash equivalents</w:t>
            </w:r>
          </w:p>
        </w:tc>
        <w:tc>
          <w:tcPr>
            <w:tcW w:w="120" w:type="dxa"/>
            <w:vAlign w:val="bottom"/>
            <w:shd w:val="clear" w:color="auto" w:fill="BFE4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12,808</w:t>
            </w:r>
          </w:p>
        </w:tc>
        <w:tc>
          <w:tcPr>
            <w:tcW w:w="120" w:type="dxa"/>
            <w:vAlign w:val="bottom"/>
            <w:shd w:val="clear" w:color="auto" w:fill="BFE4FF"/>
          </w:tcPr>
          <w:p>
            <w:pPr>
              <w:spacing w:after="0"/>
              <w:rPr>
                <w:sz w:val="19"/>
                <w:szCs w:val="19"/>
                <w:color w:val="auto"/>
              </w:rPr>
            </w:pPr>
          </w:p>
        </w:tc>
        <w:tc>
          <w:tcPr>
            <w:tcW w:w="120" w:type="dxa"/>
            <w:vAlign w:val="bottom"/>
            <w:shd w:val="clear" w:color="auto" w:fill="BFE4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28,656</w:t>
            </w:r>
          </w:p>
        </w:tc>
        <w:tc>
          <w:tcPr>
            <w:tcW w:w="0" w:type="dxa"/>
            <w:vAlign w:val="bottom"/>
          </w:tcPr>
          <w:p>
            <w:pPr>
              <w:spacing w:after="0"/>
              <w:rPr>
                <w:sz w:val="1"/>
                <w:szCs w:val="1"/>
                <w:color w:val="auto"/>
              </w:rPr>
            </w:pPr>
          </w:p>
        </w:tc>
      </w:tr>
      <w:tr>
        <w:trPr>
          <w:trHeight w:val="213"/>
        </w:trPr>
        <w:tc>
          <w:tcPr>
            <w:tcW w:w="8600" w:type="dxa"/>
            <w:vAlign w:val="bottom"/>
          </w:tcPr>
          <w:p>
            <w:pPr>
              <w:ind w:left="360"/>
              <w:spacing w:after="0"/>
              <w:rPr>
                <w:sz w:val="20"/>
                <w:szCs w:val="20"/>
                <w:color w:val="auto"/>
              </w:rPr>
            </w:pPr>
            <w:r>
              <w:rPr>
                <w:rFonts w:ascii="Arial" w:cs="Arial" w:eastAsia="Arial" w:hAnsi="Arial"/>
                <w:sz w:val="16"/>
                <w:szCs w:val="16"/>
                <w:color w:val="auto"/>
              </w:rPr>
              <w:t>Accounts receivable, net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74,129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71,419</w:t>
            </w:r>
          </w:p>
        </w:tc>
        <w:tc>
          <w:tcPr>
            <w:tcW w:w="0" w:type="dxa"/>
            <w:vAlign w:val="bottom"/>
          </w:tcPr>
          <w:p>
            <w:pPr>
              <w:spacing w:after="0"/>
              <w:rPr>
                <w:sz w:val="1"/>
                <w:szCs w:val="1"/>
                <w:color w:val="auto"/>
              </w:rPr>
            </w:pPr>
          </w:p>
        </w:tc>
      </w:tr>
      <w:tr>
        <w:trPr>
          <w:trHeight w:val="219"/>
        </w:trPr>
        <w:tc>
          <w:tcPr>
            <w:tcW w:w="8600" w:type="dxa"/>
            <w:vAlign w:val="bottom"/>
            <w:shd w:val="clear" w:color="auto" w:fill="BFE4FF"/>
          </w:tcPr>
          <w:p>
            <w:pPr>
              <w:ind w:left="360"/>
              <w:spacing w:after="0"/>
              <w:rPr>
                <w:sz w:val="20"/>
                <w:szCs w:val="20"/>
                <w:color w:val="auto"/>
              </w:rPr>
            </w:pPr>
            <w:r>
              <w:rPr>
                <w:rFonts w:ascii="Arial" w:cs="Arial" w:eastAsia="Arial" w:hAnsi="Arial"/>
                <w:sz w:val="16"/>
                <w:szCs w:val="16"/>
                <w:color w:val="auto"/>
              </w:rPr>
              <w:t>Inventories</w:t>
            </w:r>
          </w:p>
        </w:tc>
        <w:tc>
          <w:tcPr>
            <w:tcW w:w="120" w:type="dxa"/>
            <w:vAlign w:val="bottom"/>
            <w:shd w:val="clear" w:color="auto" w:fill="BFE4FF"/>
          </w:tcPr>
          <w:p>
            <w:pPr>
              <w:spacing w:after="0"/>
              <w:rPr>
                <w:sz w:val="19"/>
                <w:szCs w:val="19"/>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80,682</w:t>
            </w:r>
          </w:p>
        </w:tc>
        <w:tc>
          <w:tcPr>
            <w:tcW w:w="12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75,027</w:t>
            </w:r>
          </w:p>
        </w:tc>
        <w:tc>
          <w:tcPr>
            <w:tcW w:w="0" w:type="dxa"/>
            <w:vAlign w:val="bottom"/>
          </w:tcPr>
          <w:p>
            <w:pPr>
              <w:spacing w:after="0"/>
              <w:rPr>
                <w:sz w:val="1"/>
                <w:szCs w:val="1"/>
                <w:color w:val="auto"/>
              </w:rPr>
            </w:pPr>
          </w:p>
        </w:tc>
      </w:tr>
      <w:tr>
        <w:trPr>
          <w:trHeight w:val="213"/>
        </w:trPr>
        <w:tc>
          <w:tcPr>
            <w:tcW w:w="8600" w:type="dxa"/>
            <w:vAlign w:val="bottom"/>
          </w:tcPr>
          <w:p>
            <w:pPr>
              <w:ind w:left="360"/>
              <w:spacing w:after="0"/>
              <w:rPr>
                <w:sz w:val="20"/>
                <w:szCs w:val="20"/>
                <w:color w:val="auto"/>
              </w:rPr>
            </w:pPr>
            <w:r>
              <w:rPr>
                <w:rFonts w:ascii="Arial" w:cs="Arial" w:eastAsia="Arial" w:hAnsi="Arial"/>
                <w:sz w:val="16"/>
                <w:szCs w:val="16"/>
                <w:color w:val="auto"/>
              </w:rPr>
              <w:t>Income tax receivable</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12,164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11,808</w:t>
            </w:r>
          </w:p>
        </w:tc>
        <w:tc>
          <w:tcPr>
            <w:tcW w:w="0" w:type="dxa"/>
            <w:vAlign w:val="bottom"/>
          </w:tcPr>
          <w:p>
            <w:pPr>
              <w:spacing w:after="0"/>
              <w:rPr>
                <w:sz w:val="1"/>
                <w:szCs w:val="1"/>
                <w:color w:val="auto"/>
              </w:rPr>
            </w:pPr>
          </w:p>
        </w:tc>
      </w:tr>
      <w:tr>
        <w:trPr>
          <w:trHeight w:val="219"/>
        </w:trPr>
        <w:tc>
          <w:tcPr>
            <w:tcW w:w="8600" w:type="dxa"/>
            <w:vAlign w:val="bottom"/>
            <w:shd w:val="clear" w:color="auto" w:fill="BFE4FF"/>
          </w:tcPr>
          <w:p>
            <w:pPr>
              <w:ind w:left="360"/>
              <w:spacing w:after="0"/>
              <w:rPr>
                <w:sz w:val="20"/>
                <w:szCs w:val="20"/>
                <w:color w:val="auto"/>
              </w:rPr>
            </w:pPr>
            <w:r>
              <w:rPr>
                <w:rFonts w:ascii="Arial" w:cs="Arial" w:eastAsia="Arial" w:hAnsi="Arial"/>
                <w:sz w:val="16"/>
                <w:szCs w:val="16"/>
                <w:color w:val="auto"/>
              </w:rPr>
              <w:t>Prepaid assets</w:t>
            </w:r>
          </w:p>
        </w:tc>
        <w:tc>
          <w:tcPr>
            <w:tcW w:w="120" w:type="dxa"/>
            <w:vAlign w:val="bottom"/>
            <w:shd w:val="clear" w:color="auto" w:fill="BFE4FF"/>
          </w:tcPr>
          <w:p>
            <w:pPr>
              <w:spacing w:after="0"/>
              <w:rPr>
                <w:sz w:val="19"/>
                <w:szCs w:val="19"/>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2,794</w:t>
            </w:r>
          </w:p>
        </w:tc>
        <w:tc>
          <w:tcPr>
            <w:tcW w:w="12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2,172</w:t>
            </w:r>
          </w:p>
        </w:tc>
        <w:tc>
          <w:tcPr>
            <w:tcW w:w="0" w:type="dxa"/>
            <w:vAlign w:val="bottom"/>
          </w:tcPr>
          <w:p>
            <w:pPr>
              <w:spacing w:after="0"/>
              <w:rPr>
                <w:sz w:val="1"/>
                <w:szCs w:val="1"/>
                <w:color w:val="auto"/>
              </w:rPr>
            </w:pPr>
          </w:p>
        </w:tc>
      </w:tr>
      <w:tr>
        <w:trPr>
          <w:trHeight w:val="213"/>
        </w:trPr>
        <w:tc>
          <w:tcPr>
            <w:tcW w:w="8600" w:type="dxa"/>
            <w:vAlign w:val="bottom"/>
            <w:tcBorders>
              <w:bottom w:val="single" w:sz="8" w:color="BFE4FF"/>
            </w:tcBorders>
          </w:tcPr>
          <w:p>
            <w:pPr>
              <w:ind w:left="360"/>
              <w:spacing w:after="0"/>
              <w:rPr>
                <w:sz w:val="20"/>
                <w:szCs w:val="20"/>
                <w:color w:val="auto"/>
              </w:rPr>
            </w:pPr>
            <w:r>
              <w:rPr>
                <w:rFonts w:ascii="Arial" w:cs="Arial" w:eastAsia="Arial" w:hAnsi="Arial"/>
                <w:sz w:val="16"/>
                <w:szCs w:val="16"/>
                <w:color w:val="auto"/>
              </w:rPr>
              <w:t>Other current assets</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9,123</w:t>
            </w:r>
          </w:p>
        </w:tc>
        <w:tc>
          <w:tcPr>
            <w:tcW w:w="120" w:type="dxa"/>
            <w:vAlign w:val="bottom"/>
            <w:tcBorders>
              <w:bottom w:val="single" w:sz="8" w:color="BFE4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7,200</w:t>
            </w:r>
          </w:p>
        </w:tc>
        <w:tc>
          <w:tcPr>
            <w:tcW w:w="0" w:type="dxa"/>
            <w:vAlign w:val="bottom"/>
          </w:tcPr>
          <w:p>
            <w:pPr>
              <w:spacing w:after="0"/>
              <w:rPr>
                <w:sz w:val="1"/>
                <w:szCs w:val="1"/>
                <w:color w:val="auto"/>
              </w:rPr>
            </w:pPr>
          </w:p>
        </w:tc>
      </w:tr>
      <w:tr>
        <w:trPr>
          <w:trHeight w:val="213"/>
        </w:trPr>
        <w:tc>
          <w:tcPr>
            <w:tcW w:w="8600" w:type="dxa"/>
            <w:vAlign w:val="bottom"/>
            <w:shd w:val="clear" w:color="auto" w:fill="BFE4FF"/>
          </w:tcPr>
          <w:p>
            <w:pPr>
              <w:ind w:left="680"/>
              <w:spacing w:after="0"/>
              <w:rPr>
                <w:sz w:val="20"/>
                <w:szCs w:val="20"/>
                <w:color w:val="auto"/>
              </w:rPr>
            </w:pPr>
            <w:r>
              <w:rPr>
                <w:rFonts w:ascii="Arial" w:cs="Arial" w:eastAsia="Arial" w:hAnsi="Arial"/>
                <w:sz w:val="16"/>
                <w:szCs w:val="16"/>
                <w:color w:val="auto"/>
              </w:rPr>
              <w:t>Total current assets</w:t>
            </w:r>
          </w:p>
        </w:tc>
        <w:tc>
          <w:tcPr>
            <w:tcW w:w="120" w:type="dxa"/>
            <w:vAlign w:val="bottom"/>
            <w:shd w:val="clear" w:color="auto" w:fill="BFE4FF"/>
          </w:tcPr>
          <w:p>
            <w:pPr>
              <w:spacing w:after="0"/>
              <w:rPr>
                <w:sz w:val="18"/>
                <w:szCs w:val="18"/>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191,700</w:t>
            </w:r>
          </w:p>
        </w:tc>
        <w:tc>
          <w:tcPr>
            <w:tcW w:w="120" w:type="dxa"/>
            <w:vAlign w:val="bottom"/>
            <w:shd w:val="clear" w:color="auto" w:fill="BFE4FF"/>
          </w:tcPr>
          <w:p>
            <w:pPr>
              <w:spacing w:after="0"/>
              <w:rPr>
                <w:sz w:val="18"/>
                <w:szCs w:val="18"/>
                <w:color w:val="auto"/>
              </w:rPr>
            </w:pPr>
          </w:p>
        </w:tc>
        <w:tc>
          <w:tcPr>
            <w:tcW w:w="120" w:type="dxa"/>
            <w:vAlign w:val="bottom"/>
            <w:shd w:val="clear" w:color="auto" w:fill="BFE4FF"/>
          </w:tcPr>
          <w:p>
            <w:pPr>
              <w:spacing w:after="0"/>
              <w:rPr>
                <w:sz w:val="18"/>
                <w:szCs w:val="18"/>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196,282</w:t>
            </w:r>
          </w:p>
        </w:tc>
        <w:tc>
          <w:tcPr>
            <w:tcW w:w="0" w:type="dxa"/>
            <w:vAlign w:val="bottom"/>
          </w:tcPr>
          <w:p>
            <w:pPr>
              <w:spacing w:after="0"/>
              <w:rPr>
                <w:sz w:val="1"/>
                <w:szCs w:val="1"/>
                <w:color w:val="auto"/>
              </w:rPr>
            </w:pPr>
          </w:p>
        </w:tc>
      </w:tr>
      <w:tr>
        <w:trPr>
          <w:trHeight w:val="213"/>
        </w:trPr>
        <w:tc>
          <w:tcPr>
            <w:tcW w:w="8600" w:type="dxa"/>
            <w:vAlign w:val="bottom"/>
          </w:tcPr>
          <w:p>
            <w:pPr>
              <w:ind w:left="140"/>
              <w:spacing w:after="0"/>
              <w:rPr>
                <w:sz w:val="20"/>
                <w:szCs w:val="20"/>
                <w:color w:val="auto"/>
              </w:rPr>
            </w:pPr>
            <w:r>
              <w:rPr>
                <w:rFonts w:ascii="Arial" w:cs="Arial" w:eastAsia="Arial" w:hAnsi="Arial"/>
                <w:sz w:val="16"/>
                <w:szCs w:val="16"/>
                <w:color w:val="auto"/>
              </w:rPr>
              <w:t>Property, plant and equipment, net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197,637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209,105</w:t>
            </w:r>
          </w:p>
        </w:tc>
        <w:tc>
          <w:tcPr>
            <w:tcW w:w="0" w:type="dxa"/>
            <w:vAlign w:val="bottom"/>
          </w:tcPr>
          <w:p>
            <w:pPr>
              <w:spacing w:after="0"/>
              <w:rPr>
                <w:sz w:val="1"/>
                <w:szCs w:val="1"/>
                <w:color w:val="auto"/>
              </w:rPr>
            </w:pPr>
          </w:p>
        </w:tc>
      </w:tr>
      <w:tr>
        <w:trPr>
          <w:trHeight w:val="219"/>
        </w:trPr>
        <w:tc>
          <w:tcPr>
            <w:tcW w:w="8600" w:type="dxa"/>
            <w:vAlign w:val="bottom"/>
            <w:shd w:val="clear" w:color="auto" w:fill="BFE4FF"/>
          </w:tcPr>
          <w:p>
            <w:pPr>
              <w:ind w:left="140"/>
              <w:spacing w:after="0"/>
              <w:rPr>
                <w:sz w:val="20"/>
                <w:szCs w:val="20"/>
                <w:color w:val="auto"/>
              </w:rPr>
            </w:pPr>
            <w:r>
              <w:rPr>
                <w:rFonts w:ascii="Arial" w:cs="Arial" w:eastAsia="Arial" w:hAnsi="Arial"/>
                <w:sz w:val="16"/>
                <w:szCs w:val="16"/>
                <w:color w:val="auto"/>
              </w:rPr>
              <w:t>Operating lease right-of-use assets</w:t>
            </w:r>
          </w:p>
        </w:tc>
        <w:tc>
          <w:tcPr>
            <w:tcW w:w="120" w:type="dxa"/>
            <w:vAlign w:val="bottom"/>
            <w:shd w:val="clear" w:color="auto" w:fill="BFE4FF"/>
          </w:tcPr>
          <w:p>
            <w:pPr>
              <w:spacing w:after="0"/>
              <w:rPr>
                <w:sz w:val="19"/>
                <w:szCs w:val="19"/>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46,713</w:t>
            </w:r>
          </w:p>
        </w:tc>
        <w:tc>
          <w:tcPr>
            <w:tcW w:w="12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46,443</w:t>
            </w:r>
          </w:p>
        </w:tc>
        <w:tc>
          <w:tcPr>
            <w:tcW w:w="0" w:type="dxa"/>
            <w:vAlign w:val="bottom"/>
          </w:tcPr>
          <w:p>
            <w:pPr>
              <w:spacing w:after="0"/>
              <w:rPr>
                <w:sz w:val="1"/>
                <w:szCs w:val="1"/>
                <w:color w:val="auto"/>
              </w:rPr>
            </w:pPr>
          </w:p>
        </w:tc>
      </w:tr>
      <w:tr>
        <w:trPr>
          <w:trHeight w:val="213"/>
        </w:trPr>
        <w:tc>
          <w:tcPr>
            <w:tcW w:w="8600" w:type="dxa"/>
            <w:vAlign w:val="bottom"/>
          </w:tcPr>
          <w:p>
            <w:pPr>
              <w:ind w:left="140"/>
              <w:spacing w:after="0"/>
              <w:rPr>
                <w:sz w:val="20"/>
                <w:szCs w:val="20"/>
                <w:color w:val="auto"/>
              </w:rPr>
            </w:pPr>
            <w:r>
              <w:rPr>
                <w:rFonts w:ascii="Arial" w:cs="Arial" w:eastAsia="Arial" w:hAnsi="Arial"/>
                <w:sz w:val="16"/>
                <w:szCs w:val="16"/>
                <w:color w:val="auto"/>
              </w:rPr>
              <w:t>Intangible assets, net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72,891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88,718</w:t>
            </w:r>
          </w:p>
        </w:tc>
        <w:tc>
          <w:tcPr>
            <w:tcW w:w="0" w:type="dxa"/>
            <w:vAlign w:val="bottom"/>
          </w:tcPr>
          <w:p>
            <w:pPr>
              <w:spacing w:after="0"/>
              <w:rPr>
                <w:sz w:val="1"/>
                <w:szCs w:val="1"/>
                <w:color w:val="auto"/>
              </w:rPr>
            </w:pPr>
          </w:p>
        </w:tc>
      </w:tr>
      <w:tr>
        <w:trPr>
          <w:trHeight w:val="219"/>
        </w:trPr>
        <w:tc>
          <w:tcPr>
            <w:tcW w:w="8600" w:type="dxa"/>
            <w:vAlign w:val="bottom"/>
            <w:shd w:val="clear" w:color="auto" w:fill="BFE4FF"/>
          </w:tcPr>
          <w:p>
            <w:pPr>
              <w:ind w:left="140"/>
              <w:spacing w:after="0"/>
              <w:rPr>
                <w:sz w:val="20"/>
                <w:szCs w:val="20"/>
                <w:color w:val="auto"/>
              </w:rPr>
            </w:pPr>
            <w:r>
              <w:rPr>
                <w:rFonts w:ascii="Arial" w:cs="Arial" w:eastAsia="Arial" w:hAnsi="Arial"/>
                <w:sz w:val="16"/>
                <w:szCs w:val="16"/>
                <w:color w:val="auto"/>
              </w:rPr>
              <w:t>Investment in joint venture</w:t>
            </w:r>
          </w:p>
        </w:tc>
        <w:tc>
          <w:tcPr>
            <w:tcW w:w="120" w:type="dxa"/>
            <w:vAlign w:val="bottom"/>
            <w:shd w:val="clear" w:color="auto" w:fill="BFE4FF"/>
          </w:tcPr>
          <w:p>
            <w:pPr>
              <w:spacing w:after="0"/>
              <w:rPr>
                <w:sz w:val="19"/>
                <w:szCs w:val="19"/>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31,802</w:t>
            </w:r>
          </w:p>
        </w:tc>
        <w:tc>
          <w:tcPr>
            <w:tcW w:w="12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34,045</w:t>
            </w:r>
          </w:p>
        </w:tc>
        <w:tc>
          <w:tcPr>
            <w:tcW w:w="0" w:type="dxa"/>
            <w:vAlign w:val="bottom"/>
          </w:tcPr>
          <w:p>
            <w:pPr>
              <w:spacing w:after="0"/>
              <w:rPr>
                <w:sz w:val="1"/>
                <w:szCs w:val="1"/>
                <w:color w:val="auto"/>
              </w:rPr>
            </w:pPr>
          </w:p>
        </w:tc>
      </w:tr>
      <w:tr>
        <w:trPr>
          <w:trHeight w:val="213"/>
        </w:trPr>
        <w:tc>
          <w:tcPr>
            <w:tcW w:w="8600" w:type="dxa"/>
            <w:vAlign w:val="bottom"/>
          </w:tcPr>
          <w:p>
            <w:pPr>
              <w:ind w:left="140"/>
              <w:spacing w:after="0"/>
              <w:rPr>
                <w:sz w:val="20"/>
                <w:szCs w:val="20"/>
                <w:color w:val="auto"/>
              </w:rPr>
            </w:pPr>
            <w:r>
              <w:rPr>
                <w:rFonts w:ascii="Arial" w:cs="Arial" w:eastAsia="Arial" w:hAnsi="Arial"/>
                <w:sz w:val="16"/>
                <w:szCs w:val="16"/>
                <w:color w:val="auto"/>
              </w:rPr>
              <w:t>Deferred tax assets</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219"/>
        </w:trPr>
        <w:tc>
          <w:tcPr>
            <w:tcW w:w="8600" w:type="dxa"/>
            <w:vAlign w:val="bottom"/>
            <w:shd w:val="clear" w:color="auto" w:fill="BFE4FF"/>
          </w:tcPr>
          <w:p>
            <w:pPr>
              <w:ind w:left="140"/>
              <w:spacing w:after="0"/>
              <w:rPr>
                <w:sz w:val="20"/>
                <w:szCs w:val="20"/>
                <w:color w:val="auto"/>
              </w:rPr>
            </w:pPr>
            <w:r>
              <w:rPr>
                <w:rFonts w:ascii="Arial" w:cs="Arial" w:eastAsia="Arial" w:hAnsi="Arial"/>
                <w:sz w:val="16"/>
                <w:szCs w:val="16"/>
                <w:color w:val="auto"/>
              </w:rPr>
              <w:t>Other non-current assets</w:t>
            </w:r>
          </w:p>
        </w:tc>
        <w:tc>
          <w:tcPr>
            <w:tcW w:w="120" w:type="dxa"/>
            <w:vAlign w:val="bottom"/>
            <w:tcBorders>
              <w:bottom w:val="single" w:sz="8" w:color="auto"/>
            </w:tcBorders>
            <w:shd w:val="clear" w:color="auto" w:fill="BFE4FF"/>
          </w:tcPr>
          <w:p>
            <w:pPr>
              <w:spacing w:after="0"/>
              <w:rPr>
                <w:sz w:val="19"/>
                <w:szCs w:val="19"/>
                <w:color w:val="auto"/>
              </w:rPr>
            </w:pPr>
          </w:p>
        </w:tc>
        <w:tc>
          <w:tcPr>
            <w:tcW w:w="11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5,282</w:t>
            </w:r>
          </w:p>
        </w:tc>
        <w:tc>
          <w:tcPr>
            <w:tcW w:w="120" w:type="dxa"/>
            <w:vAlign w:val="bottom"/>
            <w:shd w:val="clear" w:color="auto" w:fill="BFE4FF"/>
          </w:tcPr>
          <w:p>
            <w:pPr>
              <w:spacing w:after="0"/>
              <w:rPr>
                <w:sz w:val="19"/>
                <w:szCs w:val="19"/>
                <w:color w:val="auto"/>
              </w:rPr>
            </w:pPr>
          </w:p>
        </w:tc>
        <w:tc>
          <w:tcPr>
            <w:tcW w:w="120" w:type="dxa"/>
            <w:vAlign w:val="bottom"/>
            <w:tcBorders>
              <w:bottom w:val="single" w:sz="8" w:color="auto"/>
            </w:tcBorders>
            <w:shd w:val="clear" w:color="auto" w:fill="BFE4FF"/>
          </w:tcPr>
          <w:p>
            <w:pPr>
              <w:spacing w:after="0"/>
              <w:rPr>
                <w:sz w:val="19"/>
                <w:szCs w:val="19"/>
                <w:color w:val="auto"/>
              </w:rPr>
            </w:pPr>
          </w:p>
        </w:tc>
        <w:tc>
          <w:tcPr>
            <w:tcW w:w="11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4,194</w:t>
            </w:r>
          </w:p>
        </w:tc>
        <w:tc>
          <w:tcPr>
            <w:tcW w:w="0" w:type="dxa"/>
            <w:vAlign w:val="bottom"/>
          </w:tcPr>
          <w:p>
            <w:pPr>
              <w:spacing w:after="0"/>
              <w:rPr>
                <w:sz w:val="1"/>
                <w:szCs w:val="1"/>
                <w:color w:val="auto"/>
              </w:rPr>
            </w:pPr>
          </w:p>
        </w:tc>
      </w:tr>
      <w:tr>
        <w:trPr>
          <w:trHeight w:val="206"/>
        </w:trPr>
        <w:tc>
          <w:tcPr>
            <w:tcW w:w="860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546,127</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579,101</w:t>
            </w:r>
          </w:p>
        </w:tc>
        <w:tc>
          <w:tcPr>
            <w:tcW w:w="0" w:type="dxa"/>
            <w:vAlign w:val="bottom"/>
          </w:tcPr>
          <w:p>
            <w:pPr>
              <w:spacing w:after="0"/>
              <w:rPr>
                <w:sz w:val="1"/>
                <w:szCs w:val="1"/>
                <w:color w:val="auto"/>
              </w:rPr>
            </w:pPr>
          </w:p>
        </w:tc>
      </w:tr>
      <w:tr>
        <w:trPr>
          <w:trHeight w:val="20"/>
        </w:trPr>
        <w:tc>
          <w:tcPr>
            <w:tcW w:w="8600" w:type="dxa"/>
            <w:vAlign w:val="bottom"/>
            <w:tcBorders>
              <w:bottom w:val="single" w:sz="8" w:color="BFE4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FE4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600" w:type="dxa"/>
            <w:vAlign w:val="bottom"/>
            <w:shd w:val="clear" w:color="auto" w:fill="BFE4FF"/>
          </w:tcPr>
          <w:p>
            <w:pPr>
              <w:ind w:left="20"/>
              <w:spacing w:after="0"/>
              <w:rPr>
                <w:sz w:val="20"/>
                <w:szCs w:val="20"/>
                <w:color w:val="auto"/>
              </w:rPr>
            </w:pPr>
            <w:r>
              <w:rPr>
                <w:rFonts w:ascii="Arial" w:cs="Arial" w:eastAsia="Arial" w:hAnsi="Arial"/>
                <w:sz w:val="16"/>
                <w:szCs w:val="16"/>
                <w:b w:val="1"/>
                <w:bCs w:val="1"/>
                <w:color w:val="auto"/>
              </w:rPr>
              <w:t>Liabilities, Preferred Stock, and Stockholders’ Equity</w:t>
            </w:r>
          </w:p>
        </w:tc>
        <w:tc>
          <w:tcPr>
            <w:tcW w:w="120" w:type="dxa"/>
            <w:vAlign w:val="bottom"/>
            <w:shd w:val="clear" w:color="auto" w:fill="BFE4FF"/>
          </w:tcPr>
          <w:p>
            <w:pPr>
              <w:spacing w:after="0"/>
              <w:rPr>
                <w:sz w:val="16"/>
                <w:szCs w:val="16"/>
                <w:color w:val="auto"/>
              </w:rPr>
            </w:pPr>
          </w:p>
        </w:tc>
        <w:tc>
          <w:tcPr>
            <w:tcW w:w="1140" w:type="dxa"/>
            <w:vAlign w:val="bottom"/>
            <w:shd w:val="clear" w:color="auto" w:fill="BFE4FF"/>
          </w:tcPr>
          <w:p>
            <w:pPr>
              <w:spacing w:after="0"/>
              <w:rPr>
                <w:sz w:val="16"/>
                <w:szCs w:val="16"/>
                <w:color w:val="auto"/>
              </w:rPr>
            </w:pPr>
          </w:p>
        </w:tc>
        <w:tc>
          <w:tcPr>
            <w:tcW w:w="120" w:type="dxa"/>
            <w:vAlign w:val="bottom"/>
            <w:shd w:val="clear" w:color="auto" w:fill="BFE4FF"/>
          </w:tcPr>
          <w:p>
            <w:pPr>
              <w:spacing w:after="0"/>
              <w:rPr>
                <w:sz w:val="16"/>
                <w:szCs w:val="16"/>
                <w:color w:val="auto"/>
              </w:rPr>
            </w:pPr>
          </w:p>
        </w:tc>
        <w:tc>
          <w:tcPr>
            <w:tcW w:w="120" w:type="dxa"/>
            <w:vAlign w:val="bottom"/>
            <w:shd w:val="clear" w:color="auto" w:fill="BFE4FF"/>
          </w:tcPr>
          <w:p>
            <w:pPr>
              <w:spacing w:after="0"/>
              <w:rPr>
                <w:sz w:val="16"/>
                <w:szCs w:val="16"/>
                <w:color w:val="auto"/>
              </w:rPr>
            </w:pPr>
          </w:p>
        </w:tc>
        <w:tc>
          <w:tcPr>
            <w:tcW w:w="1140" w:type="dxa"/>
            <w:vAlign w:val="bottom"/>
            <w:shd w:val="clear" w:color="auto" w:fill="BFE4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600" w:type="dxa"/>
            <w:vAlign w:val="bottom"/>
          </w:tcPr>
          <w:p>
            <w:pPr>
              <w:ind w:left="140"/>
              <w:spacing w:after="0"/>
              <w:rPr>
                <w:sz w:val="20"/>
                <w:szCs w:val="20"/>
                <w:color w:val="auto"/>
              </w:rPr>
            </w:pPr>
            <w:r>
              <w:rPr>
                <w:rFonts w:ascii="Arial" w:cs="Arial" w:eastAsia="Arial" w:hAnsi="Arial"/>
                <w:sz w:val="16"/>
                <w:szCs w:val="16"/>
                <w:color w:val="auto"/>
              </w:rPr>
              <w:t>Current liabilities:</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600" w:type="dxa"/>
            <w:vAlign w:val="bottom"/>
            <w:shd w:val="clear" w:color="auto" w:fill="BFE4FF"/>
          </w:tcPr>
          <w:p>
            <w:pPr>
              <w:ind w:left="360"/>
              <w:spacing w:after="0"/>
              <w:rPr>
                <w:sz w:val="20"/>
                <w:szCs w:val="20"/>
                <w:color w:val="auto"/>
              </w:rPr>
            </w:pPr>
            <w:r>
              <w:rPr>
                <w:rFonts w:ascii="Arial" w:cs="Arial" w:eastAsia="Arial" w:hAnsi="Arial"/>
                <w:sz w:val="16"/>
                <w:szCs w:val="16"/>
                <w:color w:val="auto"/>
              </w:rPr>
              <w:t>Accounts payable</w:t>
            </w:r>
          </w:p>
        </w:tc>
        <w:tc>
          <w:tcPr>
            <w:tcW w:w="120" w:type="dxa"/>
            <w:vAlign w:val="bottom"/>
            <w:shd w:val="clear" w:color="auto" w:fill="BFE4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45,871</w:t>
            </w:r>
          </w:p>
        </w:tc>
        <w:tc>
          <w:tcPr>
            <w:tcW w:w="120" w:type="dxa"/>
            <w:vAlign w:val="bottom"/>
            <w:shd w:val="clear" w:color="auto" w:fill="BFE4FF"/>
          </w:tcPr>
          <w:p>
            <w:pPr>
              <w:spacing w:after="0"/>
              <w:rPr>
                <w:sz w:val="19"/>
                <w:szCs w:val="19"/>
                <w:color w:val="auto"/>
              </w:rPr>
            </w:pPr>
          </w:p>
        </w:tc>
        <w:tc>
          <w:tcPr>
            <w:tcW w:w="120" w:type="dxa"/>
            <w:vAlign w:val="bottom"/>
            <w:shd w:val="clear" w:color="auto" w:fill="BFE4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36,710</w:t>
            </w:r>
          </w:p>
        </w:tc>
        <w:tc>
          <w:tcPr>
            <w:tcW w:w="0" w:type="dxa"/>
            <w:vAlign w:val="bottom"/>
          </w:tcPr>
          <w:p>
            <w:pPr>
              <w:spacing w:after="0"/>
              <w:rPr>
                <w:sz w:val="1"/>
                <w:szCs w:val="1"/>
                <w:color w:val="auto"/>
              </w:rPr>
            </w:pPr>
          </w:p>
        </w:tc>
      </w:tr>
      <w:tr>
        <w:trPr>
          <w:trHeight w:val="213"/>
        </w:trPr>
        <w:tc>
          <w:tcPr>
            <w:tcW w:w="8600" w:type="dxa"/>
            <w:vAlign w:val="bottom"/>
          </w:tcPr>
          <w:p>
            <w:pPr>
              <w:ind w:left="360"/>
              <w:spacing w:after="0"/>
              <w:rPr>
                <w:sz w:val="20"/>
                <w:szCs w:val="20"/>
                <w:color w:val="auto"/>
              </w:rPr>
            </w:pPr>
            <w:r>
              <w:rPr>
                <w:rFonts w:ascii="Arial" w:cs="Arial" w:eastAsia="Arial" w:hAnsi="Arial"/>
                <w:sz w:val="16"/>
                <w:szCs w:val="16"/>
                <w:color w:val="auto"/>
              </w:rPr>
              <w:t>Accrued salaries, wages and benefits</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11,671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17,739</w:t>
            </w:r>
          </w:p>
        </w:tc>
        <w:tc>
          <w:tcPr>
            <w:tcW w:w="0" w:type="dxa"/>
            <w:vAlign w:val="bottom"/>
          </w:tcPr>
          <w:p>
            <w:pPr>
              <w:spacing w:after="0"/>
              <w:rPr>
                <w:sz w:val="1"/>
                <w:szCs w:val="1"/>
                <w:color w:val="auto"/>
              </w:rPr>
            </w:pPr>
          </w:p>
        </w:tc>
      </w:tr>
      <w:tr>
        <w:trPr>
          <w:trHeight w:val="219"/>
        </w:trPr>
        <w:tc>
          <w:tcPr>
            <w:tcW w:w="8600" w:type="dxa"/>
            <w:vAlign w:val="bottom"/>
            <w:shd w:val="clear" w:color="auto" w:fill="BFE4FF"/>
          </w:tcPr>
          <w:p>
            <w:pPr>
              <w:ind w:left="360"/>
              <w:spacing w:after="0"/>
              <w:rPr>
                <w:sz w:val="20"/>
                <w:szCs w:val="20"/>
                <w:color w:val="auto"/>
              </w:rPr>
            </w:pPr>
            <w:r>
              <w:rPr>
                <w:rFonts w:ascii="Arial" w:cs="Arial" w:eastAsia="Arial" w:hAnsi="Arial"/>
                <w:sz w:val="16"/>
                <w:szCs w:val="16"/>
                <w:color w:val="auto"/>
              </w:rPr>
              <w:t>Income tax payable</w:t>
            </w:r>
          </w:p>
        </w:tc>
        <w:tc>
          <w:tcPr>
            <w:tcW w:w="120" w:type="dxa"/>
            <w:vAlign w:val="bottom"/>
            <w:shd w:val="clear" w:color="auto" w:fill="BFE4FF"/>
          </w:tcPr>
          <w:p>
            <w:pPr>
              <w:spacing w:after="0"/>
              <w:rPr>
                <w:sz w:val="19"/>
                <w:szCs w:val="19"/>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926</w:t>
            </w:r>
          </w:p>
        </w:tc>
        <w:tc>
          <w:tcPr>
            <w:tcW w:w="12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2,072</w:t>
            </w:r>
          </w:p>
        </w:tc>
        <w:tc>
          <w:tcPr>
            <w:tcW w:w="0" w:type="dxa"/>
            <w:vAlign w:val="bottom"/>
          </w:tcPr>
          <w:p>
            <w:pPr>
              <w:spacing w:after="0"/>
              <w:rPr>
                <w:sz w:val="1"/>
                <w:szCs w:val="1"/>
                <w:color w:val="auto"/>
              </w:rPr>
            </w:pPr>
          </w:p>
        </w:tc>
      </w:tr>
      <w:tr>
        <w:trPr>
          <w:trHeight w:val="213"/>
        </w:trPr>
        <w:tc>
          <w:tcPr>
            <w:tcW w:w="8600" w:type="dxa"/>
            <w:vAlign w:val="bottom"/>
          </w:tcPr>
          <w:p>
            <w:pPr>
              <w:ind w:left="360"/>
              <w:spacing w:after="0"/>
              <w:rPr>
                <w:sz w:val="20"/>
                <w:szCs w:val="20"/>
                <w:color w:val="auto"/>
              </w:rPr>
            </w:pPr>
            <w:r>
              <w:rPr>
                <w:rFonts w:ascii="Arial" w:cs="Arial" w:eastAsia="Arial" w:hAnsi="Arial"/>
                <w:sz w:val="16"/>
                <w:szCs w:val="16"/>
                <w:color w:val="auto"/>
              </w:rPr>
              <w:t>Current maturities of long-term debt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3,074</w:t>
            </w:r>
          </w:p>
        </w:tc>
        <w:tc>
          <w:tcPr>
            <w:tcW w:w="0" w:type="dxa"/>
            <w:vAlign w:val="bottom"/>
          </w:tcPr>
          <w:p>
            <w:pPr>
              <w:spacing w:after="0"/>
              <w:rPr>
                <w:sz w:val="1"/>
                <w:szCs w:val="1"/>
                <w:color w:val="auto"/>
              </w:rPr>
            </w:pPr>
          </w:p>
        </w:tc>
      </w:tr>
      <w:tr>
        <w:trPr>
          <w:trHeight w:val="219"/>
        </w:trPr>
        <w:tc>
          <w:tcPr>
            <w:tcW w:w="8600" w:type="dxa"/>
            <w:vAlign w:val="bottom"/>
            <w:shd w:val="clear" w:color="auto" w:fill="BFE4FF"/>
          </w:tcPr>
          <w:p>
            <w:pPr>
              <w:ind w:left="360"/>
              <w:spacing w:after="0"/>
              <w:rPr>
                <w:sz w:val="20"/>
                <w:szCs w:val="20"/>
                <w:color w:val="auto"/>
              </w:rPr>
            </w:pPr>
            <w:r>
              <w:rPr>
                <w:rFonts w:ascii="Arial" w:cs="Arial" w:eastAsia="Arial" w:hAnsi="Arial"/>
                <w:sz w:val="16"/>
                <w:szCs w:val="16"/>
                <w:color w:val="auto"/>
              </w:rPr>
              <w:t>Current portion of operating lease liabilities</w:t>
            </w:r>
          </w:p>
        </w:tc>
        <w:tc>
          <w:tcPr>
            <w:tcW w:w="120" w:type="dxa"/>
            <w:vAlign w:val="bottom"/>
            <w:shd w:val="clear" w:color="auto" w:fill="BFE4FF"/>
          </w:tcPr>
          <w:p>
            <w:pPr>
              <w:spacing w:after="0"/>
              <w:rPr>
                <w:sz w:val="19"/>
                <w:szCs w:val="19"/>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5,294</w:t>
            </w:r>
          </w:p>
        </w:tc>
        <w:tc>
          <w:tcPr>
            <w:tcW w:w="12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5,704</w:t>
            </w:r>
          </w:p>
        </w:tc>
        <w:tc>
          <w:tcPr>
            <w:tcW w:w="0" w:type="dxa"/>
            <w:vAlign w:val="bottom"/>
          </w:tcPr>
          <w:p>
            <w:pPr>
              <w:spacing w:after="0"/>
              <w:rPr>
                <w:sz w:val="1"/>
                <w:szCs w:val="1"/>
                <w:color w:val="auto"/>
              </w:rPr>
            </w:pPr>
          </w:p>
        </w:tc>
      </w:tr>
      <w:tr>
        <w:trPr>
          <w:trHeight w:val="213"/>
        </w:trPr>
        <w:tc>
          <w:tcPr>
            <w:tcW w:w="8600" w:type="dxa"/>
            <w:vAlign w:val="bottom"/>
            <w:tcBorders>
              <w:bottom w:val="single" w:sz="8" w:color="BFE4FF"/>
            </w:tcBorders>
          </w:tcPr>
          <w:p>
            <w:pPr>
              <w:ind w:left="360"/>
              <w:spacing w:after="0"/>
              <w:rPr>
                <w:sz w:val="20"/>
                <w:szCs w:val="20"/>
                <w:color w:val="auto"/>
              </w:rPr>
            </w:pPr>
            <w:r>
              <w:rPr>
                <w:rFonts w:ascii="Arial" w:cs="Arial" w:eastAsia="Arial" w:hAnsi="Arial"/>
                <w:sz w:val="16"/>
                <w:szCs w:val="16"/>
                <w:color w:val="auto"/>
              </w:rPr>
              <w:t>Other current liabilities</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11,723</w:t>
            </w:r>
          </w:p>
        </w:tc>
        <w:tc>
          <w:tcPr>
            <w:tcW w:w="120" w:type="dxa"/>
            <w:vAlign w:val="bottom"/>
            <w:tcBorders>
              <w:bottom w:val="single" w:sz="8" w:color="BFE4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8,718</w:t>
            </w:r>
          </w:p>
        </w:tc>
        <w:tc>
          <w:tcPr>
            <w:tcW w:w="0" w:type="dxa"/>
            <w:vAlign w:val="bottom"/>
          </w:tcPr>
          <w:p>
            <w:pPr>
              <w:spacing w:after="0"/>
              <w:rPr>
                <w:sz w:val="1"/>
                <w:szCs w:val="1"/>
                <w:color w:val="auto"/>
              </w:rPr>
            </w:pPr>
          </w:p>
        </w:tc>
      </w:tr>
      <w:tr>
        <w:trPr>
          <w:trHeight w:val="213"/>
        </w:trPr>
        <w:tc>
          <w:tcPr>
            <w:tcW w:w="8600" w:type="dxa"/>
            <w:vAlign w:val="bottom"/>
            <w:shd w:val="clear" w:color="auto" w:fill="BFE4FF"/>
          </w:tcPr>
          <w:p>
            <w:pPr>
              <w:ind w:left="680"/>
              <w:spacing w:after="0"/>
              <w:rPr>
                <w:sz w:val="20"/>
                <w:szCs w:val="20"/>
                <w:color w:val="auto"/>
              </w:rPr>
            </w:pPr>
            <w:r>
              <w:rPr>
                <w:rFonts w:ascii="Arial" w:cs="Arial" w:eastAsia="Arial" w:hAnsi="Arial"/>
                <w:sz w:val="16"/>
                <w:szCs w:val="16"/>
                <w:color w:val="auto"/>
              </w:rPr>
              <w:t>Total current liabilities</w:t>
            </w:r>
          </w:p>
        </w:tc>
        <w:tc>
          <w:tcPr>
            <w:tcW w:w="120" w:type="dxa"/>
            <w:vAlign w:val="bottom"/>
            <w:shd w:val="clear" w:color="auto" w:fill="BFE4FF"/>
          </w:tcPr>
          <w:p>
            <w:pPr>
              <w:spacing w:after="0"/>
              <w:rPr>
                <w:sz w:val="18"/>
                <w:szCs w:val="18"/>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78,806</w:t>
            </w:r>
          </w:p>
        </w:tc>
        <w:tc>
          <w:tcPr>
            <w:tcW w:w="120" w:type="dxa"/>
            <w:vAlign w:val="bottom"/>
            <w:shd w:val="clear" w:color="auto" w:fill="BFE4FF"/>
          </w:tcPr>
          <w:p>
            <w:pPr>
              <w:spacing w:after="0"/>
              <w:rPr>
                <w:sz w:val="18"/>
                <w:szCs w:val="18"/>
                <w:color w:val="auto"/>
              </w:rPr>
            </w:pPr>
          </w:p>
        </w:tc>
        <w:tc>
          <w:tcPr>
            <w:tcW w:w="120" w:type="dxa"/>
            <w:vAlign w:val="bottom"/>
            <w:shd w:val="clear" w:color="auto" w:fill="BFE4FF"/>
          </w:tcPr>
          <w:p>
            <w:pPr>
              <w:spacing w:after="0"/>
              <w:rPr>
                <w:sz w:val="18"/>
                <w:szCs w:val="18"/>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74,017</w:t>
            </w:r>
          </w:p>
        </w:tc>
        <w:tc>
          <w:tcPr>
            <w:tcW w:w="0" w:type="dxa"/>
            <w:vAlign w:val="bottom"/>
          </w:tcPr>
          <w:p>
            <w:pPr>
              <w:spacing w:after="0"/>
              <w:rPr>
                <w:sz w:val="1"/>
                <w:szCs w:val="1"/>
                <w:color w:val="auto"/>
              </w:rPr>
            </w:pPr>
          </w:p>
        </w:tc>
      </w:tr>
      <w:tr>
        <w:trPr>
          <w:trHeight w:val="213"/>
        </w:trPr>
        <w:tc>
          <w:tcPr>
            <w:tcW w:w="8600" w:type="dxa"/>
            <w:vAlign w:val="bottom"/>
          </w:tcPr>
          <w:p>
            <w:pPr>
              <w:ind w:left="140"/>
              <w:spacing w:after="0"/>
              <w:rPr>
                <w:sz w:val="20"/>
                <w:szCs w:val="20"/>
                <w:color w:val="auto"/>
              </w:rPr>
            </w:pPr>
            <w:r>
              <w:rPr>
                <w:rFonts w:ascii="Arial" w:cs="Arial" w:eastAsia="Arial" w:hAnsi="Arial"/>
                <w:sz w:val="16"/>
                <w:szCs w:val="16"/>
                <w:color w:val="auto"/>
              </w:rPr>
              <w:t>Deferred tax liabilities</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5,596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7,456</w:t>
            </w:r>
          </w:p>
        </w:tc>
        <w:tc>
          <w:tcPr>
            <w:tcW w:w="0" w:type="dxa"/>
            <w:vAlign w:val="bottom"/>
          </w:tcPr>
          <w:p>
            <w:pPr>
              <w:spacing w:after="0"/>
              <w:rPr>
                <w:sz w:val="1"/>
                <w:szCs w:val="1"/>
                <w:color w:val="auto"/>
              </w:rPr>
            </w:pPr>
          </w:p>
        </w:tc>
      </w:tr>
      <w:tr>
        <w:trPr>
          <w:trHeight w:val="219"/>
        </w:trPr>
        <w:tc>
          <w:tcPr>
            <w:tcW w:w="8600" w:type="dxa"/>
            <w:vAlign w:val="bottom"/>
            <w:shd w:val="clear" w:color="auto" w:fill="BFE4FF"/>
          </w:tcPr>
          <w:p>
            <w:pPr>
              <w:ind w:left="140"/>
              <w:spacing w:after="0"/>
              <w:rPr>
                <w:sz w:val="20"/>
                <w:szCs w:val="20"/>
                <w:color w:val="auto"/>
              </w:rPr>
            </w:pPr>
            <w:r>
              <w:rPr>
                <w:rFonts w:ascii="Arial" w:cs="Arial" w:eastAsia="Arial" w:hAnsi="Arial"/>
                <w:sz w:val="16"/>
                <w:szCs w:val="16"/>
                <w:color w:val="auto"/>
              </w:rPr>
              <w:t>Long-term debt, net of current portion</w:t>
            </w:r>
          </w:p>
        </w:tc>
        <w:tc>
          <w:tcPr>
            <w:tcW w:w="120" w:type="dxa"/>
            <w:vAlign w:val="bottom"/>
            <w:shd w:val="clear" w:color="auto" w:fill="BFE4FF"/>
          </w:tcPr>
          <w:p>
            <w:pPr>
              <w:spacing w:after="0"/>
              <w:rPr>
                <w:sz w:val="19"/>
                <w:szCs w:val="19"/>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149,389</w:t>
            </w:r>
          </w:p>
        </w:tc>
        <w:tc>
          <w:tcPr>
            <w:tcW w:w="12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151,052</w:t>
            </w:r>
          </w:p>
        </w:tc>
        <w:tc>
          <w:tcPr>
            <w:tcW w:w="0" w:type="dxa"/>
            <w:vAlign w:val="bottom"/>
          </w:tcPr>
          <w:p>
            <w:pPr>
              <w:spacing w:after="0"/>
              <w:rPr>
                <w:sz w:val="1"/>
                <w:szCs w:val="1"/>
                <w:color w:val="auto"/>
              </w:rPr>
            </w:pPr>
          </w:p>
        </w:tc>
      </w:tr>
      <w:tr>
        <w:trPr>
          <w:trHeight w:val="213"/>
        </w:trPr>
        <w:tc>
          <w:tcPr>
            <w:tcW w:w="8600" w:type="dxa"/>
            <w:vAlign w:val="bottom"/>
          </w:tcPr>
          <w:p>
            <w:pPr>
              <w:ind w:left="140"/>
              <w:spacing w:after="0"/>
              <w:rPr>
                <w:sz w:val="20"/>
                <w:szCs w:val="20"/>
                <w:color w:val="auto"/>
              </w:rPr>
            </w:pPr>
            <w:r>
              <w:rPr>
                <w:rFonts w:ascii="Arial" w:cs="Arial" w:eastAsia="Arial" w:hAnsi="Arial"/>
                <w:sz w:val="16"/>
                <w:szCs w:val="16"/>
                <w:color w:val="auto"/>
              </w:rPr>
              <w:t>Operating lease liabilities, net of current portion</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51,411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51,295</w:t>
            </w:r>
          </w:p>
        </w:tc>
        <w:tc>
          <w:tcPr>
            <w:tcW w:w="0" w:type="dxa"/>
            <w:vAlign w:val="bottom"/>
          </w:tcPr>
          <w:p>
            <w:pPr>
              <w:spacing w:after="0"/>
              <w:rPr>
                <w:sz w:val="1"/>
                <w:szCs w:val="1"/>
                <w:color w:val="auto"/>
              </w:rPr>
            </w:pPr>
          </w:p>
        </w:tc>
      </w:tr>
      <w:tr>
        <w:trPr>
          <w:trHeight w:val="219"/>
        </w:trPr>
        <w:tc>
          <w:tcPr>
            <w:tcW w:w="8600" w:type="dxa"/>
            <w:vAlign w:val="bottom"/>
            <w:shd w:val="clear" w:color="auto" w:fill="BFE4FF"/>
          </w:tcPr>
          <w:p>
            <w:pPr>
              <w:ind w:left="140"/>
              <w:spacing w:after="0"/>
              <w:rPr>
                <w:sz w:val="20"/>
                <w:szCs w:val="20"/>
                <w:color w:val="auto"/>
              </w:rPr>
            </w:pPr>
            <w:r>
              <w:rPr>
                <w:rFonts w:ascii="Arial" w:cs="Arial" w:eastAsia="Arial" w:hAnsi="Arial"/>
                <w:sz w:val="16"/>
                <w:szCs w:val="16"/>
                <w:color w:val="auto"/>
              </w:rPr>
              <w:t>Other non-current liabilities</w:t>
            </w:r>
          </w:p>
        </w:tc>
        <w:tc>
          <w:tcPr>
            <w:tcW w:w="120" w:type="dxa"/>
            <w:vAlign w:val="bottom"/>
            <w:tcBorders>
              <w:bottom w:val="single" w:sz="8" w:color="auto"/>
            </w:tcBorders>
            <w:shd w:val="clear" w:color="auto" w:fill="BFE4FF"/>
          </w:tcPr>
          <w:p>
            <w:pPr>
              <w:spacing w:after="0"/>
              <w:rPr>
                <w:sz w:val="19"/>
                <w:szCs w:val="19"/>
                <w:color w:val="auto"/>
              </w:rPr>
            </w:pPr>
          </w:p>
        </w:tc>
        <w:tc>
          <w:tcPr>
            <w:tcW w:w="11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9,960</w:t>
            </w:r>
          </w:p>
        </w:tc>
        <w:tc>
          <w:tcPr>
            <w:tcW w:w="120" w:type="dxa"/>
            <w:vAlign w:val="bottom"/>
            <w:shd w:val="clear" w:color="auto" w:fill="BFE4FF"/>
          </w:tcPr>
          <w:p>
            <w:pPr>
              <w:spacing w:after="0"/>
              <w:rPr>
                <w:sz w:val="19"/>
                <w:szCs w:val="19"/>
                <w:color w:val="auto"/>
              </w:rPr>
            </w:pPr>
          </w:p>
        </w:tc>
        <w:tc>
          <w:tcPr>
            <w:tcW w:w="120" w:type="dxa"/>
            <w:vAlign w:val="bottom"/>
            <w:tcBorders>
              <w:bottom w:val="single" w:sz="8" w:color="auto"/>
            </w:tcBorders>
            <w:shd w:val="clear" w:color="auto" w:fill="BFE4FF"/>
          </w:tcPr>
          <w:p>
            <w:pPr>
              <w:spacing w:after="0"/>
              <w:rPr>
                <w:sz w:val="19"/>
                <w:szCs w:val="19"/>
                <w:color w:val="auto"/>
              </w:rPr>
            </w:pPr>
          </w:p>
        </w:tc>
        <w:tc>
          <w:tcPr>
            <w:tcW w:w="11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17,289</w:t>
            </w:r>
          </w:p>
        </w:tc>
        <w:tc>
          <w:tcPr>
            <w:tcW w:w="0" w:type="dxa"/>
            <w:vAlign w:val="bottom"/>
          </w:tcPr>
          <w:p>
            <w:pPr>
              <w:spacing w:after="0"/>
              <w:rPr>
                <w:sz w:val="1"/>
                <w:szCs w:val="1"/>
                <w:color w:val="auto"/>
              </w:rPr>
            </w:pPr>
          </w:p>
        </w:tc>
      </w:tr>
      <w:tr>
        <w:trPr>
          <w:trHeight w:val="207"/>
        </w:trPr>
        <w:tc>
          <w:tcPr>
            <w:tcW w:w="8600" w:type="dxa"/>
            <w:vAlign w:val="bottom"/>
            <w:tcBorders>
              <w:bottom w:val="single" w:sz="8" w:color="BFE4FF"/>
            </w:tcBorders>
          </w:tcPr>
          <w:p>
            <w:pPr>
              <w:ind w:left="680"/>
              <w:spacing w:after="0"/>
              <w:rPr>
                <w:sz w:val="20"/>
                <w:szCs w:val="20"/>
                <w:color w:val="auto"/>
              </w:rPr>
            </w:pPr>
            <w:r>
              <w:rPr>
                <w:rFonts w:ascii="Arial" w:cs="Arial" w:eastAsia="Arial" w:hAnsi="Arial"/>
                <w:sz w:val="16"/>
                <w:szCs w:val="16"/>
                <w:color w:val="auto"/>
              </w:rPr>
              <w:t>Total liabilities</w:t>
            </w: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295,162</w:t>
            </w:r>
          </w:p>
        </w:tc>
        <w:tc>
          <w:tcPr>
            <w:tcW w:w="120" w:type="dxa"/>
            <w:vAlign w:val="bottom"/>
            <w:tcBorders>
              <w:bottom w:val="single" w:sz="8" w:color="BFE4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301,109</w:t>
            </w:r>
          </w:p>
        </w:tc>
        <w:tc>
          <w:tcPr>
            <w:tcW w:w="0" w:type="dxa"/>
            <w:vAlign w:val="bottom"/>
          </w:tcPr>
          <w:p>
            <w:pPr>
              <w:spacing w:after="0"/>
              <w:rPr>
                <w:sz w:val="1"/>
                <w:szCs w:val="1"/>
                <w:color w:val="auto"/>
              </w:rPr>
            </w:pPr>
          </w:p>
        </w:tc>
      </w:tr>
      <w:tr>
        <w:trPr>
          <w:trHeight w:val="199"/>
        </w:trPr>
        <w:tc>
          <w:tcPr>
            <w:tcW w:w="8600" w:type="dxa"/>
            <w:vAlign w:val="bottom"/>
            <w:shd w:val="clear" w:color="auto" w:fill="BFE4FF"/>
          </w:tcPr>
          <w:p>
            <w:pPr>
              <w:ind w:left="140"/>
              <w:spacing w:after="0"/>
              <w:rPr>
                <w:sz w:val="20"/>
                <w:szCs w:val="20"/>
                <w:color w:val="auto"/>
              </w:rPr>
            </w:pPr>
            <w:r>
              <w:rPr>
                <w:rFonts w:ascii="Arial" w:cs="Arial" w:eastAsia="Arial" w:hAnsi="Arial"/>
                <w:sz w:val="16"/>
                <w:szCs w:val="16"/>
                <w:color w:val="auto"/>
              </w:rPr>
              <w:t>Commitments and contingencies</w:t>
            </w:r>
          </w:p>
        </w:tc>
        <w:tc>
          <w:tcPr>
            <w:tcW w:w="120" w:type="dxa"/>
            <w:vAlign w:val="bottom"/>
            <w:shd w:val="clear" w:color="auto" w:fill="BFE4FF"/>
          </w:tcPr>
          <w:p>
            <w:pPr>
              <w:spacing w:after="0"/>
              <w:rPr>
                <w:sz w:val="17"/>
                <w:szCs w:val="17"/>
                <w:color w:val="auto"/>
              </w:rPr>
            </w:pPr>
          </w:p>
        </w:tc>
        <w:tc>
          <w:tcPr>
            <w:tcW w:w="1140" w:type="dxa"/>
            <w:vAlign w:val="bottom"/>
            <w:shd w:val="clear" w:color="auto" w:fill="BFE4FF"/>
          </w:tcPr>
          <w:p>
            <w:pPr>
              <w:spacing w:after="0"/>
              <w:rPr>
                <w:sz w:val="17"/>
                <w:szCs w:val="17"/>
                <w:color w:val="auto"/>
              </w:rPr>
            </w:pPr>
          </w:p>
        </w:tc>
        <w:tc>
          <w:tcPr>
            <w:tcW w:w="120" w:type="dxa"/>
            <w:vAlign w:val="bottom"/>
            <w:shd w:val="clear" w:color="auto" w:fill="BFE4FF"/>
          </w:tcPr>
          <w:p>
            <w:pPr>
              <w:spacing w:after="0"/>
              <w:rPr>
                <w:sz w:val="17"/>
                <w:szCs w:val="17"/>
                <w:color w:val="auto"/>
              </w:rPr>
            </w:pPr>
          </w:p>
        </w:tc>
        <w:tc>
          <w:tcPr>
            <w:tcW w:w="120" w:type="dxa"/>
            <w:vAlign w:val="bottom"/>
            <w:shd w:val="clear" w:color="auto" w:fill="BFE4FF"/>
          </w:tcPr>
          <w:p>
            <w:pPr>
              <w:spacing w:after="0"/>
              <w:rPr>
                <w:sz w:val="17"/>
                <w:szCs w:val="17"/>
                <w:color w:val="auto"/>
              </w:rPr>
            </w:pPr>
          </w:p>
        </w:tc>
        <w:tc>
          <w:tcPr>
            <w:tcW w:w="1140" w:type="dxa"/>
            <w:vAlign w:val="bottom"/>
            <w:shd w:val="clear" w:color="auto" w:fill="BFE4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600" w:type="dxa"/>
            <w:vAlign w:val="bottom"/>
          </w:tcPr>
          <w:p>
            <w:pPr>
              <w:ind w:left="140"/>
              <w:spacing w:after="0" w:line="166" w:lineRule="exact"/>
              <w:rPr>
                <w:sz w:val="20"/>
                <w:szCs w:val="20"/>
                <w:color w:val="auto"/>
              </w:rPr>
            </w:pPr>
            <w:r>
              <w:rPr>
                <w:rFonts w:ascii="Arial" w:cs="Arial" w:eastAsia="Arial" w:hAnsi="Arial"/>
                <w:sz w:val="16"/>
                <w:szCs w:val="16"/>
                <w:color w:val="auto"/>
                <w:w w:val="90"/>
              </w:rPr>
              <w:t>Series D perpetual preferred stock - $0.01 par value per share, 65 shares authorized, issued and outstanding at December 31, 2022</w:t>
            </w:r>
          </w:p>
        </w:tc>
        <w:tc>
          <w:tcPr>
            <w:tcW w:w="1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64,701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53,807</w:t>
            </w:r>
          </w:p>
        </w:tc>
        <w:tc>
          <w:tcPr>
            <w:tcW w:w="0" w:type="dxa"/>
            <w:vAlign w:val="bottom"/>
          </w:tcPr>
          <w:p>
            <w:pPr>
              <w:spacing w:after="0"/>
              <w:rPr>
                <w:sz w:val="1"/>
                <w:szCs w:val="1"/>
                <w:color w:val="auto"/>
              </w:rPr>
            </w:pPr>
          </w:p>
        </w:tc>
      </w:tr>
      <w:tr>
        <w:trPr>
          <w:trHeight w:val="209"/>
        </w:trPr>
        <w:tc>
          <w:tcPr>
            <w:tcW w:w="8600" w:type="dxa"/>
            <w:vAlign w:val="bottom"/>
          </w:tcPr>
          <w:p>
            <w:pPr>
              <w:ind w:left="140"/>
              <w:spacing w:after="0"/>
              <w:rPr>
                <w:sz w:val="20"/>
                <w:szCs w:val="20"/>
                <w:color w:val="auto"/>
              </w:rPr>
            </w:pPr>
            <w:r>
              <w:rPr>
                <w:rFonts w:ascii="Arial" w:cs="Arial" w:eastAsia="Arial" w:hAnsi="Arial"/>
                <w:sz w:val="16"/>
                <w:szCs w:val="16"/>
                <w:color w:val="auto"/>
              </w:rPr>
              <w:t>and December 31, 2021, respectively</w:t>
            </w:r>
          </w:p>
        </w:tc>
        <w:tc>
          <w:tcPr>
            <w:tcW w:w="1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600" w:type="dxa"/>
            <w:vAlign w:val="bottom"/>
            <w:shd w:val="clear" w:color="auto" w:fill="BFE4FF"/>
          </w:tcPr>
          <w:p>
            <w:pPr>
              <w:ind w:left="140"/>
              <w:spacing w:after="0"/>
              <w:rPr>
                <w:sz w:val="20"/>
                <w:szCs w:val="20"/>
                <w:color w:val="auto"/>
              </w:rPr>
            </w:pPr>
            <w:r>
              <w:rPr>
                <w:rFonts w:ascii="Arial" w:cs="Arial" w:eastAsia="Arial" w:hAnsi="Arial"/>
                <w:sz w:val="16"/>
                <w:szCs w:val="16"/>
                <w:color w:val="auto"/>
              </w:rPr>
              <w:t>Stockholders' equity:</w:t>
            </w:r>
          </w:p>
        </w:tc>
        <w:tc>
          <w:tcPr>
            <w:tcW w:w="120" w:type="dxa"/>
            <w:vAlign w:val="bottom"/>
            <w:shd w:val="clear" w:color="auto" w:fill="BFE4FF"/>
          </w:tcPr>
          <w:p>
            <w:pPr>
              <w:spacing w:after="0"/>
              <w:rPr>
                <w:sz w:val="19"/>
                <w:szCs w:val="19"/>
                <w:color w:val="auto"/>
              </w:rPr>
            </w:pPr>
          </w:p>
        </w:tc>
        <w:tc>
          <w:tcPr>
            <w:tcW w:w="114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1140" w:type="dxa"/>
            <w:vAlign w:val="bottom"/>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8600" w:type="dxa"/>
            <w:vAlign w:val="bottom"/>
          </w:tcPr>
          <w:p>
            <w:pPr>
              <w:ind w:left="360"/>
              <w:spacing w:after="0" w:line="166" w:lineRule="exact"/>
              <w:rPr>
                <w:sz w:val="20"/>
                <w:szCs w:val="20"/>
                <w:color w:val="auto"/>
              </w:rPr>
            </w:pPr>
            <w:r>
              <w:rPr>
                <w:rFonts w:ascii="Arial" w:cs="Arial" w:eastAsia="Arial" w:hAnsi="Arial"/>
                <w:sz w:val="16"/>
                <w:szCs w:val="16"/>
                <w:color w:val="auto"/>
                <w:w w:val="94"/>
              </w:rPr>
              <w:t>Common stock - $0.01 par value per share, 90,000 shares authorized, 43,856 and 43,027 shares issued and outstanding at</w:t>
            </w:r>
          </w:p>
        </w:tc>
        <w:tc>
          <w:tcPr>
            <w:tcW w:w="1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439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430</w:t>
            </w:r>
          </w:p>
        </w:tc>
        <w:tc>
          <w:tcPr>
            <w:tcW w:w="0" w:type="dxa"/>
            <w:vAlign w:val="bottom"/>
          </w:tcPr>
          <w:p>
            <w:pPr>
              <w:spacing w:after="0"/>
              <w:rPr>
                <w:sz w:val="1"/>
                <w:szCs w:val="1"/>
                <w:color w:val="auto"/>
              </w:rPr>
            </w:pPr>
          </w:p>
        </w:tc>
      </w:tr>
      <w:tr>
        <w:trPr>
          <w:trHeight w:val="209"/>
        </w:trPr>
        <w:tc>
          <w:tcPr>
            <w:tcW w:w="8600" w:type="dxa"/>
            <w:vAlign w:val="bottom"/>
          </w:tcPr>
          <w:p>
            <w:pPr>
              <w:ind w:left="360"/>
              <w:spacing w:after="0"/>
              <w:rPr>
                <w:sz w:val="20"/>
                <w:szCs w:val="20"/>
                <w:color w:val="auto"/>
              </w:rPr>
            </w:pPr>
            <w:r>
              <w:rPr>
                <w:rFonts w:ascii="Arial" w:cs="Arial" w:eastAsia="Arial" w:hAnsi="Arial"/>
                <w:sz w:val="16"/>
                <w:szCs w:val="16"/>
                <w:color w:val="auto"/>
              </w:rPr>
              <w:t>December 31, 2022 and December 31, 2021, respectively</w:t>
            </w:r>
          </w:p>
        </w:tc>
        <w:tc>
          <w:tcPr>
            <w:tcW w:w="1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600" w:type="dxa"/>
            <w:vAlign w:val="bottom"/>
            <w:shd w:val="clear" w:color="auto" w:fill="BFE4FF"/>
          </w:tcPr>
          <w:p>
            <w:pPr>
              <w:ind w:left="360"/>
              <w:spacing w:after="0"/>
              <w:rPr>
                <w:sz w:val="20"/>
                <w:szCs w:val="20"/>
                <w:color w:val="auto"/>
              </w:rPr>
            </w:pPr>
            <w:r>
              <w:rPr>
                <w:rFonts w:ascii="Arial" w:cs="Arial" w:eastAsia="Arial" w:hAnsi="Arial"/>
                <w:sz w:val="16"/>
                <w:szCs w:val="16"/>
                <w:color w:val="auto"/>
              </w:rPr>
              <w:t>Additional paid-in capital</w:t>
            </w:r>
          </w:p>
        </w:tc>
        <w:tc>
          <w:tcPr>
            <w:tcW w:w="120" w:type="dxa"/>
            <w:vAlign w:val="bottom"/>
            <w:shd w:val="clear" w:color="auto" w:fill="BFE4FF"/>
          </w:tcPr>
          <w:p>
            <w:pPr>
              <w:spacing w:after="0"/>
              <w:rPr>
                <w:sz w:val="19"/>
                <w:szCs w:val="19"/>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468,143</w:t>
            </w:r>
          </w:p>
        </w:tc>
        <w:tc>
          <w:tcPr>
            <w:tcW w:w="12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474,757</w:t>
            </w:r>
          </w:p>
        </w:tc>
        <w:tc>
          <w:tcPr>
            <w:tcW w:w="0" w:type="dxa"/>
            <w:vAlign w:val="bottom"/>
          </w:tcPr>
          <w:p>
            <w:pPr>
              <w:spacing w:after="0"/>
              <w:rPr>
                <w:sz w:val="1"/>
                <w:szCs w:val="1"/>
                <w:color w:val="auto"/>
              </w:rPr>
            </w:pPr>
          </w:p>
        </w:tc>
      </w:tr>
      <w:tr>
        <w:trPr>
          <w:trHeight w:val="213"/>
        </w:trPr>
        <w:tc>
          <w:tcPr>
            <w:tcW w:w="8600" w:type="dxa"/>
            <w:vAlign w:val="bottom"/>
          </w:tcPr>
          <w:p>
            <w:pPr>
              <w:ind w:left="360"/>
              <w:spacing w:after="0"/>
              <w:rPr>
                <w:sz w:val="20"/>
                <w:szCs w:val="20"/>
                <w:color w:val="auto"/>
              </w:rPr>
            </w:pPr>
            <w:r>
              <w:rPr>
                <w:rFonts w:ascii="Arial" w:cs="Arial" w:eastAsia="Arial" w:hAnsi="Arial"/>
                <w:sz w:val="16"/>
                <w:szCs w:val="16"/>
                <w:color w:val="auto"/>
              </w:rPr>
              <w:t>Accumulated deficit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(245,198)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(219,100)</w:t>
            </w:r>
          </w:p>
        </w:tc>
        <w:tc>
          <w:tcPr>
            <w:tcW w:w="0" w:type="dxa"/>
            <w:vAlign w:val="bottom"/>
          </w:tcPr>
          <w:p>
            <w:pPr>
              <w:spacing w:after="0"/>
              <w:rPr>
                <w:sz w:val="1"/>
                <w:szCs w:val="1"/>
                <w:color w:val="auto"/>
              </w:rPr>
            </w:pPr>
          </w:p>
        </w:tc>
      </w:tr>
      <w:tr>
        <w:trPr>
          <w:trHeight w:val="219"/>
        </w:trPr>
        <w:tc>
          <w:tcPr>
            <w:tcW w:w="8600" w:type="dxa"/>
            <w:vAlign w:val="bottom"/>
            <w:shd w:val="clear" w:color="auto" w:fill="BFE4FF"/>
          </w:tcPr>
          <w:p>
            <w:pPr>
              <w:ind w:left="360"/>
              <w:spacing w:after="0"/>
              <w:rPr>
                <w:sz w:val="20"/>
                <w:szCs w:val="20"/>
                <w:color w:val="auto"/>
              </w:rPr>
            </w:pPr>
            <w:r>
              <w:rPr>
                <w:rFonts w:ascii="Arial" w:cs="Arial" w:eastAsia="Arial" w:hAnsi="Arial"/>
                <w:sz w:val="16"/>
                <w:szCs w:val="16"/>
                <w:color w:val="auto"/>
              </w:rPr>
              <w:t>Accumulated other comprehensive loss</w:t>
            </w:r>
          </w:p>
        </w:tc>
        <w:tc>
          <w:tcPr>
            <w:tcW w:w="120" w:type="dxa"/>
            <w:vAlign w:val="bottom"/>
            <w:tcBorders>
              <w:bottom w:val="single" w:sz="8" w:color="auto"/>
            </w:tcBorders>
            <w:shd w:val="clear" w:color="auto" w:fill="BFE4FF"/>
          </w:tcPr>
          <w:p>
            <w:pPr>
              <w:spacing w:after="0"/>
              <w:rPr>
                <w:sz w:val="19"/>
                <w:szCs w:val="19"/>
                <w:color w:val="auto"/>
              </w:rPr>
            </w:pPr>
          </w:p>
        </w:tc>
        <w:tc>
          <w:tcPr>
            <w:tcW w:w="11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(37,120)</w:t>
            </w:r>
          </w:p>
        </w:tc>
        <w:tc>
          <w:tcPr>
            <w:tcW w:w="120" w:type="dxa"/>
            <w:vAlign w:val="bottom"/>
            <w:shd w:val="clear" w:color="auto" w:fill="BFE4FF"/>
          </w:tcPr>
          <w:p>
            <w:pPr>
              <w:spacing w:after="0"/>
              <w:rPr>
                <w:sz w:val="19"/>
                <w:szCs w:val="19"/>
                <w:color w:val="auto"/>
              </w:rPr>
            </w:pPr>
          </w:p>
        </w:tc>
        <w:tc>
          <w:tcPr>
            <w:tcW w:w="120" w:type="dxa"/>
            <w:vAlign w:val="bottom"/>
            <w:tcBorders>
              <w:bottom w:val="single" w:sz="8" w:color="auto"/>
            </w:tcBorders>
            <w:shd w:val="clear" w:color="auto" w:fill="BFE4FF"/>
          </w:tcPr>
          <w:p>
            <w:pPr>
              <w:spacing w:after="0"/>
              <w:rPr>
                <w:sz w:val="19"/>
                <w:szCs w:val="19"/>
                <w:color w:val="auto"/>
              </w:rPr>
            </w:pPr>
          </w:p>
        </w:tc>
        <w:tc>
          <w:tcPr>
            <w:tcW w:w="11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(31,902)</w:t>
            </w:r>
          </w:p>
        </w:tc>
        <w:tc>
          <w:tcPr>
            <w:tcW w:w="0" w:type="dxa"/>
            <w:vAlign w:val="bottom"/>
          </w:tcPr>
          <w:p>
            <w:pPr>
              <w:spacing w:after="0"/>
              <w:rPr>
                <w:sz w:val="1"/>
                <w:szCs w:val="1"/>
                <w:color w:val="auto"/>
              </w:rPr>
            </w:pPr>
          </w:p>
        </w:tc>
      </w:tr>
      <w:tr>
        <w:trPr>
          <w:trHeight w:val="206"/>
        </w:trPr>
        <w:tc>
          <w:tcPr>
            <w:tcW w:w="8600" w:type="dxa"/>
            <w:vAlign w:val="bottom"/>
            <w:tcBorders>
              <w:bottom w:val="single" w:sz="8" w:color="BFE4FF"/>
            </w:tcBorders>
          </w:tcPr>
          <w:p>
            <w:pPr>
              <w:ind w:left="680"/>
              <w:spacing w:after="0"/>
              <w:rPr>
                <w:sz w:val="20"/>
                <w:szCs w:val="20"/>
                <w:color w:val="auto"/>
              </w:rPr>
            </w:pPr>
            <w:r>
              <w:rPr>
                <w:rFonts w:ascii="Arial" w:cs="Arial" w:eastAsia="Arial" w:hAnsi="Arial"/>
                <w:sz w:val="16"/>
                <w:szCs w:val="16"/>
                <w:color w:val="auto"/>
              </w:rPr>
              <w:t>Total stockholders’ equity</w:t>
            </w: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186,264</w:t>
            </w:r>
          </w:p>
        </w:tc>
        <w:tc>
          <w:tcPr>
            <w:tcW w:w="120" w:type="dxa"/>
            <w:vAlign w:val="bottom"/>
            <w:tcBorders>
              <w:bottom w:val="single" w:sz="8" w:color="BFE4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224,185</w:t>
            </w:r>
          </w:p>
        </w:tc>
        <w:tc>
          <w:tcPr>
            <w:tcW w:w="0" w:type="dxa"/>
            <w:vAlign w:val="bottom"/>
          </w:tcPr>
          <w:p>
            <w:pPr>
              <w:spacing w:after="0"/>
              <w:rPr>
                <w:sz w:val="1"/>
                <w:szCs w:val="1"/>
                <w:color w:val="auto"/>
              </w:rPr>
            </w:pPr>
          </w:p>
        </w:tc>
      </w:tr>
      <w:tr>
        <w:trPr>
          <w:trHeight w:val="235"/>
        </w:trPr>
        <w:tc>
          <w:tcPr>
            <w:tcW w:w="860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Total liabilities, preferred stock, and stockholders’ equity</w:t>
            </w:r>
          </w:p>
        </w:tc>
        <w:tc>
          <w:tcPr>
            <w:tcW w:w="1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546,127</w:t>
            </w:r>
          </w:p>
        </w:tc>
        <w:tc>
          <w:tcPr>
            <w:tcW w:w="120" w:type="dxa"/>
            <w:vAlign w:val="bottom"/>
            <w:tcBorders>
              <w:bottom w:val="single" w:sz="8" w:color="BFE4FF"/>
            </w:tcBorders>
            <w:shd w:val="clear" w:color="auto" w:fill="BFE4FF"/>
          </w:tcPr>
          <w:p>
            <w:pPr>
              <w:spacing w:after="0"/>
              <w:rPr>
                <w:sz w:val="19"/>
                <w:szCs w:val="19"/>
                <w:color w:val="auto"/>
              </w:rPr>
            </w:pPr>
          </w:p>
        </w:tc>
        <w:tc>
          <w:tcPr>
            <w:tcW w:w="1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579,101</w:t>
            </w:r>
          </w:p>
        </w:tc>
        <w:tc>
          <w:tcPr>
            <w:tcW w:w="0" w:type="dxa"/>
            <w:vAlign w:val="bottom"/>
          </w:tcPr>
          <w:p>
            <w:pPr>
              <w:spacing w:after="0"/>
              <w:rPr>
                <w:sz w:val="1"/>
                <w:szCs w:val="1"/>
                <w:color w:val="auto"/>
              </w:rPr>
            </w:pPr>
          </w:p>
        </w:tc>
      </w:tr>
      <w:tr>
        <w:trPr>
          <w:trHeight w:val="20"/>
        </w:trPr>
        <w:tc>
          <w:tcPr>
            <w:tcW w:w="8600" w:type="dxa"/>
            <w:vAlign w:val="bottom"/>
            <w:tcBorders>
              <w:top w:val="single" w:sz="8" w:color="BFE4FF"/>
            </w:tcBorders>
          </w:tcPr>
          <w:p>
            <w:pPr>
              <w:spacing w:after="0" w:line="20" w:lineRule="exact"/>
              <w:rPr>
                <w:sz w:val="1"/>
                <w:szCs w:val="1"/>
                <w:color w:val="auto"/>
              </w:rPr>
            </w:pPr>
          </w:p>
        </w:tc>
        <w:tc>
          <w:tcPr>
            <w:tcW w:w="120" w:type="dxa"/>
            <w:vAlign w:val="bottom"/>
            <w:tcBorders>
              <w:top w:val="single" w:sz="8" w:color="BFE4FF"/>
              <w:bottom w:val="single" w:sz="8" w:color="auto"/>
            </w:tcBorders>
          </w:tcPr>
          <w:p>
            <w:pPr>
              <w:spacing w:after="0" w:line="20" w:lineRule="exact"/>
              <w:rPr>
                <w:sz w:val="1"/>
                <w:szCs w:val="1"/>
                <w:color w:val="auto"/>
              </w:rPr>
            </w:pPr>
          </w:p>
        </w:tc>
        <w:tc>
          <w:tcPr>
            <w:tcW w:w="1140" w:type="dxa"/>
            <w:vAlign w:val="bottom"/>
            <w:tcBorders>
              <w:top w:val="single" w:sz="8" w:color="BFE4FF"/>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120" w:type="dxa"/>
            <w:vAlign w:val="bottom"/>
            <w:tcBorders>
              <w:top w:val="single" w:sz="8" w:color="BFE4FF"/>
              <w:bottom w:val="single" w:sz="8" w:color="auto"/>
            </w:tcBorders>
          </w:tcPr>
          <w:p>
            <w:pPr>
              <w:spacing w:after="0" w:line="20" w:lineRule="exact"/>
              <w:rPr>
                <w:sz w:val="1"/>
                <w:szCs w:val="1"/>
                <w:color w:val="auto"/>
              </w:rPr>
            </w:pPr>
          </w:p>
        </w:tc>
        <w:tc>
          <w:tcPr>
            <w:tcW w:w="1140" w:type="dxa"/>
            <w:vAlign w:val="bottom"/>
            <w:tcBorders>
              <w:top w:val="single" w:sz="8" w:color="BFE4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390" w:right="339" w:bottom="1440" w:gutter="0" w:footer="0" w:header="0"/>
        </w:sectPr>
      </w:pPr>
    </w:p>
    <w:bookmarkStart w:id="9" w:name="page10"/>
    <w:bookmarkEnd w:id="9"/>
    <w:p>
      <w:pPr>
        <w:ind w:left="5300"/>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Year Ended</w:t>
            </w:r>
          </w:p>
        </w:tc>
        <w:tc>
          <w:tcPr>
            <w:tcW w:w="900" w:type="dxa"/>
            <w:vAlign w:val="bottom"/>
          </w:tcPr>
          <w:p>
            <w:pPr>
              <w:spacing w:after="0"/>
              <w:rPr>
                <w:sz w:val="16"/>
                <w:szCs w:val="16"/>
                <w:color w:val="auto"/>
              </w:rPr>
            </w:pPr>
          </w:p>
        </w:tc>
      </w:tr>
      <w:tr>
        <w:trPr>
          <w:trHeight w:val="210"/>
        </w:trPr>
        <w:tc>
          <w:tcPr>
            <w:tcW w:w="83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00" w:type="dxa"/>
            <w:vAlign w:val="bottom"/>
            <w:tcBorders>
              <w:bottom w:val="single" w:sz="8" w:color="auto"/>
            </w:tcBorders>
          </w:tcPr>
          <w:p>
            <w:pPr>
              <w:spacing w:after="0"/>
              <w:rPr>
                <w:sz w:val="18"/>
                <w:szCs w:val="18"/>
                <w:color w:val="auto"/>
              </w:rPr>
            </w:pPr>
          </w:p>
        </w:tc>
      </w:tr>
      <w:tr>
        <w:trPr>
          <w:trHeight w:val="212"/>
        </w:trPr>
        <w:tc>
          <w:tcPr>
            <w:tcW w:w="8380" w:type="dxa"/>
            <w:vAlign w:val="bottom"/>
            <w:tcBorders>
              <w:bottom w:val="single" w:sz="8" w:color="BFE4FF"/>
            </w:tcBorders>
          </w:tcPr>
          <w:p>
            <w:pPr>
              <w:ind w:left="20"/>
              <w:spacing w:after="0"/>
              <w:rPr>
                <w:sz w:val="20"/>
                <w:szCs w:val="20"/>
                <w:color w:val="auto"/>
              </w:rPr>
            </w:pPr>
            <w:r>
              <w:rPr>
                <w:rFonts w:ascii="Arial" w:cs="Arial" w:eastAsia="Arial" w:hAnsi="Arial"/>
                <w:sz w:val="16"/>
                <w:szCs w:val="16"/>
                <w:b w:val="1"/>
                <w:bCs w:val="1"/>
                <w:i w:val="1"/>
                <w:iCs w:val="1"/>
                <w:color w:val="auto"/>
              </w:rPr>
              <w:t>(in thousands)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bottom w:val="single" w:sz="8" w:color="BFE4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r>
      <w:tr>
        <w:trPr>
          <w:trHeight w:val="199"/>
        </w:trPr>
        <w:tc>
          <w:tcPr>
            <w:tcW w:w="8380" w:type="dxa"/>
            <w:vAlign w:val="bottom"/>
            <w:shd w:val="clear" w:color="auto" w:fill="BFE4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00" w:type="dxa"/>
            <w:vAlign w:val="bottom"/>
            <w:shd w:val="clear" w:color="auto" w:fill="BFE4FF"/>
          </w:tcPr>
          <w:p>
            <w:pPr>
              <w:spacing w:after="0"/>
              <w:rPr>
                <w:sz w:val="17"/>
                <w:szCs w:val="17"/>
                <w:color w:val="auto"/>
              </w:rPr>
            </w:pPr>
          </w:p>
        </w:tc>
        <w:tc>
          <w:tcPr>
            <w:tcW w:w="1060" w:type="dxa"/>
            <w:vAlign w:val="bottom"/>
            <w:shd w:val="clear" w:color="auto" w:fill="BFE4FF"/>
          </w:tcPr>
          <w:p>
            <w:pPr>
              <w:spacing w:after="0"/>
              <w:rPr>
                <w:sz w:val="17"/>
                <w:szCs w:val="17"/>
                <w:color w:val="auto"/>
              </w:rPr>
            </w:pPr>
          </w:p>
        </w:tc>
        <w:tc>
          <w:tcPr>
            <w:tcW w:w="140" w:type="dxa"/>
            <w:vAlign w:val="bottom"/>
            <w:shd w:val="clear" w:color="auto" w:fill="BFE4FF"/>
          </w:tcPr>
          <w:p>
            <w:pPr>
              <w:spacing w:after="0"/>
              <w:rPr>
                <w:sz w:val="17"/>
                <w:szCs w:val="17"/>
                <w:color w:val="auto"/>
              </w:rPr>
            </w:pPr>
          </w:p>
        </w:tc>
        <w:tc>
          <w:tcPr>
            <w:tcW w:w="460" w:type="dxa"/>
            <w:vAlign w:val="bottom"/>
            <w:shd w:val="clear" w:color="auto" w:fill="BFE4FF"/>
          </w:tcPr>
          <w:p>
            <w:pPr>
              <w:spacing w:after="0"/>
              <w:rPr>
                <w:sz w:val="17"/>
                <w:szCs w:val="17"/>
                <w:color w:val="auto"/>
              </w:rPr>
            </w:pPr>
          </w:p>
        </w:tc>
        <w:tc>
          <w:tcPr>
            <w:tcW w:w="900" w:type="dxa"/>
            <w:vAlign w:val="bottom"/>
            <w:shd w:val="clear" w:color="auto" w:fill="BFE4FF"/>
          </w:tcPr>
          <w:p>
            <w:pPr>
              <w:spacing w:after="0"/>
              <w:rPr>
                <w:sz w:val="17"/>
                <w:szCs w:val="17"/>
                <w:color w:val="auto"/>
              </w:rPr>
            </w:pPr>
          </w:p>
        </w:tc>
      </w:tr>
      <w:tr>
        <w:trPr>
          <w:trHeight w:val="213"/>
        </w:trPr>
        <w:tc>
          <w:tcPr>
            <w:tcW w:w="8380" w:type="dxa"/>
            <w:vAlign w:val="bottom"/>
          </w:tcPr>
          <w:p>
            <w:pPr>
              <w:ind w:left="140"/>
              <w:spacing w:after="0"/>
              <w:rPr>
                <w:sz w:val="20"/>
                <w:szCs w:val="20"/>
                <w:color w:val="auto"/>
              </w:rPr>
            </w:pPr>
            <w:r>
              <w:rPr>
                <w:rFonts w:ascii="Arial" w:cs="Arial" w:eastAsia="Arial" w:hAnsi="Arial"/>
                <w:sz w:val="16"/>
                <w:szCs w:val="16"/>
                <w:color w:val="auto"/>
              </w:rPr>
              <w:t>Net (loss)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(26,098)</w:t>
            </w:r>
          </w:p>
        </w:tc>
        <w:tc>
          <w:tcPr>
            <w:tcW w:w="14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(13,225)</w:t>
            </w:r>
          </w:p>
        </w:tc>
      </w:tr>
      <w:tr>
        <w:trPr>
          <w:trHeight w:val="219"/>
        </w:trPr>
        <w:tc>
          <w:tcPr>
            <w:tcW w:w="8380" w:type="dxa"/>
            <w:vAlign w:val="bottom"/>
            <w:shd w:val="clear" w:color="auto" w:fill="BFE4FF"/>
          </w:tcPr>
          <w:p>
            <w:pPr>
              <w:ind w:left="14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300" w:type="dxa"/>
            <w:vAlign w:val="bottom"/>
            <w:shd w:val="clear" w:color="auto" w:fill="BFE4FF"/>
          </w:tcPr>
          <w:p>
            <w:pPr>
              <w:spacing w:after="0"/>
              <w:rPr>
                <w:sz w:val="19"/>
                <w:szCs w:val="19"/>
                <w:color w:val="auto"/>
              </w:rPr>
            </w:pPr>
          </w:p>
        </w:tc>
        <w:tc>
          <w:tcPr>
            <w:tcW w:w="1060" w:type="dxa"/>
            <w:vAlign w:val="bottom"/>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460" w:type="dxa"/>
            <w:vAlign w:val="bottom"/>
            <w:shd w:val="clear" w:color="auto" w:fill="BFE4FF"/>
          </w:tcPr>
          <w:p>
            <w:pPr>
              <w:spacing w:after="0"/>
              <w:rPr>
                <w:sz w:val="19"/>
                <w:szCs w:val="19"/>
                <w:color w:val="auto"/>
              </w:rPr>
            </w:pPr>
          </w:p>
        </w:tc>
        <w:tc>
          <w:tcPr>
            <w:tcW w:w="900" w:type="dxa"/>
            <w:vAlign w:val="bottom"/>
            <w:shd w:val="clear" w:color="auto" w:fill="BFE4FF"/>
          </w:tcPr>
          <w:p>
            <w:pPr>
              <w:spacing w:after="0"/>
              <w:rPr>
                <w:sz w:val="19"/>
                <w:szCs w:val="19"/>
                <w:color w:val="auto"/>
              </w:rPr>
            </w:pPr>
          </w:p>
        </w:tc>
      </w:tr>
      <w:tr>
        <w:trPr>
          <w:trHeight w:val="213"/>
        </w:trPr>
        <w:tc>
          <w:tcPr>
            <w:tcW w:w="8380" w:type="dxa"/>
            <w:vAlign w:val="bottom"/>
          </w:tcPr>
          <w:p>
            <w:pPr>
              <w:ind w:left="48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47,231</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46,195</w:t>
            </w:r>
          </w:p>
        </w:tc>
      </w:tr>
      <w:tr>
        <w:trPr>
          <w:trHeight w:val="219"/>
        </w:trPr>
        <w:tc>
          <w:tcPr>
            <w:tcW w:w="8380" w:type="dxa"/>
            <w:vAlign w:val="bottom"/>
            <w:shd w:val="clear" w:color="auto" w:fill="BFE4FF"/>
          </w:tcPr>
          <w:p>
            <w:pPr>
              <w:ind w:left="480"/>
              <w:spacing w:after="0"/>
              <w:rPr>
                <w:sz w:val="20"/>
                <w:szCs w:val="20"/>
                <w:color w:val="auto"/>
              </w:rPr>
            </w:pPr>
            <w:r>
              <w:rPr>
                <w:rFonts w:ascii="Arial" w:cs="Arial" w:eastAsia="Arial" w:hAnsi="Arial"/>
                <w:sz w:val="16"/>
                <w:szCs w:val="16"/>
                <w:color w:val="auto"/>
              </w:rPr>
              <w:t>Amortization of debt issuance costs and discount</w:t>
            </w:r>
          </w:p>
        </w:tc>
        <w:tc>
          <w:tcPr>
            <w:tcW w:w="300" w:type="dxa"/>
            <w:vAlign w:val="bottom"/>
            <w:shd w:val="clear" w:color="auto" w:fill="BFE4FF"/>
          </w:tcPr>
          <w:p>
            <w:pPr>
              <w:spacing w:after="0"/>
              <w:rPr>
                <w:sz w:val="19"/>
                <w:szCs w:val="19"/>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1,361</w:t>
            </w:r>
          </w:p>
        </w:tc>
        <w:tc>
          <w:tcPr>
            <w:tcW w:w="140" w:type="dxa"/>
            <w:vAlign w:val="bottom"/>
            <w:shd w:val="clear" w:color="auto" w:fill="BFE4FF"/>
          </w:tcPr>
          <w:p>
            <w:pPr>
              <w:spacing w:after="0"/>
              <w:rPr>
                <w:sz w:val="19"/>
                <w:szCs w:val="19"/>
                <w:color w:val="auto"/>
              </w:rPr>
            </w:pPr>
          </w:p>
        </w:tc>
        <w:tc>
          <w:tcPr>
            <w:tcW w:w="460" w:type="dxa"/>
            <w:vAlign w:val="bottom"/>
            <w:shd w:val="clear" w:color="auto" w:fill="BFE4FF"/>
          </w:tcPr>
          <w:p>
            <w:pPr>
              <w:spacing w:after="0"/>
              <w:rPr>
                <w:sz w:val="19"/>
                <w:szCs w:val="19"/>
                <w:color w:val="auto"/>
              </w:rPr>
            </w:pPr>
          </w:p>
        </w:tc>
        <w:tc>
          <w:tcPr>
            <w:tcW w:w="9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1,381</w:t>
            </w:r>
          </w:p>
        </w:tc>
      </w:tr>
      <w:tr>
        <w:trPr>
          <w:trHeight w:val="213"/>
        </w:trPr>
        <w:tc>
          <w:tcPr>
            <w:tcW w:w="8380" w:type="dxa"/>
            <w:vAlign w:val="bottom"/>
          </w:tcPr>
          <w:p>
            <w:pPr>
              <w:ind w:left="480"/>
              <w:spacing w:after="0"/>
              <w:rPr>
                <w:sz w:val="20"/>
                <w:szCs w:val="20"/>
                <w:color w:val="auto"/>
              </w:rPr>
            </w:pPr>
            <w:r>
              <w:rPr>
                <w:rFonts w:ascii="Arial" w:cs="Arial" w:eastAsia="Arial" w:hAnsi="Arial"/>
                <w:sz w:val="16"/>
                <w:szCs w:val="16"/>
                <w:color w:val="auto"/>
              </w:rPr>
              <w:t>Loss on extinguishment of debt and write-off of debt issuance costs</w:t>
            </w:r>
          </w:p>
        </w:tc>
        <w:tc>
          <w:tcPr>
            <w:tcW w:w="3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2,390</w:t>
            </w:r>
          </w:p>
        </w:tc>
      </w:tr>
      <w:tr>
        <w:trPr>
          <w:trHeight w:val="219"/>
        </w:trPr>
        <w:tc>
          <w:tcPr>
            <w:tcW w:w="8380" w:type="dxa"/>
            <w:vAlign w:val="bottom"/>
            <w:shd w:val="clear" w:color="auto" w:fill="BFE4FF"/>
          </w:tcPr>
          <w:p>
            <w:pPr>
              <w:ind w:left="480"/>
              <w:spacing w:after="0"/>
              <w:rPr>
                <w:sz w:val="20"/>
                <w:szCs w:val="20"/>
                <w:color w:val="auto"/>
              </w:rPr>
            </w:pPr>
            <w:r>
              <w:rPr>
                <w:rFonts w:ascii="Arial" w:cs="Arial" w:eastAsia="Arial" w:hAnsi="Arial"/>
                <w:sz w:val="16"/>
                <w:szCs w:val="16"/>
                <w:color w:val="auto"/>
              </w:rPr>
              <w:t>Total derivative loss (gain), net of cash settlements</w:t>
            </w:r>
          </w:p>
        </w:tc>
        <w:tc>
          <w:tcPr>
            <w:tcW w:w="300" w:type="dxa"/>
            <w:vAlign w:val="bottom"/>
            <w:shd w:val="clear" w:color="auto" w:fill="BFE4FF"/>
          </w:tcPr>
          <w:p>
            <w:pPr>
              <w:spacing w:after="0"/>
              <w:rPr>
                <w:sz w:val="19"/>
                <w:szCs w:val="19"/>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(5,265)</w:t>
            </w:r>
          </w:p>
        </w:tc>
        <w:tc>
          <w:tcPr>
            <w:tcW w:w="140" w:type="dxa"/>
            <w:vAlign w:val="bottom"/>
            <w:shd w:val="clear" w:color="auto" w:fill="BFE4FF"/>
          </w:tcPr>
          <w:p>
            <w:pPr>
              <w:spacing w:after="0"/>
              <w:rPr>
                <w:sz w:val="19"/>
                <w:szCs w:val="19"/>
                <w:color w:val="auto"/>
              </w:rPr>
            </w:pPr>
          </w:p>
        </w:tc>
        <w:tc>
          <w:tcPr>
            <w:tcW w:w="460" w:type="dxa"/>
            <w:vAlign w:val="bottom"/>
            <w:shd w:val="clear" w:color="auto" w:fill="BFE4FF"/>
          </w:tcPr>
          <w:p>
            <w:pPr>
              <w:spacing w:after="0"/>
              <w:rPr>
                <w:sz w:val="19"/>
                <w:szCs w:val="19"/>
                <w:color w:val="auto"/>
              </w:rPr>
            </w:pPr>
          </w:p>
        </w:tc>
        <w:tc>
          <w:tcPr>
            <w:tcW w:w="9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(3,259)</w:t>
            </w:r>
          </w:p>
        </w:tc>
      </w:tr>
      <w:tr>
        <w:trPr>
          <w:trHeight w:val="213"/>
        </w:trPr>
        <w:tc>
          <w:tcPr>
            <w:tcW w:w="8380" w:type="dxa"/>
            <w:vAlign w:val="bottom"/>
          </w:tcPr>
          <w:p>
            <w:pPr>
              <w:ind w:left="480"/>
              <w:spacing w:after="0"/>
              <w:rPr>
                <w:sz w:val="20"/>
                <w:szCs w:val="20"/>
                <w:color w:val="auto"/>
              </w:rPr>
            </w:pPr>
            <w:r>
              <w:rPr>
                <w:rFonts w:ascii="Arial" w:cs="Arial" w:eastAsia="Arial" w:hAnsi="Arial"/>
                <w:sz w:val="16"/>
                <w:szCs w:val="16"/>
                <w:color w:val="auto"/>
              </w:rPr>
              <w:t>Share of net income from joint venture, net of cash dividends received</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(347)</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(6,261)</w:t>
            </w:r>
          </w:p>
        </w:tc>
      </w:tr>
      <w:tr>
        <w:trPr>
          <w:trHeight w:val="219"/>
        </w:trPr>
        <w:tc>
          <w:tcPr>
            <w:tcW w:w="8380" w:type="dxa"/>
            <w:vAlign w:val="bottom"/>
            <w:shd w:val="clear" w:color="auto" w:fill="BFE4FF"/>
          </w:tcPr>
          <w:p>
            <w:pPr>
              <w:ind w:left="480"/>
              <w:spacing w:after="0"/>
              <w:rPr>
                <w:sz w:val="20"/>
                <w:szCs w:val="20"/>
                <w:color w:val="auto"/>
              </w:rPr>
            </w:pPr>
            <w:r>
              <w:rPr>
                <w:rFonts w:ascii="Arial" w:cs="Arial" w:eastAsia="Arial" w:hAnsi="Arial"/>
                <w:sz w:val="16"/>
                <w:szCs w:val="16"/>
                <w:color w:val="auto"/>
              </w:rPr>
              <w:t>Gain on disposal of discontinued operations, net of tax and cost to sell</w:t>
            </w:r>
          </w:p>
        </w:tc>
        <w:tc>
          <w:tcPr>
            <w:tcW w:w="300" w:type="dxa"/>
            <w:vAlign w:val="bottom"/>
            <w:shd w:val="clear" w:color="auto" w:fill="BFE4FF"/>
          </w:tcPr>
          <w:p>
            <w:pPr>
              <w:spacing w:after="0"/>
              <w:rPr>
                <w:sz w:val="19"/>
                <w:szCs w:val="19"/>
                <w:color w:val="auto"/>
              </w:rPr>
            </w:pPr>
          </w:p>
        </w:tc>
        <w:tc>
          <w:tcPr>
            <w:tcW w:w="1200" w:type="dxa"/>
            <w:vAlign w:val="bottom"/>
            <w:gridSpan w:val="2"/>
            <w:shd w:val="clear" w:color="auto" w:fill="BFE4FF"/>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shd w:val="clear" w:color="auto" w:fill="BFE4FF"/>
          </w:tcPr>
          <w:p>
            <w:pPr>
              <w:spacing w:after="0"/>
              <w:rPr>
                <w:sz w:val="19"/>
                <w:szCs w:val="19"/>
                <w:color w:val="auto"/>
              </w:rPr>
            </w:pPr>
          </w:p>
        </w:tc>
        <w:tc>
          <w:tcPr>
            <w:tcW w:w="9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(1,200)</w:t>
            </w:r>
          </w:p>
        </w:tc>
      </w:tr>
      <w:tr>
        <w:trPr>
          <w:trHeight w:val="213"/>
        </w:trPr>
        <w:tc>
          <w:tcPr>
            <w:tcW w:w="8380" w:type="dxa"/>
            <w:vAlign w:val="bottom"/>
          </w:tcPr>
          <w:p>
            <w:pPr>
              <w:ind w:left="480"/>
              <w:spacing w:after="0"/>
              <w:rPr>
                <w:sz w:val="20"/>
                <w:szCs w:val="20"/>
                <w:color w:val="auto"/>
              </w:rPr>
            </w:pPr>
            <w:r>
              <w:rPr>
                <w:rFonts w:ascii="Arial" w:cs="Arial" w:eastAsia="Arial" w:hAnsi="Arial"/>
                <w:sz w:val="16"/>
                <w:szCs w:val="16"/>
                <w:color w:val="auto"/>
              </w:rPr>
              <w:t>Compensation expense from issuance of share-based awards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4,377</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3,216</w:t>
            </w:r>
          </w:p>
        </w:tc>
      </w:tr>
      <w:tr>
        <w:trPr>
          <w:trHeight w:val="219"/>
        </w:trPr>
        <w:tc>
          <w:tcPr>
            <w:tcW w:w="8380" w:type="dxa"/>
            <w:vAlign w:val="bottom"/>
            <w:shd w:val="clear" w:color="auto" w:fill="BFE4FF"/>
          </w:tcPr>
          <w:p>
            <w:pPr>
              <w:ind w:left="480"/>
              <w:spacing w:after="0"/>
              <w:rPr>
                <w:sz w:val="20"/>
                <w:szCs w:val="20"/>
                <w:color w:val="auto"/>
              </w:rPr>
            </w:pPr>
            <w:r>
              <w:rPr>
                <w:rFonts w:ascii="Arial" w:cs="Arial" w:eastAsia="Arial" w:hAnsi="Arial"/>
                <w:sz w:val="16"/>
                <w:szCs w:val="16"/>
                <w:color w:val="auto"/>
              </w:rPr>
              <w:t>Deferred income taxes</w:t>
            </w:r>
          </w:p>
        </w:tc>
        <w:tc>
          <w:tcPr>
            <w:tcW w:w="300" w:type="dxa"/>
            <w:vAlign w:val="bottom"/>
            <w:shd w:val="clear" w:color="auto" w:fill="BFE4FF"/>
          </w:tcPr>
          <w:p>
            <w:pPr>
              <w:spacing w:after="0"/>
              <w:rPr>
                <w:sz w:val="19"/>
                <w:szCs w:val="19"/>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(1,814)</w:t>
            </w:r>
          </w:p>
        </w:tc>
        <w:tc>
          <w:tcPr>
            <w:tcW w:w="140" w:type="dxa"/>
            <w:vAlign w:val="bottom"/>
            <w:shd w:val="clear" w:color="auto" w:fill="BFE4FF"/>
          </w:tcPr>
          <w:p>
            <w:pPr>
              <w:spacing w:after="0"/>
              <w:rPr>
                <w:sz w:val="19"/>
                <w:szCs w:val="19"/>
                <w:color w:val="auto"/>
              </w:rPr>
            </w:pPr>
          </w:p>
        </w:tc>
        <w:tc>
          <w:tcPr>
            <w:tcW w:w="460" w:type="dxa"/>
            <w:vAlign w:val="bottom"/>
            <w:shd w:val="clear" w:color="auto" w:fill="BFE4FF"/>
          </w:tcPr>
          <w:p>
            <w:pPr>
              <w:spacing w:after="0"/>
              <w:rPr>
                <w:sz w:val="19"/>
                <w:szCs w:val="19"/>
                <w:color w:val="auto"/>
              </w:rPr>
            </w:pPr>
          </w:p>
        </w:tc>
        <w:tc>
          <w:tcPr>
            <w:tcW w:w="9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(4,845)</w:t>
            </w:r>
          </w:p>
        </w:tc>
      </w:tr>
      <w:tr>
        <w:trPr>
          <w:trHeight w:val="213"/>
        </w:trPr>
        <w:tc>
          <w:tcPr>
            <w:tcW w:w="8380" w:type="dxa"/>
            <w:vAlign w:val="bottom"/>
          </w:tcPr>
          <w:p>
            <w:pPr>
              <w:ind w:left="48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(3,207)</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(2,611)</w:t>
            </w:r>
          </w:p>
        </w:tc>
      </w:tr>
      <w:tr>
        <w:trPr>
          <w:trHeight w:val="219"/>
        </w:trPr>
        <w:tc>
          <w:tcPr>
            <w:tcW w:w="8380" w:type="dxa"/>
            <w:vAlign w:val="bottom"/>
            <w:shd w:val="clear" w:color="auto" w:fill="BFE4FF"/>
          </w:tcPr>
          <w:p>
            <w:pPr>
              <w:ind w:left="480"/>
              <w:spacing w:after="0"/>
              <w:rPr>
                <w:sz w:val="20"/>
                <w:szCs w:val="20"/>
                <w:color w:val="auto"/>
              </w:rPr>
            </w:pPr>
            <w:r>
              <w:rPr>
                <w:rFonts w:ascii="Arial" w:cs="Arial" w:eastAsia="Arial" w:hAnsi="Arial"/>
                <w:sz w:val="16"/>
                <w:szCs w:val="16"/>
                <w:color w:val="auto"/>
              </w:rPr>
              <w:t>Changes in operating assets and liabilities:</w:t>
            </w:r>
          </w:p>
        </w:tc>
        <w:tc>
          <w:tcPr>
            <w:tcW w:w="300" w:type="dxa"/>
            <w:vAlign w:val="bottom"/>
            <w:shd w:val="clear" w:color="auto" w:fill="BFE4FF"/>
          </w:tcPr>
          <w:p>
            <w:pPr>
              <w:spacing w:after="0"/>
              <w:rPr>
                <w:sz w:val="19"/>
                <w:szCs w:val="19"/>
                <w:color w:val="auto"/>
              </w:rPr>
            </w:pPr>
          </w:p>
        </w:tc>
        <w:tc>
          <w:tcPr>
            <w:tcW w:w="1060" w:type="dxa"/>
            <w:vAlign w:val="bottom"/>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460" w:type="dxa"/>
            <w:vAlign w:val="bottom"/>
            <w:shd w:val="clear" w:color="auto" w:fill="BFE4FF"/>
          </w:tcPr>
          <w:p>
            <w:pPr>
              <w:spacing w:after="0"/>
              <w:rPr>
                <w:sz w:val="19"/>
                <w:szCs w:val="19"/>
                <w:color w:val="auto"/>
              </w:rPr>
            </w:pPr>
          </w:p>
        </w:tc>
        <w:tc>
          <w:tcPr>
            <w:tcW w:w="900" w:type="dxa"/>
            <w:vAlign w:val="bottom"/>
            <w:shd w:val="clear" w:color="auto" w:fill="BFE4FF"/>
          </w:tcPr>
          <w:p>
            <w:pPr>
              <w:spacing w:after="0"/>
              <w:rPr>
                <w:sz w:val="19"/>
                <w:szCs w:val="19"/>
                <w:color w:val="auto"/>
              </w:rPr>
            </w:pPr>
          </w:p>
        </w:tc>
      </w:tr>
      <w:tr>
        <w:trPr>
          <w:trHeight w:val="213"/>
        </w:trPr>
        <w:tc>
          <w:tcPr>
            <w:tcW w:w="8380" w:type="dxa"/>
            <w:vAlign w:val="bottom"/>
          </w:tcPr>
          <w:p>
            <w:pPr>
              <w:ind w:left="880"/>
              <w:spacing w:after="0"/>
              <w:rPr>
                <w:sz w:val="20"/>
                <w:szCs w:val="20"/>
                <w:color w:val="auto"/>
              </w:rPr>
            </w:pPr>
            <w:r>
              <w:rPr>
                <w:rFonts w:ascii="Arial" w:cs="Arial" w:eastAsia="Arial" w:hAnsi="Arial"/>
                <w:sz w:val="16"/>
                <w:szCs w:val="16"/>
                <w:color w:val="auto"/>
              </w:rPr>
              <w:t>Accounts receivable</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(4,920)</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13,698</w:t>
            </w:r>
          </w:p>
        </w:tc>
      </w:tr>
      <w:tr>
        <w:trPr>
          <w:trHeight w:val="219"/>
        </w:trPr>
        <w:tc>
          <w:tcPr>
            <w:tcW w:w="8380" w:type="dxa"/>
            <w:vAlign w:val="bottom"/>
            <w:shd w:val="clear" w:color="auto" w:fill="BFE4FF"/>
          </w:tcPr>
          <w:p>
            <w:pPr>
              <w:ind w:left="880"/>
              <w:spacing w:after="0"/>
              <w:rPr>
                <w:sz w:val="20"/>
                <w:szCs w:val="20"/>
                <w:color w:val="auto"/>
              </w:rPr>
            </w:pPr>
            <w:r>
              <w:rPr>
                <w:rFonts w:ascii="Arial" w:cs="Arial" w:eastAsia="Arial" w:hAnsi="Arial"/>
                <w:sz w:val="16"/>
                <w:szCs w:val="16"/>
                <w:color w:val="auto"/>
              </w:rPr>
              <w:t>Inventories</w:t>
            </w:r>
          </w:p>
        </w:tc>
        <w:tc>
          <w:tcPr>
            <w:tcW w:w="300" w:type="dxa"/>
            <w:vAlign w:val="bottom"/>
            <w:shd w:val="clear" w:color="auto" w:fill="BFE4FF"/>
          </w:tcPr>
          <w:p>
            <w:pPr>
              <w:spacing w:after="0"/>
              <w:rPr>
                <w:sz w:val="19"/>
                <w:szCs w:val="19"/>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(6,672)</w:t>
            </w:r>
          </w:p>
        </w:tc>
        <w:tc>
          <w:tcPr>
            <w:tcW w:w="140" w:type="dxa"/>
            <w:vAlign w:val="bottom"/>
            <w:shd w:val="clear" w:color="auto" w:fill="BFE4FF"/>
          </w:tcPr>
          <w:p>
            <w:pPr>
              <w:spacing w:after="0"/>
              <w:rPr>
                <w:sz w:val="19"/>
                <w:szCs w:val="19"/>
                <w:color w:val="auto"/>
              </w:rPr>
            </w:pPr>
          </w:p>
        </w:tc>
        <w:tc>
          <w:tcPr>
            <w:tcW w:w="460" w:type="dxa"/>
            <w:vAlign w:val="bottom"/>
            <w:shd w:val="clear" w:color="auto" w:fill="BFE4FF"/>
          </w:tcPr>
          <w:p>
            <w:pPr>
              <w:spacing w:after="0"/>
              <w:rPr>
                <w:sz w:val="19"/>
                <w:szCs w:val="19"/>
                <w:color w:val="auto"/>
              </w:rPr>
            </w:pPr>
          </w:p>
        </w:tc>
        <w:tc>
          <w:tcPr>
            <w:tcW w:w="9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(12,959)</w:t>
            </w:r>
          </w:p>
        </w:tc>
      </w:tr>
      <w:tr>
        <w:trPr>
          <w:trHeight w:val="213"/>
        </w:trPr>
        <w:tc>
          <w:tcPr>
            <w:tcW w:w="8380" w:type="dxa"/>
            <w:vAlign w:val="bottom"/>
          </w:tcPr>
          <w:p>
            <w:pPr>
              <w:ind w:left="880"/>
              <w:spacing w:after="0"/>
              <w:rPr>
                <w:sz w:val="20"/>
                <w:szCs w:val="20"/>
                <w:color w:val="auto"/>
              </w:rPr>
            </w:pPr>
            <w:r>
              <w:rPr>
                <w:rFonts w:ascii="Arial" w:cs="Arial" w:eastAsia="Arial" w:hAnsi="Arial"/>
                <w:sz w:val="16"/>
                <w:szCs w:val="16"/>
                <w:color w:val="auto"/>
              </w:rPr>
              <w:t>Accounts payable</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8,619</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343</w:t>
            </w:r>
          </w:p>
        </w:tc>
      </w:tr>
      <w:tr>
        <w:trPr>
          <w:trHeight w:val="219"/>
        </w:trPr>
        <w:tc>
          <w:tcPr>
            <w:tcW w:w="8380" w:type="dxa"/>
            <w:vAlign w:val="bottom"/>
            <w:shd w:val="clear" w:color="auto" w:fill="BFE4FF"/>
          </w:tcPr>
          <w:p>
            <w:pPr>
              <w:ind w:left="880"/>
              <w:spacing w:after="0"/>
              <w:rPr>
                <w:sz w:val="20"/>
                <w:szCs w:val="20"/>
                <w:color w:val="auto"/>
              </w:rPr>
            </w:pPr>
            <w:r>
              <w:rPr>
                <w:rFonts w:ascii="Arial" w:cs="Arial" w:eastAsia="Arial" w:hAnsi="Arial"/>
                <w:sz w:val="16"/>
                <w:szCs w:val="16"/>
                <w:color w:val="auto"/>
              </w:rPr>
              <w:t>Income taxes receivable and payable, net</w:t>
            </w:r>
          </w:p>
        </w:tc>
        <w:tc>
          <w:tcPr>
            <w:tcW w:w="300" w:type="dxa"/>
            <w:vAlign w:val="bottom"/>
            <w:shd w:val="clear" w:color="auto" w:fill="BFE4FF"/>
          </w:tcPr>
          <w:p>
            <w:pPr>
              <w:spacing w:after="0"/>
              <w:rPr>
                <w:sz w:val="19"/>
                <w:szCs w:val="19"/>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(1,457)</w:t>
            </w:r>
          </w:p>
        </w:tc>
        <w:tc>
          <w:tcPr>
            <w:tcW w:w="140" w:type="dxa"/>
            <w:vAlign w:val="bottom"/>
            <w:shd w:val="clear" w:color="auto" w:fill="BFE4FF"/>
          </w:tcPr>
          <w:p>
            <w:pPr>
              <w:spacing w:after="0"/>
              <w:rPr>
                <w:sz w:val="19"/>
                <w:szCs w:val="19"/>
                <w:color w:val="auto"/>
              </w:rPr>
            </w:pPr>
          </w:p>
        </w:tc>
        <w:tc>
          <w:tcPr>
            <w:tcW w:w="460" w:type="dxa"/>
            <w:vAlign w:val="bottom"/>
            <w:shd w:val="clear" w:color="auto" w:fill="BFE4FF"/>
          </w:tcPr>
          <w:p>
            <w:pPr>
              <w:spacing w:after="0"/>
              <w:rPr>
                <w:sz w:val="19"/>
                <w:szCs w:val="19"/>
                <w:color w:val="auto"/>
              </w:rPr>
            </w:pPr>
          </w:p>
        </w:tc>
        <w:tc>
          <w:tcPr>
            <w:tcW w:w="9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(4,516)</w:t>
            </w:r>
          </w:p>
        </w:tc>
      </w:tr>
      <w:tr>
        <w:trPr>
          <w:trHeight w:val="213"/>
        </w:trPr>
        <w:tc>
          <w:tcPr>
            <w:tcW w:w="8380" w:type="dxa"/>
            <w:vAlign w:val="bottom"/>
            <w:tcBorders>
              <w:bottom w:val="single" w:sz="8" w:color="BFE4FF"/>
            </w:tcBorders>
          </w:tcPr>
          <w:p>
            <w:pPr>
              <w:ind w:left="88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(4,091)</w:t>
            </w:r>
          </w:p>
        </w:tc>
        <w:tc>
          <w:tcPr>
            <w:tcW w:w="140" w:type="dxa"/>
            <w:vAlign w:val="bottom"/>
            <w:tcBorders>
              <w:bottom w:val="single" w:sz="8" w:color="BFE4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(2,761)</w:t>
            </w:r>
          </w:p>
        </w:tc>
      </w:tr>
      <w:tr>
        <w:trPr>
          <w:trHeight w:val="213"/>
        </w:trPr>
        <w:tc>
          <w:tcPr>
            <w:tcW w:w="8380" w:type="dxa"/>
            <w:vAlign w:val="bottom"/>
            <w:shd w:val="clear" w:color="auto" w:fill="BFE4FF"/>
          </w:tcPr>
          <w:p>
            <w:pPr>
              <w:ind w:left="112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Borders>
              <w:bottom w:val="single" w:sz="8" w:color="auto"/>
            </w:tcBorders>
            <w:shd w:val="clear" w:color="auto" w:fill="BFE4FF"/>
          </w:tcPr>
          <w:p>
            <w:pPr>
              <w:spacing w:after="0"/>
              <w:rPr>
                <w:sz w:val="18"/>
                <w:szCs w:val="18"/>
                <w:color w:val="auto"/>
              </w:rPr>
            </w:pPr>
          </w:p>
        </w:tc>
        <w:tc>
          <w:tcPr>
            <w:tcW w:w="10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7,717</w:t>
            </w:r>
          </w:p>
        </w:tc>
        <w:tc>
          <w:tcPr>
            <w:tcW w:w="140" w:type="dxa"/>
            <w:vAlign w:val="bottom"/>
            <w:shd w:val="clear" w:color="auto" w:fill="BFE4FF"/>
          </w:tcPr>
          <w:p>
            <w:pPr>
              <w:spacing w:after="0"/>
              <w:rPr>
                <w:sz w:val="18"/>
                <w:szCs w:val="18"/>
                <w:color w:val="auto"/>
              </w:rPr>
            </w:pPr>
          </w:p>
        </w:tc>
        <w:tc>
          <w:tcPr>
            <w:tcW w:w="460" w:type="dxa"/>
            <w:vAlign w:val="bottom"/>
            <w:tcBorders>
              <w:bottom w:val="single" w:sz="8" w:color="auto"/>
            </w:tcBorders>
            <w:shd w:val="clear" w:color="auto" w:fill="BFE4FF"/>
          </w:tcPr>
          <w:p>
            <w:pPr>
              <w:spacing w:after="0"/>
              <w:rPr>
                <w:sz w:val="18"/>
                <w:szCs w:val="18"/>
                <w:color w:val="auto"/>
              </w:rPr>
            </w:pPr>
          </w:p>
        </w:tc>
        <w:tc>
          <w:tcPr>
            <w:tcW w:w="9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15,586</w:t>
            </w:r>
          </w:p>
        </w:tc>
      </w:tr>
      <w:tr>
        <w:trPr>
          <w:trHeight w:val="193"/>
        </w:trPr>
        <w:tc>
          <w:tcPr>
            <w:tcW w:w="838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9"/>
        </w:trPr>
        <w:tc>
          <w:tcPr>
            <w:tcW w:w="8380" w:type="dxa"/>
            <w:vAlign w:val="bottom"/>
            <w:shd w:val="clear" w:color="auto" w:fill="BFE4FF"/>
          </w:tcPr>
          <w:p>
            <w:pPr>
              <w:ind w:left="140"/>
              <w:spacing w:after="0"/>
              <w:rPr>
                <w:sz w:val="20"/>
                <w:szCs w:val="20"/>
                <w:color w:val="auto"/>
              </w:rPr>
            </w:pPr>
            <w:r>
              <w:rPr>
                <w:rFonts w:ascii="Arial" w:cs="Arial" w:eastAsia="Arial" w:hAnsi="Arial"/>
                <w:sz w:val="16"/>
                <w:szCs w:val="16"/>
                <w:color w:val="auto"/>
              </w:rPr>
              <w:t>Acquisition of property, plant and equipment</w:t>
            </w:r>
          </w:p>
        </w:tc>
        <w:tc>
          <w:tcPr>
            <w:tcW w:w="300" w:type="dxa"/>
            <w:vAlign w:val="bottom"/>
            <w:shd w:val="clear" w:color="auto" w:fill="BFE4FF"/>
          </w:tcPr>
          <w:p>
            <w:pPr>
              <w:spacing w:after="0"/>
              <w:rPr>
                <w:sz w:val="19"/>
                <w:szCs w:val="19"/>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(17,952)</w:t>
            </w:r>
          </w:p>
        </w:tc>
        <w:tc>
          <w:tcPr>
            <w:tcW w:w="140" w:type="dxa"/>
            <w:vAlign w:val="bottom"/>
            <w:shd w:val="clear" w:color="auto" w:fill="BFE4FF"/>
          </w:tcPr>
          <w:p>
            <w:pPr>
              <w:spacing w:after="0"/>
              <w:rPr>
                <w:sz w:val="19"/>
                <w:szCs w:val="19"/>
                <w:color w:val="auto"/>
              </w:rPr>
            </w:pPr>
          </w:p>
        </w:tc>
        <w:tc>
          <w:tcPr>
            <w:tcW w:w="460" w:type="dxa"/>
            <w:vAlign w:val="bottom"/>
            <w:shd w:val="clear" w:color="auto" w:fill="BFE4FF"/>
          </w:tcPr>
          <w:p>
            <w:pPr>
              <w:spacing w:after="0"/>
              <w:rPr>
                <w:sz w:val="19"/>
                <w:szCs w:val="19"/>
                <w:color w:val="auto"/>
              </w:rPr>
            </w:pPr>
          </w:p>
        </w:tc>
        <w:tc>
          <w:tcPr>
            <w:tcW w:w="9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(18,221)</w:t>
            </w:r>
          </w:p>
        </w:tc>
      </w:tr>
      <w:tr>
        <w:trPr>
          <w:trHeight w:val="213"/>
        </w:trPr>
        <w:tc>
          <w:tcPr>
            <w:tcW w:w="8380" w:type="dxa"/>
            <w:vAlign w:val="bottom"/>
          </w:tcPr>
          <w:p>
            <w:pPr>
              <w:ind w:left="140"/>
              <w:spacing w:after="0"/>
              <w:rPr>
                <w:sz w:val="20"/>
                <w:szCs w:val="20"/>
                <w:color w:val="auto"/>
              </w:rPr>
            </w:pPr>
            <w:r>
              <w:rPr>
                <w:rFonts w:ascii="Arial" w:cs="Arial" w:eastAsia="Arial" w:hAnsi="Arial"/>
                <w:sz w:val="16"/>
                <w:szCs w:val="16"/>
                <w:color w:val="auto"/>
              </w:rPr>
              <w:t>Proceeds from sale of property, plant, and equipment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460</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1,418</w:t>
            </w:r>
          </w:p>
        </w:tc>
      </w:tr>
      <w:tr>
        <w:trPr>
          <w:trHeight w:val="219"/>
        </w:trPr>
        <w:tc>
          <w:tcPr>
            <w:tcW w:w="8380" w:type="dxa"/>
            <w:vAlign w:val="bottom"/>
            <w:shd w:val="clear" w:color="auto" w:fill="BFE4FF"/>
          </w:tcPr>
          <w:p>
            <w:pPr>
              <w:ind w:left="140"/>
              <w:spacing w:after="0"/>
              <w:rPr>
                <w:sz w:val="20"/>
                <w:szCs w:val="20"/>
                <w:color w:val="auto"/>
              </w:rPr>
            </w:pPr>
            <w:r>
              <w:rPr>
                <w:rFonts w:ascii="Arial" w:cs="Arial" w:eastAsia="Arial" w:hAnsi="Arial"/>
                <w:sz w:val="16"/>
                <w:szCs w:val="16"/>
                <w:color w:val="auto"/>
              </w:rPr>
              <w:t>Proceeds from (cash paid for post-closing adjustments on) sale of business, net of cash sold</w:t>
            </w:r>
          </w:p>
        </w:tc>
        <w:tc>
          <w:tcPr>
            <w:tcW w:w="300" w:type="dxa"/>
            <w:vAlign w:val="bottom"/>
            <w:shd w:val="clear" w:color="auto" w:fill="BFE4FF"/>
          </w:tcPr>
          <w:p>
            <w:pPr>
              <w:spacing w:after="0"/>
              <w:rPr>
                <w:sz w:val="19"/>
                <w:szCs w:val="19"/>
                <w:color w:val="auto"/>
              </w:rPr>
            </w:pPr>
          </w:p>
        </w:tc>
        <w:tc>
          <w:tcPr>
            <w:tcW w:w="1200" w:type="dxa"/>
            <w:vAlign w:val="bottom"/>
            <w:gridSpan w:val="2"/>
            <w:shd w:val="clear" w:color="auto" w:fill="BFE4FF"/>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shd w:val="clear" w:color="auto" w:fill="BFE4FF"/>
          </w:tcPr>
          <w:p>
            <w:pPr>
              <w:spacing w:after="0"/>
              <w:rPr>
                <w:sz w:val="19"/>
                <w:szCs w:val="19"/>
                <w:color w:val="auto"/>
              </w:rPr>
            </w:pPr>
          </w:p>
        </w:tc>
        <w:tc>
          <w:tcPr>
            <w:tcW w:w="9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(3,880)</w:t>
            </w:r>
          </w:p>
        </w:tc>
      </w:tr>
      <w:tr>
        <w:trPr>
          <w:trHeight w:val="213"/>
        </w:trPr>
        <w:tc>
          <w:tcPr>
            <w:tcW w:w="8380" w:type="dxa"/>
            <w:vAlign w:val="bottom"/>
          </w:tcPr>
          <w:p>
            <w:pPr>
              <w:ind w:left="140"/>
              <w:spacing w:after="0"/>
              <w:rPr>
                <w:sz w:val="20"/>
                <w:szCs w:val="20"/>
                <w:color w:val="auto"/>
              </w:rPr>
            </w:pPr>
            <w:r>
              <w:rPr>
                <w:rFonts w:ascii="Arial" w:cs="Arial" w:eastAsia="Arial" w:hAnsi="Arial"/>
                <w:sz w:val="16"/>
                <w:szCs w:val="16"/>
                <w:color w:val="auto"/>
              </w:rPr>
              <w:t>Cash settlements of interest rate swap</w:t>
            </w:r>
          </w:p>
        </w:tc>
        <w:tc>
          <w:tcPr>
            <w:tcW w:w="3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(15,420)</w:t>
            </w:r>
          </w:p>
        </w:tc>
      </w:tr>
      <w:tr>
        <w:trPr>
          <w:trHeight w:val="213"/>
        </w:trPr>
        <w:tc>
          <w:tcPr>
            <w:tcW w:w="8380" w:type="dxa"/>
            <w:vAlign w:val="bottom"/>
            <w:tcBorders>
              <w:top w:val="single" w:sz="8" w:color="BFE4FF"/>
            </w:tcBorders>
            <w:shd w:val="clear" w:color="auto" w:fill="BFE4FF"/>
          </w:tcPr>
          <w:p>
            <w:pPr>
              <w:ind w:left="112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Borders>
              <w:top w:val="single" w:sz="8" w:color="auto"/>
              <w:bottom w:val="single" w:sz="8" w:color="auto"/>
            </w:tcBorders>
            <w:shd w:val="clear" w:color="auto" w:fill="BFE4FF"/>
          </w:tcPr>
          <w:p>
            <w:pPr>
              <w:spacing w:after="0"/>
              <w:rPr>
                <w:sz w:val="18"/>
                <w:szCs w:val="18"/>
                <w:color w:val="auto"/>
              </w:rPr>
            </w:pPr>
          </w:p>
        </w:tc>
        <w:tc>
          <w:tcPr>
            <w:tcW w:w="106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(17,492)</w:t>
            </w:r>
          </w:p>
        </w:tc>
        <w:tc>
          <w:tcPr>
            <w:tcW w:w="140" w:type="dxa"/>
            <w:vAlign w:val="bottom"/>
            <w:tcBorders>
              <w:top w:val="single" w:sz="8" w:color="BFE4FF"/>
            </w:tcBorders>
            <w:shd w:val="clear" w:color="auto" w:fill="BFE4FF"/>
          </w:tcPr>
          <w:p>
            <w:pPr>
              <w:spacing w:after="0"/>
              <w:rPr>
                <w:sz w:val="18"/>
                <w:szCs w:val="18"/>
                <w:color w:val="auto"/>
              </w:rPr>
            </w:pPr>
          </w:p>
        </w:tc>
        <w:tc>
          <w:tcPr>
            <w:tcW w:w="460" w:type="dxa"/>
            <w:vAlign w:val="bottom"/>
            <w:tcBorders>
              <w:top w:val="single" w:sz="8" w:color="auto"/>
              <w:bottom w:val="single" w:sz="8" w:color="auto"/>
            </w:tcBorders>
            <w:shd w:val="clear" w:color="auto" w:fill="BFE4FF"/>
          </w:tcPr>
          <w:p>
            <w:pPr>
              <w:spacing w:after="0"/>
              <w:rPr>
                <w:sz w:val="18"/>
                <w:szCs w:val="18"/>
                <w:color w:val="auto"/>
              </w:rPr>
            </w:pPr>
          </w:p>
        </w:tc>
        <w:tc>
          <w:tcPr>
            <w:tcW w:w="90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(36,103)</w:t>
            </w:r>
          </w:p>
        </w:tc>
      </w:tr>
      <w:tr>
        <w:trPr>
          <w:trHeight w:val="193"/>
        </w:trPr>
        <w:tc>
          <w:tcPr>
            <w:tcW w:w="838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9"/>
        </w:trPr>
        <w:tc>
          <w:tcPr>
            <w:tcW w:w="8380" w:type="dxa"/>
            <w:vAlign w:val="bottom"/>
            <w:shd w:val="clear" w:color="auto" w:fill="BFE4FF"/>
          </w:tcPr>
          <w:p>
            <w:pPr>
              <w:ind w:left="140"/>
              <w:spacing w:after="0"/>
              <w:rPr>
                <w:sz w:val="20"/>
                <w:szCs w:val="20"/>
                <w:color w:val="auto"/>
              </w:rPr>
            </w:pPr>
            <w:r>
              <w:rPr>
                <w:rFonts w:ascii="Arial" w:cs="Arial" w:eastAsia="Arial" w:hAnsi="Arial"/>
                <w:sz w:val="16"/>
                <w:szCs w:val="16"/>
                <w:color w:val="auto"/>
              </w:rPr>
              <w:t>Cash paid for debt issuance costs</w:t>
            </w:r>
          </w:p>
        </w:tc>
        <w:tc>
          <w:tcPr>
            <w:tcW w:w="300" w:type="dxa"/>
            <w:vAlign w:val="bottom"/>
            <w:shd w:val="clear" w:color="auto" w:fill="BFE4FF"/>
          </w:tcPr>
          <w:p>
            <w:pPr>
              <w:spacing w:after="0"/>
              <w:rPr>
                <w:sz w:val="19"/>
                <w:szCs w:val="19"/>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(136)</w:t>
            </w:r>
          </w:p>
        </w:tc>
        <w:tc>
          <w:tcPr>
            <w:tcW w:w="140" w:type="dxa"/>
            <w:vAlign w:val="bottom"/>
            <w:shd w:val="clear" w:color="auto" w:fill="BFE4FF"/>
          </w:tcPr>
          <w:p>
            <w:pPr>
              <w:spacing w:after="0"/>
              <w:rPr>
                <w:sz w:val="19"/>
                <w:szCs w:val="19"/>
                <w:color w:val="auto"/>
              </w:rPr>
            </w:pPr>
          </w:p>
        </w:tc>
        <w:tc>
          <w:tcPr>
            <w:tcW w:w="460" w:type="dxa"/>
            <w:vAlign w:val="bottom"/>
            <w:shd w:val="clear" w:color="auto" w:fill="BFE4FF"/>
          </w:tcPr>
          <w:p>
            <w:pPr>
              <w:spacing w:after="0"/>
              <w:rPr>
                <w:sz w:val="19"/>
                <w:szCs w:val="19"/>
                <w:color w:val="auto"/>
              </w:rPr>
            </w:pPr>
          </w:p>
        </w:tc>
        <w:tc>
          <w:tcPr>
            <w:tcW w:w="9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(7,360)</w:t>
            </w:r>
          </w:p>
        </w:tc>
      </w:tr>
      <w:tr>
        <w:trPr>
          <w:trHeight w:val="213"/>
        </w:trPr>
        <w:tc>
          <w:tcPr>
            <w:tcW w:w="8380" w:type="dxa"/>
            <w:vAlign w:val="bottom"/>
          </w:tcPr>
          <w:p>
            <w:pPr>
              <w:ind w:left="140"/>
              <w:spacing w:after="0"/>
              <w:rPr>
                <w:sz w:val="20"/>
                <w:szCs w:val="20"/>
                <w:color w:val="auto"/>
              </w:rPr>
            </w:pPr>
            <w:r>
              <w:rPr>
                <w:rFonts w:ascii="Arial" w:cs="Arial" w:eastAsia="Arial" w:hAnsi="Arial"/>
                <w:sz w:val="16"/>
                <w:szCs w:val="16"/>
                <w:color w:val="auto"/>
              </w:rPr>
              <w:t>Proceeds from issuance of preferred stock</w:t>
            </w:r>
          </w:p>
        </w:tc>
        <w:tc>
          <w:tcPr>
            <w:tcW w:w="3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61,793</w:t>
            </w:r>
          </w:p>
        </w:tc>
      </w:tr>
      <w:tr>
        <w:trPr>
          <w:trHeight w:val="219"/>
        </w:trPr>
        <w:tc>
          <w:tcPr>
            <w:tcW w:w="8380" w:type="dxa"/>
            <w:vAlign w:val="bottom"/>
            <w:shd w:val="clear" w:color="auto" w:fill="BFE4FF"/>
          </w:tcPr>
          <w:p>
            <w:pPr>
              <w:ind w:left="140"/>
              <w:spacing w:after="0"/>
              <w:rPr>
                <w:sz w:val="20"/>
                <w:szCs w:val="20"/>
                <w:color w:val="auto"/>
              </w:rPr>
            </w:pPr>
            <w:r>
              <w:rPr>
                <w:rFonts w:ascii="Arial" w:cs="Arial" w:eastAsia="Arial" w:hAnsi="Arial"/>
                <w:sz w:val="16"/>
                <w:szCs w:val="16"/>
                <w:color w:val="auto"/>
              </w:rPr>
              <w:t>Redemption of preferred stock</w:t>
            </w:r>
          </w:p>
        </w:tc>
        <w:tc>
          <w:tcPr>
            <w:tcW w:w="300" w:type="dxa"/>
            <w:vAlign w:val="bottom"/>
            <w:shd w:val="clear" w:color="auto" w:fill="BFE4FF"/>
          </w:tcPr>
          <w:p>
            <w:pPr>
              <w:spacing w:after="0"/>
              <w:rPr>
                <w:sz w:val="19"/>
                <w:szCs w:val="19"/>
                <w:color w:val="auto"/>
              </w:rPr>
            </w:pPr>
          </w:p>
        </w:tc>
        <w:tc>
          <w:tcPr>
            <w:tcW w:w="1200" w:type="dxa"/>
            <w:vAlign w:val="bottom"/>
            <w:gridSpan w:val="2"/>
            <w:shd w:val="clear" w:color="auto" w:fill="BFE4FF"/>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shd w:val="clear" w:color="auto" w:fill="BFE4FF"/>
          </w:tcPr>
          <w:p>
            <w:pPr>
              <w:spacing w:after="0"/>
              <w:rPr>
                <w:sz w:val="19"/>
                <w:szCs w:val="19"/>
                <w:color w:val="auto"/>
              </w:rPr>
            </w:pPr>
          </w:p>
        </w:tc>
        <w:tc>
          <w:tcPr>
            <w:tcW w:w="9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(122,434)</w:t>
            </w:r>
          </w:p>
        </w:tc>
      </w:tr>
      <w:tr>
        <w:trPr>
          <w:trHeight w:val="213"/>
        </w:trPr>
        <w:tc>
          <w:tcPr>
            <w:tcW w:w="8380" w:type="dxa"/>
            <w:vAlign w:val="bottom"/>
          </w:tcPr>
          <w:p>
            <w:pPr>
              <w:ind w:left="140"/>
              <w:spacing w:after="0"/>
              <w:rPr>
                <w:sz w:val="20"/>
                <w:szCs w:val="20"/>
                <w:color w:val="auto"/>
              </w:rPr>
            </w:pPr>
            <w:r>
              <w:rPr>
                <w:rFonts w:ascii="Arial" w:cs="Arial" w:eastAsia="Arial" w:hAnsi="Arial"/>
                <w:sz w:val="16"/>
                <w:szCs w:val="16"/>
                <w:color w:val="auto"/>
              </w:rPr>
              <w:t>Proceeds from long-term debt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46,000</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171,000</w:t>
            </w:r>
          </w:p>
        </w:tc>
      </w:tr>
      <w:tr>
        <w:trPr>
          <w:trHeight w:val="219"/>
        </w:trPr>
        <w:tc>
          <w:tcPr>
            <w:tcW w:w="8380" w:type="dxa"/>
            <w:vAlign w:val="bottom"/>
            <w:shd w:val="clear" w:color="auto" w:fill="BFE4FF"/>
          </w:tcPr>
          <w:p>
            <w:pPr>
              <w:ind w:left="140"/>
              <w:spacing w:after="0"/>
              <w:rPr>
                <w:sz w:val="20"/>
                <w:szCs w:val="20"/>
                <w:color w:val="auto"/>
              </w:rPr>
            </w:pPr>
            <w:r>
              <w:rPr>
                <w:rFonts w:ascii="Arial" w:cs="Arial" w:eastAsia="Arial" w:hAnsi="Arial"/>
                <w:sz w:val="16"/>
                <w:szCs w:val="16"/>
                <w:color w:val="auto"/>
              </w:rPr>
              <w:t>Repayments of long-term debt</w:t>
            </w:r>
          </w:p>
        </w:tc>
        <w:tc>
          <w:tcPr>
            <w:tcW w:w="300" w:type="dxa"/>
            <w:vAlign w:val="bottom"/>
            <w:shd w:val="clear" w:color="auto" w:fill="BFE4FF"/>
          </w:tcPr>
          <w:p>
            <w:pPr>
              <w:spacing w:after="0"/>
              <w:rPr>
                <w:sz w:val="19"/>
                <w:szCs w:val="19"/>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(47,958)</w:t>
            </w:r>
          </w:p>
        </w:tc>
        <w:tc>
          <w:tcPr>
            <w:tcW w:w="140" w:type="dxa"/>
            <w:vAlign w:val="bottom"/>
            <w:shd w:val="clear" w:color="auto" w:fill="BFE4FF"/>
          </w:tcPr>
          <w:p>
            <w:pPr>
              <w:spacing w:after="0"/>
              <w:rPr>
                <w:sz w:val="19"/>
                <w:szCs w:val="19"/>
                <w:color w:val="auto"/>
              </w:rPr>
            </w:pPr>
          </w:p>
        </w:tc>
        <w:tc>
          <w:tcPr>
            <w:tcW w:w="460" w:type="dxa"/>
            <w:vAlign w:val="bottom"/>
            <w:shd w:val="clear" w:color="auto" w:fill="BFE4FF"/>
          </w:tcPr>
          <w:p>
            <w:pPr>
              <w:spacing w:after="0"/>
              <w:rPr>
                <w:sz w:val="19"/>
                <w:szCs w:val="19"/>
                <w:color w:val="auto"/>
              </w:rPr>
            </w:pPr>
          </w:p>
        </w:tc>
        <w:tc>
          <w:tcPr>
            <w:tcW w:w="9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(93,729)</w:t>
            </w:r>
          </w:p>
        </w:tc>
      </w:tr>
      <w:tr>
        <w:trPr>
          <w:trHeight w:val="213"/>
        </w:trPr>
        <w:tc>
          <w:tcPr>
            <w:tcW w:w="8380" w:type="dxa"/>
            <w:vAlign w:val="bottom"/>
          </w:tcPr>
          <w:p>
            <w:pPr>
              <w:ind w:left="140"/>
              <w:spacing w:after="0"/>
              <w:rPr>
                <w:sz w:val="20"/>
                <w:szCs w:val="20"/>
                <w:color w:val="auto"/>
              </w:rPr>
            </w:pPr>
            <w:r>
              <w:rPr>
                <w:rFonts w:ascii="Arial" w:cs="Arial" w:eastAsia="Arial" w:hAnsi="Arial"/>
                <w:sz w:val="16"/>
                <w:szCs w:val="16"/>
                <w:color w:val="auto"/>
              </w:rPr>
              <w:t>Repayments of short-term debt, net</w:t>
            </w:r>
          </w:p>
        </w:tc>
        <w:tc>
          <w:tcPr>
            <w:tcW w:w="3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(1,563)</w:t>
            </w:r>
          </w:p>
        </w:tc>
      </w:tr>
      <w:tr>
        <w:trPr>
          <w:trHeight w:val="219"/>
        </w:trPr>
        <w:tc>
          <w:tcPr>
            <w:tcW w:w="8380" w:type="dxa"/>
            <w:vAlign w:val="bottom"/>
            <w:shd w:val="clear" w:color="auto" w:fill="BFE4FF"/>
          </w:tcPr>
          <w:p>
            <w:pPr>
              <w:ind w:left="14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shd w:val="clear" w:color="auto" w:fill="BFE4FF"/>
          </w:tcPr>
          <w:p>
            <w:pPr>
              <w:spacing w:after="0"/>
              <w:rPr>
                <w:sz w:val="19"/>
                <w:szCs w:val="19"/>
                <w:color w:val="auto"/>
              </w:rPr>
            </w:pPr>
          </w:p>
        </w:tc>
        <w:tc>
          <w:tcPr>
            <w:tcW w:w="10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(3,092)</w:t>
            </w:r>
          </w:p>
        </w:tc>
        <w:tc>
          <w:tcPr>
            <w:tcW w:w="140" w:type="dxa"/>
            <w:vAlign w:val="bottom"/>
            <w:shd w:val="clear" w:color="auto" w:fill="BFE4FF"/>
          </w:tcPr>
          <w:p>
            <w:pPr>
              <w:spacing w:after="0"/>
              <w:rPr>
                <w:sz w:val="19"/>
                <w:szCs w:val="19"/>
                <w:color w:val="auto"/>
              </w:rPr>
            </w:pPr>
          </w:p>
        </w:tc>
        <w:tc>
          <w:tcPr>
            <w:tcW w:w="460" w:type="dxa"/>
            <w:vAlign w:val="bottom"/>
            <w:tcBorders>
              <w:bottom w:val="single" w:sz="8" w:color="auto"/>
            </w:tcBorders>
            <w:shd w:val="clear" w:color="auto" w:fill="BFE4FF"/>
          </w:tcPr>
          <w:p>
            <w:pPr>
              <w:spacing w:after="0"/>
              <w:rPr>
                <w:sz w:val="19"/>
                <w:szCs w:val="19"/>
                <w:color w:val="auto"/>
              </w:rPr>
            </w:pPr>
          </w:p>
        </w:tc>
        <w:tc>
          <w:tcPr>
            <w:tcW w:w="9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(5,150)</w:t>
            </w:r>
          </w:p>
        </w:tc>
      </w:tr>
      <w:tr>
        <w:trPr>
          <w:trHeight w:val="207"/>
        </w:trPr>
        <w:tc>
          <w:tcPr>
            <w:tcW w:w="8380" w:type="dxa"/>
            <w:vAlign w:val="bottom"/>
            <w:tcBorders>
              <w:bottom w:val="single" w:sz="8" w:color="BFE4FF"/>
            </w:tcBorders>
          </w:tcPr>
          <w:p>
            <w:pPr>
              <w:ind w:left="1120"/>
              <w:spacing w:after="0"/>
              <w:rPr>
                <w:sz w:val="20"/>
                <w:szCs w:val="20"/>
                <w:color w:val="auto"/>
              </w:rPr>
            </w:pPr>
            <w:r>
              <w:rPr>
                <w:rFonts w:ascii="Arial" w:cs="Arial" w:eastAsia="Arial" w:hAnsi="Arial"/>
                <w:sz w:val="16"/>
                <w:szCs w:val="16"/>
                <w:color w:val="auto"/>
              </w:rPr>
              <w:t>Net cash provided by (used in) financing activities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(5,186)</w:t>
            </w:r>
          </w:p>
        </w:tc>
        <w:tc>
          <w:tcPr>
            <w:tcW w:w="140" w:type="dxa"/>
            <w:vAlign w:val="bottom"/>
            <w:tcBorders>
              <w:bottom w:val="single" w:sz="8" w:color="BFE4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2,557</w:t>
            </w:r>
          </w:p>
        </w:tc>
      </w:tr>
      <w:tr>
        <w:trPr>
          <w:trHeight w:val="212"/>
        </w:trPr>
        <w:tc>
          <w:tcPr>
            <w:tcW w:w="8380" w:type="dxa"/>
            <w:vAlign w:val="bottom"/>
            <w:shd w:val="clear" w:color="auto" w:fill="BFE4FF"/>
          </w:tcPr>
          <w:p>
            <w:pPr>
              <w:ind w:left="140"/>
              <w:spacing w:after="0"/>
              <w:rPr>
                <w:sz w:val="20"/>
                <w:szCs w:val="20"/>
                <w:color w:val="auto"/>
              </w:rPr>
            </w:pPr>
            <w:r>
              <w:rPr>
                <w:rFonts w:ascii="Arial" w:cs="Arial" w:eastAsia="Arial" w:hAnsi="Arial"/>
                <w:sz w:val="16"/>
                <w:szCs w:val="16"/>
                <w:color w:val="auto"/>
              </w:rPr>
              <w:t>Effect of exchange rate changes on cash flows</w:t>
            </w:r>
          </w:p>
        </w:tc>
        <w:tc>
          <w:tcPr>
            <w:tcW w:w="300" w:type="dxa"/>
            <w:vAlign w:val="bottom"/>
            <w:shd w:val="clear" w:color="auto" w:fill="BFE4FF"/>
          </w:tcPr>
          <w:p>
            <w:pPr>
              <w:spacing w:after="0"/>
              <w:rPr>
                <w:sz w:val="18"/>
                <w:szCs w:val="18"/>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(887)</w:t>
            </w:r>
          </w:p>
        </w:tc>
        <w:tc>
          <w:tcPr>
            <w:tcW w:w="140" w:type="dxa"/>
            <w:vAlign w:val="bottom"/>
            <w:shd w:val="clear" w:color="auto" w:fill="BFE4FF"/>
          </w:tcPr>
          <w:p>
            <w:pPr>
              <w:spacing w:after="0"/>
              <w:rPr>
                <w:sz w:val="18"/>
                <w:szCs w:val="18"/>
                <w:color w:val="auto"/>
              </w:rPr>
            </w:pPr>
          </w:p>
        </w:tc>
        <w:tc>
          <w:tcPr>
            <w:tcW w:w="460" w:type="dxa"/>
            <w:vAlign w:val="bottom"/>
            <w:shd w:val="clear" w:color="auto" w:fill="BFE4FF"/>
          </w:tcPr>
          <w:p>
            <w:pPr>
              <w:spacing w:after="0"/>
              <w:rPr>
                <w:sz w:val="18"/>
                <w:szCs w:val="18"/>
                <w:color w:val="auto"/>
              </w:rPr>
            </w:pPr>
          </w:p>
        </w:tc>
        <w:tc>
          <w:tcPr>
            <w:tcW w:w="9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(1,522)</w:t>
            </w:r>
          </w:p>
        </w:tc>
      </w:tr>
      <w:tr>
        <w:trPr>
          <w:trHeight w:val="213"/>
        </w:trPr>
        <w:tc>
          <w:tcPr>
            <w:tcW w:w="8380" w:type="dxa"/>
            <w:vAlign w:val="bottom"/>
          </w:tcPr>
          <w:p>
            <w:pPr>
              <w:ind w:left="140"/>
              <w:spacing w:after="0"/>
              <w:rPr>
                <w:sz w:val="20"/>
                <w:szCs w:val="20"/>
                <w:color w:val="auto"/>
              </w:rPr>
            </w:pPr>
            <w:r>
              <w:rPr>
                <w:rFonts w:ascii="Arial" w:cs="Arial" w:eastAsia="Arial" w:hAnsi="Arial"/>
                <w:sz w:val="16"/>
                <w:szCs w:val="16"/>
                <w:color w:val="auto"/>
              </w:rPr>
              <w:t>Net change in cash and cash equivalents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(15,848)</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(19,482)</w:t>
            </w:r>
          </w:p>
        </w:tc>
      </w:tr>
      <w:tr>
        <w:trPr>
          <w:trHeight w:val="219"/>
        </w:trPr>
        <w:tc>
          <w:tcPr>
            <w:tcW w:w="8380" w:type="dxa"/>
            <w:vAlign w:val="bottom"/>
            <w:shd w:val="clear" w:color="auto" w:fill="BFE4FF"/>
          </w:tcPr>
          <w:p>
            <w:pPr>
              <w:ind w:left="140"/>
              <w:spacing w:after="0"/>
              <w:rPr>
                <w:sz w:val="20"/>
                <w:szCs w:val="20"/>
                <w:color w:val="auto"/>
              </w:rPr>
            </w:pPr>
            <w:r>
              <w:rPr>
                <w:rFonts w:ascii="Arial" w:cs="Arial" w:eastAsia="Arial" w:hAnsi="Arial"/>
                <w:sz w:val="16"/>
                <w:szCs w:val="16"/>
                <w:color w:val="auto"/>
              </w:rPr>
              <w:t>Cash and cash equivalents at beginning of period</w:t>
            </w:r>
          </w:p>
        </w:tc>
        <w:tc>
          <w:tcPr>
            <w:tcW w:w="300" w:type="dxa"/>
            <w:vAlign w:val="bottom"/>
            <w:tcBorders>
              <w:bottom w:val="single" w:sz="8" w:color="auto"/>
            </w:tcBorders>
            <w:shd w:val="clear" w:color="auto" w:fill="BFE4FF"/>
          </w:tcPr>
          <w:p>
            <w:pPr>
              <w:spacing w:after="0"/>
              <w:rPr>
                <w:sz w:val="19"/>
                <w:szCs w:val="19"/>
                <w:color w:val="auto"/>
              </w:rPr>
            </w:pPr>
          </w:p>
        </w:tc>
        <w:tc>
          <w:tcPr>
            <w:tcW w:w="10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28,656</w:t>
            </w:r>
          </w:p>
        </w:tc>
        <w:tc>
          <w:tcPr>
            <w:tcW w:w="140" w:type="dxa"/>
            <w:vAlign w:val="bottom"/>
            <w:shd w:val="clear" w:color="auto" w:fill="BFE4FF"/>
          </w:tcPr>
          <w:p>
            <w:pPr>
              <w:spacing w:after="0"/>
              <w:rPr>
                <w:sz w:val="19"/>
                <w:szCs w:val="19"/>
                <w:color w:val="auto"/>
              </w:rPr>
            </w:pPr>
          </w:p>
        </w:tc>
        <w:tc>
          <w:tcPr>
            <w:tcW w:w="460" w:type="dxa"/>
            <w:vAlign w:val="bottom"/>
            <w:tcBorders>
              <w:bottom w:val="single" w:sz="8" w:color="auto"/>
            </w:tcBorders>
            <w:shd w:val="clear" w:color="auto" w:fill="BFE4FF"/>
          </w:tcPr>
          <w:p>
            <w:pPr>
              <w:spacing w:after="0"/>
              <w:rPr>
                <w:sz w:val="19"/>
                <w:szCs w:val="19"/>
                <w:color w:val="auto"/>
              </w:rPr>
            </w:pPr>
          </w:p>
        </w:tc>
        <w:tc>
          <w:tcPr>
            <w:tcW w:w="9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48,138</w:t>
            </w:r>
          </w:p>
        </w:tc>
      </w:tr>
      <w:tr>
        <w:trPr>
          <w:trHeight w:val="207"/>
        </w:trPr>
        <w:tc>
          <w:tcPr>
            <w:tcW w:w="8380" w:type="dxa"/>
            <w:vAlign w:val="bottom"/>
          </w:tcPr>
          <w:p>
            <w:pPr>
              <w:ind w:left="140"/>
              <w:spacing w:after="0"/>
              <w:rPr>
                <w:sz w:val="20"/>
                <w:szCs w:val="20"/>
                <w:color w:val="auto"/>
              </w:rPr>
            </w:pPr>
            <w:r>
              <w:rPr>
                <w:rFonts w:ascii="Arial" w:cs="Arial" w:eastAsia="Arial" w:hAnsi="Arial"/>
                <w:sz w:val="16"/>
                <w:szCs w:val="16"/>
                <w:color w:val="auto"/>
              </w:rPr>
              <w:t>Cash and cash equivalents at end of period</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12,808</w:t>
            </w:r>
          </w:p>
        </w:tc>
        <w:tc>
          <w:tcPr>
            <w:tcW w:w="140" w:type="dxa"/>
            <w:vAlign w:val="bottom"/>
          </w:tcPr>
          <w:p>
            <w:pPr>
              <w:spacing w:after="0"/>
              <w:rPr>
                <w:sz w:val="17"/>
                <w:szCs w:val="17"/>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28,656</w:t>
            </w:r>
          </w:p>
        </w:tc>
      </w:tr>
      <w:tr>
        <w:trPr>
          <w:trHeight w:val="23"/>
        </w:trPr>
        <w:tc>
          <w:tcPr>
            <w:tcW w:w="83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390"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6"/>
          <w:szCs w:val="16"/>
          <w:b w:val="1"/>
          <w:bCs w:val="1"/>
          <w:color w:val="auto"/>
        </w:rPr>
        <w:t>Reconciliation of GAAP Income (Loss) from Operations to Non-GAAP Adjusted Income (Loss) from Operations</w:t>
      </w:r>
    </w:p>
    <w:p>
      <w:pPr>
        <w:sectPr>
          <w:pgSz w:w="11900" w:h="16838" w:orient="portrait"/>
          <w:cols w:equalWidth="0" w:num="1">
            <w:col w:w="11240"/>
          </w:cols>
          <w:pgMar w:left="320" w:top="1390"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(in thousands)</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NN, Inc. Consolidated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GAAP income (loss) from operations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Acquisition and transition expense*</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Amortization of intangibles</w:t>
      </w:r>
    </w:p>
    <w:p>
      <w:pPr>
        <w:spacing w:after="0" w:line="59" w:lineRule="exact"/>
        <w:rPr>
          <w:sz w:val="20"/>
          <w:szCs w:val="20"/>
          <w:color w:val="auto"/>
        </w:rPr>
      </w:pPr>
    </w:p>
    <w:p>
      <w:pPr>
        <w:ind w:left="40"/>
        <w:spacing w:after="0" w:line="275" w:lineRule="auto"/>
        <w:rPr>
          <w:sz w:val="20"/>
          <w:szCs w:val="20"/>
          <w:color w:val="auto"/>
        </w:rPr>
      </w:pPr>
      <w:r>
        <w:rPr>
          <w:rFonts w:ascii="Arial" w:cs="Arial" w:eastAsia="Arial" w:hAnsi="Arial"/>
          <w:sz w:val="16"/>
          <w:szCs w:val="16"/>
          <w:color w:val="auto"/>
        </w:rPr>
        <w:t>Non-GAAP adjusted income (loss) from operations (a)</w:t>
      </w:r>
    </w:p>
    <w:p>
      <w:pPr>
        <w:spacing w:after="0" w:line="240" w:lineRule="exact"/>
        <w:rPr>
          <w:sz w:val="20"/>
          <w:szCs w:val="20"/>
          <w:color w:val="auto"/>
        </w:rPr>
      </w:pPr>
    </w:p>
    <w:p>
      <w:pPr>
        <w:ind w:left="40" w:right="120"/>
        <w:spacing w:after="0" w:line="275" w:lineRule="auto"/>
        <w:rPr>
          <w:sz w:val="20"/>
          <w:szCs w:val="20"/>
          <w:color w:val="auto"/>
        </w:rPr>
      </w:pPr>
      <w:r>
        <w:rPr>
          <w:rFonts w:ascii="Arial" w:cs="Arial" w:eastAsia="Arial" w:hAnsi="Arial"/>
          <w:sz w:val="16"/>
          <w:szCs w:val="16"/>
          <w:color w:val="auto"/>
        </w:rPr>
        <w:t>Non-GAAP adjusted operating margin (1)</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6"/>
          <w:szCs w:val="16"/>
          <w:color w:val="auto"/>
        </w:rPr>
        <w:t>GAAP net sales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14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4"/>
          </w:tcPr>
          <w:p>
            <w:pPr>
              <w:jc w:val="right"/>
              <w:ind w:right="99"/>
              <w:spacing w:after="0"/>
              <w:rPr>
                <w:sz w:val="20"/>
                <w:szCs w:val="20"/>
                <w:color w:val="auto"/>
              </w:rPr>
            </w:pPr>
            <w:r>
              <w:rPr>
                <w:rFonts w:ascii="Arial" w:cs="Arial" w:eastAsia="Arial" w:hAnsi="Arial"/>
                <w:sz w:val="16"/>
                <w:szCs w:val="16"/>
                <w:b w:val="1"/>
                <w:bCs w:val="1"/>
                <w:color w:val="auto"/>
                <w:w w:val="92"/>
              </w:rPr>
              <w:t>Three Months Ended December 31,</w:t>
            </w:r>
          </w:p>
        </w:tc>
        <w:tc>
          <w:tcPr>
            <w:tcW w:w="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40" w:type="dxa"/>
            <w:vAlign w:val="bottom"/>
          </w:tcPr>
          <w:p>
            <w:pPr>
              <w:spacing w:after="0"/>
              <w:rPr>
                <w:sz w:val="20"/>
                <w:szCs w:val="20"/>
                <w:color w:val="auto"/>
              </w:rPr>
            </w:pPr>
          </w:p>
        </w:tc>
        <w:tc>
          <w:tcPr>
            <w:tcW w:w="276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auto"/>
              </w:rPr>
              <w:t>(in thousands)</w:t>
            </w:r>
          </w:p>
        </w:tc>
        <w:tc>
          <w:tcPr>
            <w:tcW w:w="140" w:type="dxa"/>
            <w:vAlign w:val="bottom"/>
          </w:tcPr>
          <w:p>
            <w:pPr>
              <w:spacing w:after="0"/>
              <w:rPr>
                <w:sz w:val="20"/>
                <w:szCs w:val="20"/>
                <w:color w:val="auto"/>
              </w:rPr>
            </w:pPr>
          </w:p>
        </w:tc>
        <w:tc>
          <w:tcPr>
            <w:tcW w:w="2680" w:type="dxa"/>
            <w:vAlign w:val="bottom"/>
            <w:gridSpan w:val="4"/>
            <w:vMerge w:val="restart"/>
          </w:tcPr>
          <w:p>
            <w:pPr>
              <w:jc w:val="right"/>
              <w:ind w:right="99"/>
              <w:spacing w:after="0"/>
              <w:rPr>
                <w:sz w:val="20"/>
                <w:szCs w:val="20"/>
                <w:color w:val="auto"/>
              </w:rPr>
            </w:pPr>
            <w:r>
              <w:rPr>
                <w:rFonts w:ascii="Arial" w:cs="Arial" w:eastAsia="Arial" w:hAnsi="Arial"/>
                <w:sz w:val="16"/>
                <w:szCs w:val="16"/>
                <w:b w:val="1"/>
                <w:bCs w:val="1"/>
                <w:color w:val="auto"/>
                <w:w w:val="92"/>
              </w:rPr>
              <w:t>Three Months Ended December 31,</w:t>
            </w:r>
          </w:p>
        </w:tc>
        <w:tc>
          <w:tcPr>
            <w:tcW w:w="0" w:type="dxa"/>
            <w:vAlign w:val="bottom"/>
          </w:tcPr>
          <w:p>
            <w:pPr>
              <w:spacing w:after="0"/>
              <w:rPr>
                <w:sz w:val="1"/>
                <w:szCs w:val="1"/>
                <w:color w:val="auto"/>
              </w:rPr>
            </w:pPr>
          </w:p>
        </w:tc>
      </w:tr>
      <w:tr>
        <w:trPr>
          <w:trHeight w:val="142"/>
        </w:trPr>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vMerge w:val="restart"/>
          </w:tcPr>
          <w:p>
            <w:pPr>
              <w:jc w:val="right"/>
              <w:ind w:right="99"/>
              <w:spacing w:after="0"/>
              <w:rPr>
                <w:sz w:val="20"/>
                <w:szCs w:val="20"/>
                <w:color w:val="auto"/>
              </w:rPr>
            </w:pPr>
            <w:r>
              <w:rPr>
                <w:rFonts w:ascii="Arial" w:cs="Arial" w:eastAsia="Arial" w:hAnsi="Arial"/>
                <w:sz w:val="16"/>
                <w:szCs w:val="16"/>
                <w:color w:val="auto"/>
              </w:rPr>
              <w:t>(11,041)</w:t>
            </w:r>
          </w:p>
        </w:tc>
        <w:tc>
          <w:tcPr>
            <w:tcW w:w="100" w:type="dxa"/>
            <w:vAlign w:val="bottom"/>
          </w:tcPr>
          <w:p>
            <w:pPr>
              <w:spacing w:after="0"/>
              <w:rPr>
                <w:sz w:val="12"/>
                <w:szCs w:val="12"/>
                <w:color w:val="auto"/>
              </w:rPr>
            </w:pPr>
          </w:p>
        </w:tc>
        <w:tc>
          <w:tcPr>
            <w:tcW w:w="300" w:type="dxa"/>
            <w:vAlign w:val="bottom"/>
            <w:vMerge w:val="restart"/>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vMerge w:val="restart"/>
          </w:tcPr>
          <w:p>
            <w:pPr>
              <w:jc w:val="right"/>
              <w:ind w:right="79"/>
              <w:spacing w:after="0"/>
              <w:rPr>
                <w:sz w:val="20"/>
                <w:szCs w:val="20"/>
                <w:color w:val="auto"/>
              </w:rPr>
            </w:pPr>
            <w:r>
              <w:rPr>
                <w:rFonts w:ascii="Arial" w:cs="Arial" w:eastAsia="Arial" w:hAnsi="Arial"/>
                <w:sz w:val="16"/>
                <w:szCs w:val="16"/>
                <w:color w:val="auto"/>
              </w:rPr>
              <w:t>(3,782)</w:t>
            </w:r>
          </w:p>
        </w:tc>
        <w:tc>
          <w:tcPr>
            <w:tcW w:w="40" w:type="dxa"/>
            <w:vAlign w:val="bottom"/>
          </w:tcPr>
          <w:p>
            <w:pPr>
              <w:spacing w:after="0"/>
              <w:rPr>
                <w:sz w:val="12"/>
                <w:szCs w:val="12"/>
                <w:color w:val="auto"/>
              </w:rPr>
            </w:pPr>
          </w:p>
        </w:tc>
        <w:tc>
          <w:tcPr>
            <w:tcW w:w="2760" w:type="dxa"/>
            <w:vAlign w:val="bottom"/>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680" w:type="dxa"/>
            <w:vAlign w:val="bottom"/>
            <w:tcBorders>
              <w:bottom w:val="single" w:sz="8" w:color="auto"/>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140" w:type="dxa"/>
            <w:vAlign w:val="bottom"/>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27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Mobile Solutions</w:t>
            </w:r>
          </w:p>
        </w:tc>
        <w:tc>
          <w:tcPr>
            <w:tcW w:w="140" w:type="dxa"/>
            <w:vAlign w:val="bottom"/>
          </w:tcPr>
          <w:p>
            <w:pPr>
              <w:spacing w:after="0"/>
              <w:rPr>
                <w:sz w:val="5"/>
                <w:szCs w:val="5"/>
                <w:color w:val="auto"/>
              </w:rPr>
            </w:pPr>
          </w:p>
        </w:tc>
        <w:tc>
          <w:tcPr>
            <w:tcW w:w="1240" w:type="dxa"/>
            <w:vAlign w:val="bottom"/>
            <w:vMerge w:val="restart"/>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20" w:type="dxa"/>
            <w:vAlign w:val="bottom"/>
            <w:vMerge w:val="restart"/>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75"/>
        </w:trPr>
        <w:tc>
          <w:tcPr>
            <w:tcW w:w="140" w:type="dxa"/>
            <w:vAlign w:val="bottom"/>
          </w:tcPr>
          <w:p>
            <w:pPr>
              <w:spacing w:after="0"/>
              <w:rPr>
                <w:sz w:val="15"/>
                <w:szCs w:val="15"/>
                <w:color w:val="auto"/>
              </w:rPr>
            </w:pPr>
          </w:p>
        </w:tc>
        <w:tc>
          <w:tcPr>
            <w:tcW w:w="1240" w:type="dxa"/>
            <w:vAlign w:val="bottom"/>
          </w:tcPr>
          <w:p>
            <w:pPr>
              <w:jc w:val="right"/>
              <w:ind w:right="139"/>
              <w:spacing w:after="0" w:line="175" w:lineRule="exact"/>
              <w:rPr>
                <w:sz w:val="20"/>
                <w:szCs w:val="20"/>
                <w:color w:val="auto"/>
              </w:rPr>
            </w:pPr>
            <w:r>
              <w:rPr>
                <w:rFonts w:ascii="Arial" w:cs="Arial" w:eastAsia="Arial" w:hAnsi="Arial"/>
                <w:sz w:val="16"/>
                <w:szCs w:val="16"/>
                <w:color w:val="auto"/>
              </w:rPr>
              <w:t>2,689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119"/>
              <w:spacing w:after="0" w:line="175" w:lineRule="exact"/>
              <w:rPr>
                <w:sz w:val="20"/>
                <w:szCs w:val="20"/>
                <w:color w:val="auto"/>
              </w:rPr>
            </w:pPr>
            <w:r>
              <w:rPr>
                <w:rFonts w:ascii="Arial" w:cs="Arial" w:eastAsia="Arial" w:hAnsi="Arial"/>
                <w:sz w:val="16"/>
                <w:szCs w:val="16"/>
                <w:color w:val="auto"/>
              </w:rPr>
              <w:t>1,030</w:t>
            </w:r>
          </w:p>
        </w:tc>
        <w:tc>
          <w:tcPr>
            <w:tcW w:w="40" w:type="dxa"/>
            <w:vAlign w:val="bottom"/>
          </w:tcPr>
          <w:p>
            <w:pPr>
              <w:spacing w:after="0"/>
              <w:rPr>
                <w:sz w:val="15"/>
                <w:szCs w:val="15"/>
                <w:color w:val="auto"/>
              </w:rPr>
            </w:pPr>
          </w:p>
        </w:tc>
        <w:tc>
          <w:tcPr>
            <w:tcW w:w="2760" w:type="dxa"/>
            <w:vAlign w:val="bottom"/>
            <w:tcBorders>
              <w:bottom w:val="single" w:sz="8" w:color="BFE4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BFE4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1240" w:type="dxa"/>
            <w:vAlign w:val="bottom"/>
            <w:vMerge w:val="restart"/>
          </w:tcPr>
          <w:p>
            <w:pPr>
              <w:jc w:val="right"/>
              <w:ind w:right="139"/>
              <w:spacing w:after="0"/>
              <w:rPr>
                <w:sz w:val="20"/>
                <w:szCs w:val="20"/>
                <w:color w:val="auto"/>
              </w:rPr>
            </w:pPr>
            <w:r>
              <w:rPr>
                <w:rFonts w:ascii="Arial" w:cs="Arial" w:eastAsia="Arial" w:hAnsi="Arial"/>
                <w:sz w:val="16"/>
                <w:szCs w:val="16"/>
                <w:color w:val="auto"/>
              </w:rPr>
              <w:t>5,067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vMerge w:val="restart"/>
          </w:tcPr>
          <w:p>
            <w:pPr>
              <w:jc w:val="right"/>
              <w:ind w:right="119"/>
              <w:spacing w:after="0"/>
              <w:rPr>
                <w:sz w:val="20"/>
                <w:szCs w:val="20"/>
                <w:color w:val="auto"/>
              </w:rPr>
            </w:pPr>
            <w:r>
              <w:rPr>
                <w:rFonts w:ascii="Arial" w:cs="Arial" w:eastAsia="Arial" w:hAnsi="Arial"/>
                <w:sz w:val="16"/>
                <w:szCs w:val="16"/>
                <w:color w:val="auto"/>
              </w:rPr>
              <w:t>3,587</w:t>
            </w:r>
          </w:p>
        </w:tc>
        <w:tc>
          <w:tcPr>
            <w:tcW w:w="40" w:type="dxa"/>
            <w:vAlign w:val="bottom"/>
          </w:tcPr>
          <w:p>
            <w:pPr>
              <w:spacing w:after="0"/>
              <w:rPr>
                <w:sz w:val="19"/>
                <w:szCs w:val="19"/>
                <w:color w:val="auto"/>
              </w:rPr>
            </w:pPr>
          </w:p>
        </w:tc>
        <w:tc>
          <w:tcPr>
            <w:tcW w:w="2760" w:type="dxa"/>
            <w:vAlign w:val="bottom"/>
            <w:shd w:val="clear" w:color="auto" w:fill="BFE4FF"/>
          </w:tcPr>
          <w:p>
            <w:pPr>
              <w:ind w:left="20"/>
              <w:spacing w:after="0"/>
              <w:rPr>
                <w:sz w:val="20"/>
                <w:szCs w:val="20"/>
                <w:color w:val="auto"/>
              </w:rPr>
            </w:pPr>
            <w:r>
              <w:rPr>
                <w:rFonts w:ascii="Arial" w:cs="Arial" w:eastAsia="Arial" w:hAnsi="Arial"/>
                <w:sz w:val="16"/>
                <w:szCs w:val="16"/>
                <w:color w:val="auto"/>
              </w:rPr>
              <w:t>GAAP income (loss) from operations</w:t>
            </w:r>
          </w:p>
        </w:tc>
        <w:tc>
          <w:tcPr>
            <w:tcW w:w="140" w:type="dxa"/>
            <w:vAlign w:val="bottom"/>
            <w:shd w:val="clear" w:color="auto" w:fill="BFE4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BFE4FF"/>
          </w:tcPr>
          <w:p>
            <w:pPr>
              <w:jc w:val="right"/>
              <w:ind w:right="79"/>
              <w:spacing w:after="0"/>
              <w:rPr>
                <w:sz w:val="20"/>
                <w:szCs w:val="20"/>
                <w:color w:val="auto"/>
              </w:rPr>
            </w:pPr>
            <w:r>
              <w:rPr>
                <w:rFonts w:ascii="Arial" w:cs="Arial" w:eastAsia="Arial" w:hAnsi="Arial"/>
                <w:sz w:val="16"/>
                <w:szCs w:val="16"/>
                <w:color w:val="auto"/>
              </w:rPr>
              <w:t>(5,389)</w:t>
            </w:r>
          </w:p>
        </w:tc>
        <w:tc>
          <w:tcPr>
            <w:tcW w:w="100" w:type="dxa"/>
            <w:vAlign w:val="bottom"/>
            <w:shd w:val="clear" w:color="auto" w:fill="BFE4FF"/>
          </w:tcPr>
          <w:p>
            <w:pPr>
              <w:spacing w:after="0"/>
              <w:rPr>
                <w:sz w:val="19"/>
                <w:szCs w:val="19"/>
                <w:color w:val="auto"/>
              </w:rPr>
            </w:pPr>
          </w:p>
        </w:tc>
        <w:tc>
          <w:tcPr>
            <w:tcW w:w="32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rPr>
              <w:t>697</w:t>
            </w:r>
          </w:p>
        </w:tc>
        <w:tc>
          <w:tcPr>
            <w:tcW w:w="0" w:type="dxa"/>
            <w:vAlign w:val="bottom"/>
          </w:tcPr>
          <w:p>
            <w:pPr>
              <w:spacing w:after="0"/>
              <w:rPr>
                <w:sz w:val="1"/>
                <w:szCs w:val="1"/>
                <w:color w:val="auto"/>
              </w:rPr>
            </w:pPr>
          </w:p>
        </w:tc>
      </w:tr>
      <w:tr>
        <w:trPr>
          <w:trHeight w:val="62"/>
        </w:trPr>
        <w:tc>
          <w:tcPr>
            <w:tcW w:w="1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40" w:type="dxa"/>
            <w:vAlign w:val="bottom"/>
          </w:tcPr>
          <w:p>
            <w:pPr>
              <w:spacing w:after="0"/>
              <w:rPr>
                <w:sz w:val="5"/>
                <w:szCs w:val="5"/>
                <w:color w:val="auto"/>
              </w:rPr>
            </w:pPr>
          </w:p>
        </w:tc>
        <w:tc>
          <w:tcPr>
            <w:tcW w:w="2760" w:type="dxa"/>
            <w:vAlign w:val="bottom"/>
            <w:vMerge w:val="restart"/>
          </w:tcPr>
          <w:p>
            <w:pPr>
              <w:ind w:left="20"/>
              <w:spacing w:after="0"/>
              <w:rPr>
                <w:sz w:val="20"/>
                <w:szCs w:val="20"/>
                <w:color w:val="auto"/>
              </w:rPr>
            </w:pPr>
            <w:r>
              <w:rPr>
                <w:rFonts w:ascii="Arial" w:cs="Arial" w:eastAsia="Arial" w:hAnsi="Arial"/>
                <w:sz w:val="16"/>
                <w:szCs w:val="16"/>
                <w:color w:val="auto"/>
              </w:rPr>
              <w:t>Acquisition and transition expense</w:t>
            </w:r>
          </w:p>
        </w:tc>
        <w:tc>
          <w:tcPr>
            <w:tcW w:w="140" w:type="dxa"/>
            <w:vAlign w:val="bottom"/>
          </w:tcPr>
          <w:p>
            <w:pPr>
              <w:spacing w:after="0"/>
              <w:rPr>
                <w:sz w:val="5"/>
                <w:szCs w:val="5"/>
                <w:color w:val="auto"/>
              </w:rPr>
            </w:pPr>
          </w:p>
        </w:tc>
        <w:tc>
          <w:tcPr>
            <w:tcW w:w="1240" w:type="dxa"/>
            <w:vAlign w:val="bottom"/>
            <w:vMerge w:val="restart"/>
          </w:tcPr>
          <w:p>
            <w:pPr>
              <w:jc w:val="right"/>
              <w:ind w:right="119"/>
              <w:spacing w:after="0"/>
              <w:rPr>
                <w:sz w:val="20"/>
                <w:szCs w:val="20"/>
                <w:color w:val="auto"/>
              </w:rPr>
            </w:pPr>
            <w:r>
              <w:rPr>
                <w:rFonts w:ascii="Arial" w:cs="Arial" w:eastAsia="Arial" w:hAnsi="Arial"/>
                <w:sz w:val="16"/>
                <w:szCs w:val="16"/>
                <w:color w:val="auto"/>
              </w:rPr>
              <w:t>899</w:t>
            </w: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2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8"/>
        </w:trPr>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7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(3,285)</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835</w:t>
            </w:r>
          </w:p>
        </w:tc>
        <w:tc>
          <w:tcPr>
            <w:tcW w:w="40" w:type="dxa"/>
            <w:vAlign w:val="bottom"/>
          </w:tcPr>
          <w:p>
            <w:pPr>
              <w:spacing w:after="0"/>
              <w:rPr>
                <w:sz w:val="21"/>
                <w:szCs w:val="21"/>
                <w:color w:val="auto"/>
              </w:rPr>
            </w:pPr>
          </w:p>
        </w:tc>
        <w:tc>
          <w:tcPr>
            <w:tcW w:w="2760" w:type="dxa"/>
            <w:vAlign w:val="bottom"/>
            <w:shd w:val="clear" w:color="auto" w:fill="BFE4FF"/>
          </w:tcPr>
          <w:p>
            <w:pPr>
              <w:ind w:left="20"/>
              <w:spacing w:after="0"/>
              <w:rPr>
                <w:sz w:val="20"/>
                <w:szCs w:val="20"/>
                <w:color w:val="auto"/>
              </w:rPr>
            </w:pPr>
            <w:r>
              <w:rPr>
                <w:rFonts w:ascii="Arial" w:cs="Arial" w:eastAsia="Arial" w:hAnsi="Arial"/>
                <w:sz w:val="16"/>
                <w:szCs w:val="16"/>
                <w:color w:val="auto"/>
              </w:rPr>
              <w:t>Amortization of intangibles</w:t>
            </w:r>
          </w:p>
        </w:tc>
        <w:tc>
          <w:tcPr>
            <w:tcW w:w="140" w:type="dxa"/>
            <w:vAlign w:val="bottom"/>
            <w:tcBorders>
              <w:bottom w:val="single" w:sz="8" w:color="auto"/>
            </w:tcBorders>
            <w:shd w:val="clear" w:color="auto" w:fill="BFE4FF"/>
          </w:tcPr>
          <w:p>
            <w:pPr>
              <w:spacing w:after="0"/>
              <w:rPr>
                <w:sz w:val="21"/>
                <w:szCs w:val="21"/>
                <w:color w:val="auto"/>
              </w:rPr>
            </w:pPr>
          </w:p>
        </w:tc>
        <w:tc>
          <w:tcPr>
            <w:tcW w:w="1240" w:type="dxa"/>
            <w:vAlign w:val="bottom"/>
            <w:tcBorders>
              <w:bottom w:val="single" w:sz="8" w:color="auto"/>
            </w:tcBorders>
            <w:shd w:val="clear" w:color="auto" w:fill="BFE4FF"/>
          </w:tcPr>
          <w:p>
            <w:pPr>
              <w:jc w:val="right"/>
              <w:ind w:right="119"/>
              <w:spacing w:after="0"/>
              <w:rPr>
                <w:sz w:val="20"/>
                <w:szCs w:val="20"/>
                <w:color w:val="auto"/>
              </w:rPr>
            </w:pPr>
            <w:r>
              <w:rPr>
                <w:rFonts w:ascii="Arial" w:cs="Arial" w:eastAsia="Arial" w:hAnsi="Arial"/>
                <w:sz w:val="16"/>
                <w:szCs w:val="16"/>
                <w:color w:val="auto"/>
              </w:rPr>
              <w:t>838</w:t>
            </w:r>
          </w:p>
        </w:tc>
        <w:tc>
          <w:tcPr>
            <w:tcW w:w="100" w:type="dxa"/>
            <w:vAlign w:val="bottom"/>
            <w:shd w:val="clear" w:color="auto" w:fill="BFE4FF"/>
          </w:tcPr>
          <w:p>
            <w:pPr>
              <w:spacing w:after="0"/>
              <w:rPr>
                <w:sz w:val="21"/>
                <w:szCs w:val="21"/>
                <w:color w:val="auto"/>
              </w:rPr>
            </w:pPr>
          </w:p>
        </w:tc>
        <w:tc>
          <w:tcPr>
            <w:tcW w:w="320" w:type="dxa"/>
            <w:vAlign w:val="bottom"/>
            <w:tcBorders>
              <w:bottom w:val="single" w:sz="8" w:color="auto"/>
            </w:tcBorders>
            <w:shd w:val="clear" w:color="auto" w:fill="BFE4FF"/>
          </w:tcPr>
          <w:p>
            <w:pPr>
              <w:spacing w:after="0"/>
              <w:rPr>
                <w:sz w:val="21"/>
                <w:szCs w:val="21"/>
                <w:color w:val="auto"/>
              </w:rPr>
            </w:pPr>
          </w:p>
        </w:tc>
        <w:tc>
          <w:tcPr>
            <w:tcW w:w="1020" w:type="dxa"/>
            <w:vAlign w:val="bottom"/>
            <w:tcBorders>
              <w:bottom w:val="single" w:sz="8" w:color="auto"/>
            </w:tcBorders>
            <w:shd w:val="clear" w:color="auto" w:fill="BFE4FF"/>
          </w:tcPr>
          <w:p>
            <w:pPr>
              <w:jc w:val="right"/>
              <w:ind w:right="119"/>
              <w:spacing w:after="0"/>
              <w:rPr>
                <w:sz w:val="20"/>
                <w:szCs w:val="20"/>
                <w:color w:val="auto"/>
              </w:rPr>
            </w:pPr>
            <w:r>
              <w:rPr>
                <w:rFonts w:ascii="Arial" w:cs="Arial" w:eastAsia="Arial" w:hAnsi="Arial"/>
                <w:sz w:val="16"/>
                <w:szCs w:val="16"/>
                <w:color w:val="auto"/>
              </w:rPr>
              <w:t>838</w:t>
            </w: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760" w:type="dxa"/>
            <w:vAlign w:val="bottom"/>
            <w:vMerge w:val="restart"/>
          </w:tcPr>
          <w:p>
            <w:pPr>
              <w:ind w:left="20"/>
              <w:spacing w:after="0"/>
              <w:rPr>
                <w:sz w:val="20"/>
                <w:szCs w:val="20"/>
                <w:color w:val="auto"/>
              </w:rPr>
            </w:pPr>
            <w:r>
              <w:rPr>
                <w:rFonts w:ascii="Arial" w:cs="Arial" w:eastAsia="Arial" w:hAnsi="Arial"/>
                <w:sz w:val="16"/>
                <w:szCs w:val="16"/>
                <w:color w:val="auto"/>
                <w:w w:val="97"/>
              </w:rPr>
              <w:t>Non-GAAP adjusted income (loss) from</w:t>
            </w: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vMerge w:val="continue"/>
          </w:tcPr>
          <w:p>
            <w:pPr>
              <w:spacing w:after="0"/>
              <w:rPr>
                <w:sz w:val="12"/>
                <w:szCs w:val="12"/>
                <w:color w:val="auto"/>
              </w:rPr>
            </w:pPr>
          </w:p>
        </w:tc>
        <w:tc>
          <w:tcPr>
            <w:tcW w:w="27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760" w:type="dxa"/>
            <w:vAlign w:val="bottom"/>
            <w:tcBorders>
              <w:bottom w:val="single" w:sz="8" w:color="BFE4FF"/>
            </w:tcBorders>
          </w:tcPr>
          <w:p>
            <w:pPr>
              <w:ind w:left="20"/>
              <w:spacing w:after="0"/>
              <w:rPr>
                <w:sz w:val="20"/>
                <w:szCs w:val="20"/>
                <w:color w:val="auto"/>
              </w:rPr>
            </w:pPr>
            <w:r>
              <w:rPr>
                <w:rFonts w:ascii="Arial" w:cs="Arial" w:eastAsia="Arial" w:hAnsi="Arial"/>
                <w:sz w:val="16"/>
                <w:szCs w:val="16"/>
                <w:color w:val="auto"/>
              </w:rPr>
              <w:t>operations (a)</w:t>
            </w: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(3,652)</w:t>
            </w:r>
          </w:p>
        </w:tc>
        <w:tc>
          <w:tcPr>
            <w:tcW w:w="100" w:type="dxa"/>
            <w:vAlign w:val="bottom"/>
            <w:tcBorders>
              <w:bottom w:val="single" w:sz="8" w:color="BFE4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1,535</w:t>
            </w:r>
          </w:p>
        </w:tc>
        <w:tc>
          <w:tcPr>
            <w:tcW w:w="0" w:type="dxa"/>
            <w:vAlign w:val="bottom"/>
          </w:tcPr>
          <w:p>
            <w:pPr>
              <w:spacing w:after="0"/>
              <w:rPr>
                <w:sz w:val="1"/>
                <w:szCs w:val="1"/>
                <w:color w:val="auto"/>
              </w:rPr>
            </w:pPr>
          </w:p>
        </w:tc>
      </w:tr>
      <w:tr>
        <w:trPr>
          <w:trHeight w:val="202"/>
        </w:trPr>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0.8 %</w:t>
            </w:r>
          </w:p>
        </w:tc>
        <w:tc>
          <w:tcPr>
            <w:tcW w:w="40" w:type="dxa"/>
            <w:vAlign w:val="bottom"/>
          </w:tcPr>
          <w:p>
            <w:pPr>
              <w:spacing w:after="0"/>
              <w:rPr>
                <w:sz w:val="17"/>
                <w:szCs w:val="17"/>
                <w:color w:val="auto"/>
              </w:rPr>
            </w:pPr>
          </w:p>
        </w:tc>
        <w:tc>
          <w:tcPr>
            <w:tcW w:w="2760" w:type="dxa"/>
            <w:vAlign w:val="bottom"/>
            <w:shd w:val="clear" w:color="auto" w:fill="BFE4FF"/>
          </w:tcPr>
          <w:p>
            <w:pPr>
              <w:spacing w:after="0"/>
              <w:rPr>
                <w:sz w:val="17"/>
                <w:szCs w:val="17"/>
                <w:color w:val="auto"/>
              </w:rPr>
            </w:pPr>
          </w:p>
        </w:tc>
        <w:tc>
          <w:tcPr>
            <w:tcW w:w="140" w:type="dxa"/>
            <w:vAlign w:val="bottom"/>
            <w:shd w:val="clear" w:color="auto" w:fill="BFE4FF"/>
          </w:tcPr>
          <w:p>
            <w:pPr>
              <w:spacing w:after="0"/>
              <w:rPr>
                <w:sz w:val="17"/>
                <w:szCs w:val="17"/>
                <w:color w:val="auto"/>
              </w:rPr>
            </w:pPr>
          </w:p>
        </w:tc>
        <w:tc>
          <w:tcPr>
            <w:tcW w:w="1240" w:type="dxa"/>
            <w:vAlign w:val="bottom"/>
            <w:shd w:val="clear" w:color="auto" w:fill="BFE4FF"/>
          </w:tcPr>
          <w:p>
            <w:pPr>
              <w:spacing w:after="0"/>
              <w:rPr>
                <w:sz w:val="17"/>
                <w:szCs w:val="17"/>
                <w:color w:val="auto"/>
              </w:rPr>
            </w:pPr>
          </w:p>
        </w:tc>
        <w:tc>
          <w:tcPr>
            <w:tcW w:w="100" w:type="dxa"/>
            <w:vAlign w:val="bottom"/>
            <w:shd w:val="clear" w:color="auto" w:fill="BFE4FF"/>
          </w:tcPr>
          <w:p>
            <w:pPr>
              <w:spacing w:after="0"/>
              <w:rPr>
                <w:sz w:val="17"/>
                <w:szCs w:val="17"/>
                <w:color w:val="auto"/>
              </w:rPr>
            </w:pPr>
          </w:p>
        </w:tc>
        <w:tc>
          <w:tcPr>
            <w:tcW w:w="320" w:type="dxa"/>
            <w:vAlign w:val="bottom"/>
            <w:shd w:val="clear" w:color="auto" w:fill="BFE4FF"/>
          </w:tcPr>
          <w:p>
            <w:pPr>
              <w:spacing w:after="0"/>
              <w:rPr>
                <w:sz w:val="17"/>
                <w:szCs w:val="17"/>
                <w:color w:val="auto"/>
              </w:rPr>
            </w:pPr>
          </w:p>
        </w:tc>
        <w:tc>
          <w:tcPr>
            <w:tcW w:w="1020" w:type="dxa"/>
            <w:vAlign w:val="bottom"/>
            <w:shd w:val="clear" w:color="auto" w:fill="BFE4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118,012</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110,379</w:t>
            </w:r>
          </w:p>
        </w:tc>
        <w:tc>
          <w:tcPr>
            <w:tcW w:w="40" w:type="dxa"/>
            <w:vAlign w:val="bottom"/>
          </w:tcPr>
          <w:p>
            <w:pPr>
              <w:spacing w:after="0"/>
              <w:rPr>
                <w:sz w:val="18"/>
                <w:szCs w:val="18"/>
                <w:color w:val="auto"/>
              </w:rPr>
            </w:pPr>
          </w:p>
        </w:tc>
        <w:tc>
          <w:tcPr>
            <w:tcW w:w="2760" w:type="dxa"/>
            <w:vAlign w:val="bottom"/>
            <w:tcBorders>
              <w:bottom w:val="single" w:sz="8" w:color="BFE4FF"/>
            </w:tcBorders>
          </w:tcPr>
          <w:p>
            <w:pPr>
              <w:ind w:left="20"/>
              <w:spacing w:after="0"/>
              <w:rPr>
                <w:sz w:val="20"/>
                <w:szCs w:val="20"/>
                <w:color w:val="auto"/>
              </w:rPr>
            </w:pPr>
            <w:r>
              <w:rPr>
                <w:rFonts w:ascii="Arial" w:cs="Arial" w:eastAsia="Arial" w:hAnsi="Arial"/>
                <w:sz w:val="16"/>
                <w:szCs w:val="16"/>
                <w:color w:val="auto"/>
              </w:rPr>
              <w:t>Share of net income from joint venture</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2,657</w:t>
            </w:r>
          </w:p>
        </w:tc>
        <w:tc>
          <w:tcPr>
            <w:tcW w:w="100" w:type="dxa"/>
            <w:vAlign w:val="bottom"/>
            <w:tcBorders>
              <w:bottom w:val="single" w:sz="8" w:color="BFE4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2,805</w:t>
            </w:r>
          </w:p>
        </w:tc>
        <w:tc>
          <w:tcPr>
            <w:tcW w:w="0" w:type="dxa"/>
            <w:vAlign w:val="bottom"/>
          </w:tcPr>
          <w:p>
            <w:pPr>
              <w:spacing w:after="0"/>
              <w:rPr>
                <w:sz w:val="1"/>
                <w:szCs w:val="1"/>
                <w:color w:val="auto"/>
              </w:rPr>
            </w:pPr>
          </w:p>
        </w:tc>
      </w:tr>
      <w:tr>
        <w:trPr>
          <w:trHeight w:val="146"/>
        </w:trPr>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760" w:type="dxa"/>
            <w:vAlign w:val="bottom"/>
            <w:shd w:val="clear" w:color="auto" w:fill="BFE4FF"/>
          </w:tcPr>
          <w:p>
            <w:pPr>
              <w:ind w:left="20"/>
              <w:spacing w:after="0" w:line="146" w:lineRule="exact"/>
              <w:rPr>
                <w:sz w:val="20"/>
                <w:szCs w:val="20"/>
                <w:color w:val="auto"/>
              </w:rPr>
            </w:pPr>
            <w:r>
              <w:rPr>
                <w:rFonts w:ascii="Arial" w:cs="Arial" w:eastAsia="Arial" w:hAnsi="Arial"/>
                <w:sz w:val="16"/>
                <w:szCs w:val="16"/>
                <w:color w:val="auto"/>
                <w:w w:val="97"/>
              </w:rPr>
              <w:t>Non-GAAP adjusted income (loss) from</w:t>
            </w:r>
          </w:p>
        </w:tc>
        <w:tc>
          <w:tcPr>
            <w:tcW w:w="140" w:type="dxa"/>
            <w:vAlign w:val="bottom"/>
            <w:vMerge w:val="restart"/>
            <w:shd w:val="clear" w:color="auto" w:fill="BFE4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vMerge w:val="restart"/>
            <w:shd w:val="clear" w:color="auto" w:fill="BFE4FF"/>
          </w:tcPr>
          <w:p>
            <w:pPr>
              <w:jc w:val="right"/>
              <w:ind w:right="79"/>
              <w:spacing w:after="0"/>
              <w:rPr>
                <w:sz w:val="20"/>
                <w:szCs w:val="20"/>
                <w:color w:val="auto"/>
              </w:rPr>
            </w:pPr>
            <w:r>
              <w:rPr>
                <w:rFonts w:ascii="Arial" w:cs="Arial" w:eastAsia="Arial" w:hAnsi="Arial"/>
                <w:sz w:val="16"/>
                <w:szCs w:val="16"/>
                <w:color w:val="auto"/>
              </w:rPr>
              <w:t>(995)</w:t>
            </w:r>
          </w:p>
        </w:tc>
        <w:tc>
          <w:tcPr>
            <w:tcW w:w="100" w:type="dxa"/>
            <w:vAlign w:val="bottom"/>
            <w:shd w:val="clear" w:color="auto" w:fill="BFE4FF"/>
          </w:tcPr>
          <w:p>
            <w:pPr>
              <w:spacing w:after="0"/>
              <w:rPr>
                <w:sz w:val="12"/>
                <w:szCs w:val="12"/>
                <w:color w:val="auto"/>
              </w:rPr>
            </w:pPr>
          </w:p>
        </w:tc>
        <w:tc>
          <w:tcPr>
            <w:tcW w:w="320" w:type="dxa"/>
            <w:vAlign w:val="bottom"/>
            <w:vMerge w:val="restart"/>
            <w:shd w:val="clear" w:color="auto" w:fill="BFE4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vMerge w:val="restart"/>
            <w:shd w:val="clear" w:color="auto" w:fill="BFE4FF"/>
          </w:tcPr>
          <w:p>
            <w:pPr>
              <w:jc w:val="right"/>
              <w:ind w:right="119"/>
              <w:spacing w:after="0"/>
              <w:rPr>
                <w:sz w:val="20"/>
                <w:szCs w:val="20"/>
                <w:color w:val="auto"/>
              </w:rPr>
            </w:pPr>
            <w:r>
              <w:rPr>
                <w:rFonts w:ascii="Arial" w:cs="Arial" w:eastAsia="Arial" w:hAnsi="Arial"/>
                <w:sz w:val="16"/>
                <w:szCs w:val="16"/>
                <w:color w:val="auto"/>
              </w:rPr>
              <w:t>4,340</w:t>
            </w:r>
          </w:p>
        </w:tc>
        <w:tc>
          <w:tcPr>
            <w:tcW w:w="0" w:type="dxa"/>
            <w:vAlign w:val="bottom"/>
          </w:tcPr>
          <w:p>
            <w:pPr>
              <w:spacing w:after="0"/>
              <w:rPr>
                <w:sz w:val="1"/>
                <w:szCs w:val="1"/>
                <w:color w:val="auto"/>
              </w:rPr>
            </w:pPr>
          </w:p>
        </w:tc>
      </w:tr>
      <w:tr>
        <w:trPr>
          <w:trHeight w:val="205"/>
        </w:trPr>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7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operations with JV</w:t>
            </w:r>
          </w:p>
        </w:tc>
        <w:tc>
          <w:tcPr>
            <w:tcW w:w="140" w:type="dxa"/>
            <w:vAlign w:val="bottom"/>
            <w:tcBorders>
              <w:bottom w:val="single" w:sz="8" w:color="auto"/>
            </w:tcBorders>
            <w:vMerge w:val="continue"/>
            <w:shd w:val="clear" w:color="auto" w:fill="BFE4FF"/>
          </w:tcPr>
          <w:p>
            <w:pPr>
              <w:spacing w:after="0"/>
              <w:rPr>
                <w:sz w:val="17"/>
                <w:szCs w:val="17"/>
                <w:color w:val="auto"/>
              </w:rPr>
            </w:pPr>
          </w:p>
        </w:tc>
        <w:tc>
          <w:tcPr>
            <w:tcW w:w="1240" w:type="dxa"/>
            <w:vAlign w:val="bottom"/>
            <w:tcBorders>
              <w:bottom w:val="single" w:sz="8" w:color="auto"/>
            </w:tcBorders>
            <w:vMerge w:val="continue"/>
            <w:shd w:val="clear" w:color="auto" w:fill="BFE4FF"/>
          </w:tcPr>
          <w:p>
            <w:pPr>
              <w:spacing w:after="0"/>
              <w:rPr>
                <w:sz w:val="17"/>
                <w:szCs w:val="17"/>
                <w:color w:val="auto"/>
              </w:rPr>
            </w:pPr>
          </w:p>
        </w:tc>
        <w:tc>
          <w:tcPr>
            <w:tcW w:w="100" w:type="dxa"/>
            <w:vAlign w:val="bottom"/>
            <w:tcBorders>
              <w:bottom w:val="single" w:sz="8" w:color="BFE4FF"/>
            </w:tcBorders>
            <w:shd w:val="clear" w:color="auto" w:fill="BFE4FF"/>
          </w:tcPr>
          <w:p>
            <w:pPr>
              <w:spacing w:after="0"/>
              <w:rPr>
                <w:sz w:val="17"/>
                <w:szCs w:val="17"/>
                <w:color w:val="auto"/>
              </w:rPr>
            </w:pPr>
          </w:p>
        </w:tc>
        <w:tc>
          <w:tcPr>
            <w:tcW w:w="320" w:type="dxa"/>
            <w:vAlign w:val="bottom"/>
            <w:tcBorders>
              <w:bottom w:val="single" w:sz="8" w:color="auto"/>
            </w:tcBorders>
            <w:vMerge w:val="continue"/>
            <w:shd w:val="clear" w:color="auto" w:fill="BFE4FF"/>
          </w:tcPr>
          <w:p>
            <w:pPr>
              <w:spacing w:after="0"/>
              <w:rPr>
                <w:sz w:val="17"/>
                <w:szCs w:val="17"/>
                <w:color w:val="auto"/>
              </w:rPr>
            </w:pPr>
          </w:p>
        </w:tc>
        <w:tc>
          <w:tcPr>
            <w:tcW w:w="1020" w:type="dxa"/>
            <w:vAlign w:val="bottom"/>
            <w:tcBorders>
              <w:bottom w:val="single" w:sz="8" w:color="auto"/>
            </w:tcBorders>
            <w:vMerge w:val="continue"/>
            <w:shd w:val="clear" w:color="auto" w:fill="BFE4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60" w:type="dxa"/>
            <w:vAlign w:val="bottom"/>
            <w:tcBorders>
              <w:top w:val="single" w:sz="8" w:color="BFE4FF"/>
            </w:tcBorders>
          </w:tcPr>
          <w:p>
            <w:pPr>
              <w:spacing w:after="0" w:line="20" w:lineRule="exact"/>
              <w:rPr>
                <w:sz w:val="1"/>
                <w:szCs w:val="1"/>
                <w:color w:val="auto"/>
              </w:rPr>
            </w:pPr>
          </w:p>
        </w:tc>
        <w:tc>
          <w:tcPr>
            <w:tcW w:w="140" w:type="dxa"/>
            <w:vAlign w:val="bottom"/>
            <w:tcBorders>
              <w:top w:val="single" w:sz="8" w:color="BFE4FF"/>
              <w:bottom w:val="single" w:sz="8" w:color="auto"/>
            </w:tcBorders>
          </w:tcPr>
          <w:p>
            <w:pPr>
              <w:spacing w:after="0" w:line="20" w:lineRule="exact"/>
              <w:rPr>
                <w:sz w:val="1"/>
                <w:szCs w:val="1"/>
                <w:color w:val="auto"/>
              </w:rPr>
            </w:pPr>
          </w:p>
        </w:tc>
        <w:tc>
          <w:tcPr>
            <w:tcW w:w="124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320" w:type="dxa"/>
            <w:vAlign w:val="bottom"/>
            <w:tcBorders>
              <w:top w:val="single" w:sz="8" w:color="BFE4FF"/>
              <w:bottom w:val="single" w:sz="8" w:color="auto"/>
            </w:tcBorders>
          </w:tcPr>
          <w:p>
            <w:pPr>
              <w:spacing w:after="0" w:line="20" w:lineRule="exact"/>
              <w:rPr>
                <w:sz w:val="1"/>
                <w:szCs w:val="1"/>
                <w:color w:val="auto"/>
              </w:rPr>
            </w:pPr>
          </w:p>
        </w:tc>
        <w:tc>
          <w:tcPr>
            <w:tcW w:w="1020" w:type="dxa"/>
            <w:vAlign w:val="bottom"/>
            <w:tcBorders>
              <w:top w:val="single" w:sz="8" w:color="BFE4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-1742440</wp:posOffset>
            </wp:positionH>
            <wp:positionV relativeFrom="paragraph">
              <wp:posOffset>-1542415</wp:posOffset>
            </wp:positionV>
            <wp:extent cx="353187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31870" cy="154305"/>
                    </a:xfrm>
                    <a:prstGeom prst="rect">
                      <a:avLst/>
                    </a:prstGeom>
                    <a:noFill/>
                  </pic:spPr>
                </pic:pic>
              </a:graphicData>
            </a:graphic>
          </wp:anchor>
        </w:drawing>
        <w:drawing>
          <wp:anchor simplePos="0" relativeHeight="251657728" behindDoc="1" locked="0" layoutInCell="0" allowOverlap="1">
            <wp:simplePos x="0" y="0"/>
            <wp:positionH relativeFrom="column">
              <wp:posOffset>-1742440</wp:posOffset>
            </wp:positionH>
            <wp:positionV relativeFrom="paragraph">
              <wp:posOffset>-1233805</wp:posOffset>
            </wp:positionV>
            <wp:extent cx="353187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31870" cy="154305"/>
                    </a:xfrm>
                    <a:prstGeom prst="rect">
                      <a:avLst/>
                    </a:prstGeom>
                    <a:noFill/>
                  </pic:spPr>
                </pic:pic>
              </a:graphicData>
            </a:graphic>
          </wp:anchor>
        </w:drawing>
        <w:drawing>
          <wp:anchor simplePos="0" relativeHeight="251657728" behindDoc="1" locked="0" layoutInCell="0" allowOverlap="1">
            <wp:simplePos x="0" y="0"/>
            <wp:positionH relativeFrom="column">
              <wp:posOffset>-1742440</wp:posOffset>
            </wp:positionH>
            <wp:positionV relativeFrom="paragraph">
              <wp:posOffset>-796925</wp:posOffset>
            </wp:positionV>
            <wp:extent cx="353187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31870" cy="137160"/>
                    </a:xfrm>
                    <a:prstGeom prst="rect">
                      <a:avLst/>
                    </a:prstGeom>
                    <a:noFill/>
                  </pic:spPr>
                </pic:pic>
              </a:graphicData>
            </a:graphic>
          </wp:anchor>
        </w:drawing>
        <w:drawing>
          <wp:anchor simplePos="0" relativeHeight="251657728" behindDoc="1" locked="0" layoutInCell="0" allowOverlap="1">
            <wp:simplePos x="0" y="0"/>
            <wp:positionH relativeFrom="column">
              <wp:posOffset>-1742440</wp:posOffset>
            </wp:positionH>
            <wp:positionV relativeFrom="paragraph">
              <wp:posOffset>-376555</wp:posOffset>
            </wp:positionV>
            <wp:extent cx="353187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31870" cy="154305"/>
                    </a:xfrm>
                    <a:prstGeom prst="rect">
                      <a:avLst/>
                    </a:prstGeom>
                    <a:noFill/>
                  </pic:spPr>
                </pic:pic>
              </a:graphicData>
            </a:graphic>
          </wp:anchor>
        </w:drawing>
      </w:r>
    </w:p>
    <w:p>
      <w:pPr>
        <w:spacing w:after="0" w:line="171" w:lineRule="exact"/>
        <w:rPr>
          <w:sz w:val="20"/>
          <w:szCs w:val="20"/>
          <w:color w:val="auto"/>
        </w:rPr>
      </w:pPr>
    </w:p>
    <w:p>
      <w:pPr>
        <w:sectPr>
          <w:pgSz w:w="11900" w:h="16838" w:orient="portrait"/>
          <w:cols w:equalWidth="0" w:num="2">
            <w:col w:w="2680" w:space="100"/>
            <w:col w:w="8460"/>
          </w:cols>
          <w:pgMar w:left="320" w:top="1390" w:right="339" w:bottom="1440" w:gutter="0" w:footer="0" w:header="0"/>
          <w:type w:val="continuous"/>
        </w:sectPr>
      </w:pPr>
    </w:p>
    <w:p>
      <w:pPr>
        <w:spacing w:after="0" w:line="89"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(in thousands)</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Power Solutions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GAAP income (loss) from operations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Acquisition and transition expense</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Amortization of intangibles</w:t>
      </w:r>
    </w:p>
    <w:p>
      <w:pPr>
        <w:spacing w:after="0" w:line="59" w:lineRule="exact"/>
        <w:rPr>
          <w:sz w:val="20"/>
          <w:szCs w:val="20"/>
          <w:color w:val="auto"/>
        </w:rPr>
      </w:pPr>
    </w:p>
    <w:p>
      <w:pPr>
        <w:ind w:left="40"/>
        <w:spacing w:after="0" w:line="275" w:lineRule="auto"/>
        <w:rPr>
          <w:sz w:val="20"/>
          <w:szCs w:val="20"/>
          <w:color w:val="auto"/>
        </w:rPr>
      </w:pPr>
      <w:r>
        <w:rPr>
          <w:rFonts w:ascii="Arial" w:cs="Arial" w:eastAsia="Arial" w:hAnsi="Arial"/>
          <w:sz w:val="16"/>
          <w:szCs w:val="16"/>
          <w:color w:val="auto"/>
        </w:rPr>
        <w:t>Non-GAAP adjusted income (loss) from operations (a)</w:t>
      </w:r>
    </w:p>
    <w:p>
      <w:pPr>
        <w:spacing w:after="0" w:line="240" w:lineRule="exact"/>
        <w:rPr>
          <w:sz w:val="20"/>
          <w:szCs w:val="20"/>
          <w:color w:val="auto"/>
        </w:rPr>
      </w:pPr>
    </w:p>
    <w:p>
      <w:pPr>
        <w:ind w:left="40" w:right="120"/>
        <w:spacing w:after="0" w:line="275" w:lineRule="auto"/>
        <w:rPr>
          <w:sz w:val="20"/>
          <w:szCs w:val="20"/>
          <w:color w:val="auto"/>
        </w:rPr>
      </w:pPr>
      <w:r>
        <w:rPr>
          <w:rFonts w:ascii="Arial" w:cs="Arial" w:eastAsia="Arial" w:hAnsi="Arial"/>
          <w:sz w:val="16"/>
          <w:szCs w:val="16"/>
          <w:color w:val="auto"/>
        </w:rPr>
        <w:t>Non-GAAP adjusted operating margin (1)</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6"/>
          <w:szCs w:val="16"/>
          <w:color w:val="auto"/>
        </w:rPr>
        <w:t>GAAP net sales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40" w:type="dxa"/>
            <w:vAlign w:val="bottom"/>
          </w:tcPr>
          <w:p>
            <w:pPr>
              <w:spacing w:after="0"/>
              <w:rPr>
                <w:sz w:val="16"/>
                <w:szCs w:val="16"/>
                <w:color w:val="auto"/>
              </w:rPr>
            </w:pPr>
          </w:p>
        </w:tc>
        <w:tc>
          <w:tcPr>
            <w:tcW w:w="2680" w:type="dxa"/>
            <w:vAlign w:val="bottom"/>
            <w:gridSpan w:val="4"/>
            <w:vMerge w:val="restart"/>
          </w:tcPr>
          <w:p>
            <w:pPr>
              <w:jc w:val="right"/>
              <w:ind w:right="99"/>
              <w:spacing w:after="0"/>
              <w:rPr>
                <w:sz w:val="20"/>
                <w:szCs w:val="20"/>
                <w:color w:val="auto"/>
              </w:rPr>
            </w:pPr>
            <w:r>
              <w:rPr>
                <w:rFonts w:ascii="Arial" w:cs="Arial" w:eastAsia="Arial" w:hAnsi="Arial"/>
                <w:sz w:val="16"/>
                <w:szCs w:val="16"/>
                <w:b w:val="1"/>
                <w:bCs w:val="1"/>
                <w:color w:val="auto"/>
                <w:w w:val="92"/>
              </w:rPr>
              <w:t>Three Months Ended December 31,</w:t>
            </w:r>
          </w:p>
        </w:tc>
        <w:tc>
          <w:tcPr>
            <w:tcW w:w="40" w:type="dxa"/>
            <w:vAlign w:val="bottom"/>
          </w:tcPr>
          <w:p>
            <w:pPr>
              <w:spacing w:after="0"/>
              <w:rPr>
                <w:sz w:val="16"/>
                <w:szCs w:val="16"/>
                <w:color w:val="auto"/>
              </w:rPr>
            </w:pPr>
          </w:p>
        </w:tc>
        <w:tc>
          <w:tcPr>
            <w:tcW w:w="2760" w:type="dxa"/>
            <w:vAlign w:val="bottom"/>
            <w:shd w:val="clear" w:color="auto" w:fill="BFE4FF"/>
          </w:tcPr>
          <w:p>
            <w:pPr>
              <w:ind w:left="20"/>
              <w:spacing w:after="0"/>
              <w:rPr>
                <w:sz w:val="20"/>
                <w:szCs w:val="20"/>
                <w:color w:val="auto"/>
              </w:rPr>
            </w:pPr>
            <w:r>
              <w:rPr>
                <w:rFonts w:ascii="Arial" w:cs="Arial" w:eastAsia="Arial" w:hAnsi="Arial"/>
                <w:sz w:val="16"/>
                <w:szCs w:val="16"/>
                <w:color w:val="auto"/>
              </w:rPr>
              <w:t>Non-GAAP adjusted operating margin</w:t>
            </w:r>
          </w:p>
        </w:tc>
        <w:tc>
          <w:tcPr>
            <w:tcW w:w="140" w:type="dxa"/>
            <w:vAlign w:val="bottom"/>
            <w:shd w:val="clear" w:color="auto" w:fill="BFE4FF"/>
          </w:tcPr>
          <w:p>
            <w:pPr>
              <w:spacing w:after="0"/>
              <w:rPr>
                <w:sz w:val="16"/>
                <w:szCs w:val="16"/>
                <w:color w:val="auto"/>
              </w:rPr>
            </w:pPr>
          </w:p>
        </w:tc>
        <w:tc>
          <w:tcPr>
            <w:tcW w:w="1240" w:type="dxa"/>
            <w:vAlign w:val="bottom"/>
            <w:vMerge w:val="restart"/>
            <w:shd w:val="clear" w:color="auto" w:fill="BFE4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BFE4FF"/>
          </w:tcPr>
          <w:p>
            <w:pPr>
              <w:spacing w:after="0"/>
              <w:rPr>
                <w:sz w:val="16"/>
                <w:szCs w:val="16"/>
                <w:color w:val="auto"/>
              </w:rPr>
            </w:pPr>
          </w:p>
        </w:tc>
        <w:tc>
          <w:tcPr>
            <w:tcW w:w="320" w:type="dxa"/>
            <w:vAlign w:val="bottom"/>
            <w:shd w:val="clear" w:color="auto" w:fill="BFE4FF"/>
          </w:tcPr>
          <w:p>
            <w:pPr>
              <w:spacing w:after="0"/>
              <w:rPr>
                <w:sz w:val="16"/>
                <w:szCs w:val="16"/>
                <w:color w:val="auto"/>
              </w:rPr>
            </w:pPr>
          </w:p>
        </w:tc>
        <w:tc>
          <w:tcPr>
            <w:tcW w:w="1020" w:type="dxa"/>
            <w:vAlign w:val="bottom"/>
            <w:vMerge w:val="restart"/>
            <w:shd w:val="clear" w:color="auto" w:fill="BFE4FF"/>
          </w:tcPr>
          <w:p>
            <w:pPr>
              <w:jc w:val="right"/>
              <w:spacing w:after="0"/>
              <w:rPr>
                <w:sz w:val="20"/>
                <w:szCs w:val="20"/>
                <w:color w:val="auto"/>
              </w:rPr>
            </w:pPr>
            <w:r>
              <w:rPr>
                <w:rFonts w:ascii="Arial" w:cs="Arial" w:eastAsia="Arial" w:hAnsi="Arial"/>
                <w:sz w:val="16"/>
                <w:szCs w:val="16"/>
                <w:color w:val="auto"/>
              </w:rPr>
              <w:t>6.6 %</w:t>
            </w:r>
          </w:p>
        </w:tc>
        <w:tc>
          <w:tcPr>
            <w:tcW w:w="0" w:type="dxa"/>
            <w:vAlign w:val="bottom"/>
          </w:tcPr>
          <w:p>
            <w:pPr>
              <w:spacing w:after="0"/>
              <w:rPr>
                <w:sz w:val="1"/>
                <w:szCs w:val="1"/>
                <w:color w:val="auto"/>
              </w:rPr>
            </w:pPr>
          </w:p>
        </w:tc>
      </w:tr>
      <w:tr>
        <w:trPr>
          <w:trHeight w:val="125"/>
        </w:trPr>
        <w:tc>
          <w:tcPr>
            <w:tcW w:w="140" w:type="dxa"/>
            <w:vAlign w:val="bottom"/>
            <w:tcBorders>
              <w:bottom w:val="single" w:sz="8" w:color="auto"/>
            </w:tcBorders>
          </w:tcPr>
          <w:p>
            <w:pPr>
              <w:spacing w:after="0"/>
              <w:rPr>
                <w:sz w:val="10"/>
                <w:szCs w:val="10"/>
                <w:color w:val="auto"/>
              </w:rPr>
            </w:pPr>
          </w:p>
        </w:tc>
        <w:tc>
          <w:tcPr>
            <w:tcW w:w="2680" w:type="dxa"/>
            <w:vAlign w:val="bottom"/>
            <w:tcBorders>
              <w:bottom w:val="single" w:sz="8" w:color="auto"/>
            </w:tcBorders>
            <w:gridSpan w:val="4"/>
            <w:vMerge w:val="continue"/>
          </w:tcPr>
          <w:p>
            <w:pPr>
              <w:spacing w:after="0"/>
              <w:rPr>
                <w:sz w:val="10"/>
                <w:szCs w:val="10"/>
                <w:color w:val="auto"/>
              </w:rPr>
            </w:pPr>
          </w:p>
        </w:tc>
        <w:tc>
          <w:tcPr>
            <w:tcW w:w="40" w:type="dxa"/>
            <w:vAlign w:val="bottom"/>
          </w:tcPr>
          <w:p>
            <w:pPr>
              <w:spacing w:after="0"/>
              <w:rPr>
                <w:sz w:val="10"/>
                <w:szCs w:val="10"/>
                <w:color w:val="auto"/>
              </w:rPr>
            </w:pPr>
          </w:p>
        </w:tc>
        <w:tc>
          <w:tcPr>
            <w:tcW w:w="2760" w:type="dxa"/>
            <w:vAlign w:val="bottom"/>
            <w:tcBorders>
              <w:bottom w:val="single" w:sz="8" w:color="BFE4FF"/>
            </w:tcBorders>
            <w:vMerge w:val="restart"/>
            <w:shd w:val="clear" w:color="auto" w:fill="BFE4FF"/>
          </w:tcPr>
          <w:p>
            <w:pPr>
              <w:ind w:left="20"/>
              <w:spacing w:after="0"/>
              <w:rPr>
                <w:sz w:val="20"/>
                <w:szCs w:val="20"/>
                <w:color w:val="auto"/>
              </w:rPr>
            </w:pPr>
            <w:r>
              <w:rPr>
                <w:rFonts w:ascii="Arial" w:cs="Arial" w:eastAsia="Arial" w:hAnsi="Arial"/>
                <w:sz w:val="16"/>
                <w:szCs w:val="16"/>
                <w:color w:val="auto"/>
              </w:rPr>
              <w:t>(1)</w:t>
            </w:r>
          </w:p>
        </w:tc>
        <w:tc>
          <w:tcPr>
            <w:tcW w:w="140" w:type="dxa"/>
            <w:vAlign w:val="bottom"/>
            <w:tcBorders>
              <w:bottom w:val="single" w:sz="8" w:color="BFE4FF"/>
            </w:tcBorders>
            <w:shd w:val="clear" w:color="auto" w:fill="BFE4FF"/>
          </w:tcPr>
          <w:p>
            <w:pPr>
              <w:spacing w:after="0"/>
              <w:rPr>
                <w:sz w:val="10"/>
                <w:szCs w:val="10"/>
                <w:color w:val="auto"/>
              </w:rPr>
            </w:pPr>
          </w:p>
        </w:tc>
        <w:tc>
          <w:tcPr>
            <w:tcW w:w="1240" w:type="dxa"/>
            <w:vAlign w:val="bottom"/>
            <w:tcBorders>
              <w:bottom w:val="single" w:sz="8" w:color="BFE4FF"/>
            </w:tcBorders>
            <w:vMerge w:val="continue"/>
            <w:shd w:val="clear" w:color="auto" w:fill="BFE4FF"/>
          </w:tcPr>
          <w:p>
            <w:pPr>
              <w:spacing w:after="0"/>
              <w:rPr>
                <w:sz w:val="10"/>
                <w:szCs w:val="10"/>
                <w:color w:val="auto"/>
              </w:rPr>
            </w:pPr>
          </w:p>
        </w:tc>
        <w:tc>
          <w:tcPr>
            <w:tcW w:w="100" w:type="dxa"/>
            <w:vAlign w:val="bottom"/>
            <w:tcBorders>
              <w:bottom w:val="single" w:sz="8" w:color="BFE4FF"/>
            </w:tcBorders>
            <w:shd w:val="clear" w:color="auto" w:fill="BFE4FF"/>
          </w:tcPr>
          <w:p>
            <w:pPr>
              <w:spacing w:after="0"/>
              <w:rPr>
                <w:sz w:val="10"/>
                <w:szCs w:val="10"/>
                <w:color w:val="auto"/>
              </w:rPr>
            </w:pPr>
          </w:p>
        </w:tc>
        <w:tc>
          <w:tcPr>
            <w:tcW w:w="320" w:type="dxa"/>
            <w:vAlign w:val="bottom"/>
            <w:tcBorders>
              <w:bottom w:val="single" w:sz="8" w:color="BFE4FF"/>
            </w:tcBorders>
            <w:shd w:val="clear" w:color="auto" w:fill="BFE4FF"/>
          </w:tcPr>
          <w:p>
            <w:pPr>
              <w:spacing w:after="0"/>
              <w:rPr>
                <w:sz w:val="10"/>
                <w:szCs w:val="10"/>
                <w:color w:val="auto"/>
              </w:rPr>
            </w:pPr>
          </w:p>
        </w:tc>
        <w:tc>
          <w:tcPr>
            <w:tcW w:w="1020" w:type="dxa"/>
            <w:vAlign w:val="bottom"/>
            <w:tcBorders>
              <w:bottom w:val="single" w:sz="8" w:color="BFE4FF"/>
            </w:tcBorders>
            <w:vMerge w:val="continue"/>
            <w:shd w:val="clear" w:color="auto" w:fill="BFE4FF"/>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40" w:type="dxa"/>
            <w:vAlign w:val="bottom"/>
          </w:tcPr>
          <w:p>
            <w:pPr>
              <w:spacing w:after="0"/>
              <w:rPr>
                <w:sz w:val="5"/>
                <w:szCs w:val="5"/>
                <w:color w:val="auto"/>
              </w:rPr>
            </w:pPr>
          </w:p>
        </w:tc>
        <w:tc>
          <w:tcPr>
            <w:tcW w:w="1240" w:type="dxa"/>
            <w:vAlign w:val="bottom"/>
            <w:vMerge w:val="restart"/>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40" w:type="dxa"/>
            <w:vAlign w:val="bottom"/>
            <w:vMerge w:val="restart"/>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40" w:type="dxa"/>
            <w:vAlign w:val="bottom"/>
          </w:tcPr>
          <w:p>
            <w:pPr>
              <w:spacing w:after="0"/>
              <w:rPr>
                <w:sz w:val="5"/>
                <w:szCs w:val="5"/>
                <w:color w:val="auto"/>
              </w:rPr>
            </w:pPr>
          </w:p>
        </w:tc>
        <w:tc>
          <w:tcPr>
            <w:tcW w:w="2760" w:type="dxa"/>
            <w:vAlign w:val="bottom"/>
            <w:vMerge w:val="continue"/>
            <w:shd w:val="clear" w:color="auto" w:fill="BFE4FF"/>
          </w:tcPr>
          <w:p>
            <w:pPr>
              <w:spacing w:after="0"/>
              <w:rPr>
                <w:sz w:val="5"/>
                <w:szCs w:val="5"/>
                <w:color w:val="auto"/>
              </w:rPr>
            </w:pPr>
          </w:p>
        </w:tc>
        <w:tc>
          <w:tcPr>
            <w:tcW w:w="140" w:type="dxa"/>
            <w:vAlign w:val="bottom"/>
            <w:shd w:val="clear" w:color="auto" w:fill="BFE4FF"/>
          </w:tcPr>
          <w:p>
            <w:pPr>
              <w:spacing w:after="0"/>
              <w:rPr>
                <w:sz w:val="5"/>
                <w:szCs w:val="5"/>
                <w:color w:val="auto"/>
              </w:rPr>
            </w:pPr>
          </w:p>
        </w:tc>
        <w:tc>
          <w:tcPr>
            <w:tcW w:w="1240" w:type="dxa"/>
            <w:vAlign w:val="bottom"/>
            <w:vMerge w:val="continue"/>
            <w:shd w:val="clear" w:color="auto" w:fill="BFE4FF"/>
          </w:tcPr>
          <w:p>
            <w:pPr>
              <w:spacing w:after="0"/>
              <w:rPr>
                <w:sz w:val="5"/>
                <w:szCs w:val="5"/>
                <w:color w:val="auto"/>
              </w:rPr>
            </w:pPr>
          </w:p>
        </w:tc>
        <w:tc>
          <w:tcPr>
            <w:tcW w:w="100" w:type="dxa"/>
            <w:vAlign w:val="bottom"/>
            <w:shd w:val="clear" w:color="auto" w:fill="BFE4FF"/>
          </w:tcPr>
          <w:p>
            <w:pPr>
              <w:spacing w:after="0"/>
              <w:rPr>
                <w:sz w:val="5"/>
                <w:szCs w:val="5"/>
                <w:color w:val="auto"/>
              </w:rPr>
            </w:pPr>
          </w:p>
        </w:tc>
        <w:tc>
          <w:tcPr>
            <w:tcW w:w="320" w:type="dxa"/>
            <w:vAlign w:val="bottom"/>
            <w:shd w:val="clear" w:color="auto" w:fill="BFE4FF"/>
          </w:tcPr>
          <w:p>
            <w:pPr>
              <w:spacing w:after="0"/>
              <w:rPr>
                <w:sz w:val="5"/>
                <w:szCs w:val="5"/>
                <w:color w:val="auto"/>
              </w:rPr>
            </w:pPr>
          </w:p>
        </w:tc>
        <w:tc>
          <w:tcPr>
            <w:tcW w:w="1020" w:type="dxa"/>
            <w:vAlign w:val="bottom"/>
            <w:vMerge w:val="continue"/>
            <w:shd w:val="clear" w:color="auto" w:fill="BFE4FF"/>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40" w:type="dxa"/>
            <w:vAlign w:val="bottom"/>
          </w:tcPr>
          <w:p>
            <w:pPr>
              <w:spacing w:after="0"/>
              <w:rPr>
                <w:sz w:val="15"/>
                <w:szCs w:val="15"/>
                <w:color w:val="auto"/>
              </w:rPr>
            </w:pPr>
          </w:p>
        </w:tc>
        <w:tc>
          <w:tcPr>
            <w:tcW w:w="2760" w:type="dxa"/>
            <w:vAlign w:val="bottom"/>
          </w:tcPr>
          <w:p>
            <w:pPr>
              <w:ind w:left="20"/>
              <w:spacing w:after="0" w:line="175" w:lineRule="exact"/>
              <w:rPr>
                <w:sz w:val="20"/>
                <w:szCs w:val="20"/>
                <w:color w:val="auto"/>
              </w:rPr>
            </w:pPr>
            <w:r>
              <w:rPr>
                <w:rFonts w:ascii="Arial" w:cs="Arial" w:eastAsia="Arial" w:hAnsi="Arial"/>
                <w:sz w:val="16"/>
                <w:szCs w:val="16"/>
                <w:color w:val="auto"/>
              </w:rPr>
              <w:t>GAAP net sales</w:t>
            </w:r>
          </w:p>
        </w:tc>
        <w:tc>
          <w:tcPr>
            <w:tcW w:w="140" w:type="dxa"/>
            <w:vAlign w:val="bottom"/>
          </w:tcPr>
          <w:p>
            <w:pPr>
              <w:jc w:val="right"/>
              <w:spacing w:after="0" w:line="175" w:lineRule="exact"/>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19"/>
              <w:spacing w:after="0" w:line="175" w:lineRule="exact"/>
              <w:rPr>
                <w:sz w:val="20"/>
                <w:szCs w:val="20"/>
                <w:color w:val="auto"/>
              </w:rPr>
            </w:pPr>
            <w:r>
              <w:rPr>
                <w:rFonts w:ascii="Arial" w:cs="Arial" w:eastAsia="Arial" w:hAnsi="Arial"/>
                <w:sz w:val="16"/>
                <w:szCs w:val="16"/>
                <w:color w:val="auto"/>
              </w:rPr>
              <w:t>67,994</w:t>
            </w:r>
          </w:p>
        </w:tc>
        <w:tc>
          <w:tcPr>
            <w:tcW w:w="100" w:type="dxa"/>
            <w:vAlign w:val="bottom"/>
          </w:tcPr>
          <w:p>
            <w:pPr>
              <w:spacing w:after="0"/>
              <w:rPr>
                <w:sz w:val="15"/>
                <w:szCs w:val="15"/>
                <w:color w:val="auto"/>
              </w:rPr>
            </w:pPr>
          </w:p>
        </w:tc>
        <w:tc>
          <w:tcPr>
            <w:tcW w:w="320" w:type="dxa"/>
            <w:vAlign w:val="bottom"/>
          </w:tcPr>
          <w:p>
            <w:pPr>
              <w:jc w:val="right"/>
              <w:ind w:right="119"/>
              <w:spacing w:after="0" w:line="175" w:lineRule="exact"/>
              <w:rPr>
                <w:sz w:val="20"/>
                <w:szCs w:val="20"/>
                <w:color w:val="auto"/>
              </w:rPr>
            </w:pPr>
            <w:r>
              <w:rPr>
                <w:rFonts w:ascii="Arial" w:cs="Arial" w:eastAsia="Arial" w:hAnsi="Arial"/>
                <w:sz w:val="16"/>
                <w:szCs w:val="16"/>
                <w:color w:val="auto"/>
              </w:rPr>
              <w:t>$</w:t>
            </w:r>
          </w:p>
        </w:tc>
        <w:tc>
          <w:tcPr>
            <w:tcW w:w="1020" w:type="dxa"/>
            <w:vAlign w:val="bottom"/>
          </w:tcPr>
          <w:p>
            <w:pPr>
              <w:jc w:val="right"/>
              <w:ind w:right="119"/>
              <w:spacing w:after="0" w:line="175" w:lineRule="exact"/>
              <w:rPr>
                <w:sz w:val="20"/>
                <w:szCs w:val="20"/>
                <w:color w:val="auto"/>
              </w:rPr>
            </w:pPr>
            <w:r>
              <w:rPr>
                <w:rFonts w:ascii="Arial" w:cs="Arial" w:eastAsia="Arial" w:hAnsi="Arial"/>
                <w:sz w:val="16"/>
                <w:szCs w:val="16"/>
                <w:color w:val="auto"/>
              </w:rPr>
              <w:t>65,615</w:t>
            </w:r>
          </w:p>
        </w:tc>
        <w:tc>
          <w:tcPr>
            <w:tcW w:w="0" w:type="dxa"/>
            <w:vAlign w:val="bottom"/>
          </w:tcPr>
          <w:p>
            <w:pPr>
              <w:spacing w:after="0"/>
              <w:rPr>
                <w:sz w:val="1"/>
                <w:szCs w:val="1"/>
                <w:color w:val="auto"/>
              </w:rPr>
            </w:pPr>
          </w:p>
        </w:tc>
      </w:tr>
      <w:tr>
        <w:trPr>
          <w:trHeight w:val="217"/>
        </w:trPr>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(840)</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(66)</w:t>
            </w:r>
          </w:p>
        </w:tc>
        <w:tc>
          <w:tcPr>
            <w:tcW w:w="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1,096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4,229</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2,749</w:t>
            </w:r>
          </w:p>
        </w:tc>
        <w:tc>
          <w:tcPr>
            <w:tcW w:w="4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vMerge w:val="restart"/>
          </w:tcPr>
          <w:p>
            <w:pPr>
              <w:jc w:val="right"/>
              <w:ind w:right="139"/>
              <w:spacing w:after="0"/>
              <w:rPr>
                <w:sz w:val="20"/>
                <w:szCs w:val="20"/>
                <w:color w:val="auto"/>
              </w:rPr>
            </w:pPr>
            <w:r>
              <w:rPr>
                <w:rFonts w:ascii="Arial" w:cs="Arial" w:eastAsia="Arial" w:hAnsi="Arial"/>
                <w:sz w:val="16"/>
                <w:szCs w:val="16"/>
                <w:color w:val="auto"/>
              </w:rPr>
              <w:t>4,485</w:t>
            </w:r>
          </w:p>
        </w:tc>
        <w:tc>
          <w:tcPr>
            <w:tcW w:w="100" w:type="dxa"/>
            <w:vAlign w:val="bottom"/>
          </w:tcPr>
          <w:p>
            <w:pPr>
              <w:spacing w:after="0"/>
              <w:rPr>
                <w:sz w:val="24"/>
                <w:szCs w:val="24"/>
                <w:color w:val="auto"/>
              </w:rPr>
            </w:pPr>
          </w:p>
        </w:tc>
        <w:tc>
          <w:tcPr>
            <w:tcW w:w="300" w:type="dxa"/>
            <w:vAlign w:val="bottom"/>
            <w:vMerge w:val="restart"/>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vMerge w:val="restart"/>
          </w:tcPr>
          <w:p>
            <w:pPr>
              <w:jc w:val="right"/>
              <w:ind w:right="119"/>
              <w:spacing w:after="0"/>
              <w:rPr>
                <w:sz w:val="20"/>
                <w:szCs w:val="20"/>
                <w:color w:val="auto"/>
              </w:rPr>
            </w:pPr>
            <w:r>
              <w:rPr>
                <w:rFonts w:ascii="Arial" w:cs="Arial" w:eastAsia="Arial" w:hAnsi="Arial"/>
                <w:sz w:val="16"/>
                <w:szCs w:val="16"/>
                <w:color w:val="auto"/>
              </w:rPr>
              <w:t>2,683</w:t>
            </w:r>
          </w:p>
        </w:tc>
        <w:tc>
          <w:tcPr>
            <w:tcW w:w="40" w:type="dxa"/>
            <w:vAlign w:val="bottom"/>
          </w:tcPr>
          <w:p>
            <w:pPr>
              <w:spacing w:after="0"/>
              <w:rPr>
                <w:sz w:val="24"/>
                <w:szCs w:val="24"/>
                <w:color w:val="auto"/>
              </w:rPr>
            </w:pPr>
          </w:p>
        </w:tc>
        <w:tc>
          <w:tcPr>
            <w:tcW w:w="276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(in thousands)</w:t>
            </w:r>
          </w:p>
        </w:tc>
        <w:tc>
          <w:tcPr>
            <w:tcW w:w="1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right"/>
              <w:ind w:right="99"/>
              <w:spacing w:after="0"/>
              <w:rPr>
                <w:sz w:val="20"/>
                <w:szCs w:val="20"/>
                <w:color w:val="auto"/>
              </w:rPr>
            </w:pPr>
            <w:r>
              <w:rPr>
                <w:rFonts w:ascii="Arial" w:cs="Arial" w:eastAsia="Arial" w:hAnsi="Arial"/>
                <w:sz w:val="16"/>
                <w:szCs w:val="16"/>
                <w:b w:val="1"/>
                <w:bCs w:val="1"/>
                <w:color w:val="auto"/>
                <w:w w:val="92"/>
              </w:rPr>
              <w:t>Three Months Ended December 31,</w:t>
            </w:r>
          </w:p>
        </w:tc>
        <w:tc>
          <w:tcPr>
            <w:tcW w:w="0" w:type="dxa"/>
            <w:vAlign w:val="bottom"/>
          </w:tcPr>
          <w:p>
            <w:pPr>
              <w:spacing w:after="0"/>
              <w:rPr>
                <w:sz w:val="1"/>
                <w:szCs w:val="1"/>
                <w:color w:val="auto"/>
              </w:rPr>
            </w:pPr>
          </w:p>
        </w:tc>
      </w:tr>
      <w:tr>
        <w:trPr>
          <w:trHeight w:val="93"/>
        </w:trPr>
        <w:tc>
          <w:tcPr>
            <w:tcW w:w="140" w:type="dxa"/>
            <w:vAlign w:val="bottom"/>
            <w:tcBorders>
              <w:bottom w:val="single" w:sz="8" w:color="auto"/>
            </w:tcBorders>
            <w:vMerge w:val="continue"/>
          </w:tcPr>
          <w:p>
            <w:pPr>
              <w:spacing w:after="0"/>
              <w:rPr>
                <w:sz w:val="7"/>
                <w:szCs w:val="7"/>
                <w:color w:val="auto"/>
              </w:rPr>
            </w:pPr>
          </w:p>
        </w:tc>
        <w:tc>
          <w:tcPr>
            <w:tcW w:w="1240" w:type="dxa"/>
            <w:vAlign w:val="bottom"/>
            <w:tcBorders>
              <w:bottom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Borders>
              <w:bottom w:val="single" w:sz="8" w:color="auto"/>
            </w:tcBorders>
            <w:vMerge w:val="continue"/>
          </w:tcPr>
          <w:p>
            <w:pPr>
              <w:spacing w:after="0"/>
              <w:rPr>
                <w:sz w:val="7"/>
                <w:szCs w:val="7"/>
                <w:color w:val="auto"/>
              </w:rPr>
            </w:pPr>
          </w:p>
        </w:tc>
        <w:tc>
          <w:tcPr>
            <w:tcW w:w="1040" w:type="dxa"/>
            <w:vAlign w:val="bottom"/>
            <w:tcBorders>
              <w:bottom w:val="single" w:sz="8" w:color="auto"/>
            </w:tcBorders>
            <w:vMerge w:val="continue"/>
          </w:tcPr>
          <w:p>
            <w:pPr>
              <w:spacing w:after="0"/>
              <w:rPr>
                <w:sz w:val="7"/>
                <w:szCs w:val="7"/>
                <w:color w:val="auto"/>
              </w:rPr>
            </w:pPr>
          </w:p>
        </w:tc>
        <w:tc>
          <w:tcPr>
            <w:tcW w:w="40" w:type="dxa"/>
            <w:vAlign w:val="bottom"/>
          </w:tcPr>
          <w:p>
            <w:pPr>
              <w:spacing w:after="0"/>
              <w:rPr>
                <w:sz w:val="7"/>
                <w:szCs w:val="7"/>
                <w:color w:val="auto"/>
              </w:rPr>
            </w:pPr>
          </w:p>
        </w:tc>
        <w:tc>
          <w:tcPr>
            <w:tcW w:w="27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Elimination</w:t>
            </w:r>
          </w:p>
        </w:tc>
        <w:tc>
          <w:tcPr>
            <w:tcW w:w="140" w:type="dxa"/>
            <w:vAlign w:val="bottom"/>
          </w:tcPr>
          <w:p>
            <w:pPr>
              <w:spacing w:after="0"/>
              <w:rPr>
                <w:sz w:val="7"/>
                <w:szCs w:val="7"/>
                <w:color w:val="auto"/>
              </w:rPr>
            </w:pPr>
          </w:p>
        </w:tc>
        <w:tc>
          <w:tcPr>
            <w:tcW w:w="1240" w:type="dxa"/>
            <w:vAlign w:val="bottom"/>
            <w:vMerge w:val="restart"/>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20" w:type="dxa"/>
            <w:vAlign w:val="bottom"/>
            <w:vMerge w:val="restart"/>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7"/>
        </w:trPr>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vMerge w:val="restart"/>
          </w:tcPr>
          <w:p>
            <w:pPr>
              <w:spacing w:after="0"/>
              <w:rPr>
                <w:sz w:val="2"/>
                <w:szCs w:val="2"/>
                <w:color w:val="auto"/>
              </w:rPr>
            </w:pPr>
          </w:p>
        </w:tc>
        <w:tc>
          <w:tcPr>
            <w:tcW w:w="276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100" w:type="dxa"/>
            <w:vAlign w:val="bottom"/>
            <w:vMerge w:val="restart"/>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2"/>
        </w:trPr>
        <w:tc>
          <w:tcPr>
            <w:tcW w:w="1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2760" w:type="dxa"/>
            <w:vAlign w:val="bottom"/>
            <w:tcBorders>
              <w:bottom w:val="single" w:sz="8" w:color="BFE4FF"/>
            </w:tcBorders>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BFE4FF"/>
            </w:tcBorders>
            <w:vMerge w:val="continue"/>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760" w:type="dxa"/>
            <w:vAlign w:val="bottom"/>
            <w:shd w:val="clear" w:color="auto" w:fill="BFE4FF"/>
          </w:tcPr>
          <w:p>
            <w:pPr>
              <w:ind w:left="20"/>
              <w:spacing w:after="0"/>
              <w:rPr>
                <w:sz w:val="20"/>
                <w:szCs w:val="20"/>
                <w:color w:val="auto"/>
              </w:rPr>
            </w:pPr>
            <w:r>
              <w:rPr>
                <w:rFonts w:ascii="Arial" w:cs="Arial" w:eastAsia="Arial" w:hAnsi="Arial"/>
                <w:sz w:val="16"/>
                <w:szCs w:val="16"/>
                <w:color w:val="auto"/>
              </w:rPr>
              <w:t>GAAP net sales</w:t>
            </w:r>
          </w:p>
        </w:tc>
        <w:tc>
          <w:tcPr>
            <w:tcW w:w="140" w:type="dxa"/>
            <w:vAlign w:val="bottom"/>
            <w:shd w:val="clear" w:color="auto" w:fill="BFE4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BFE4FF"/>
          </w:tcPr>
          <w:p>
            <w:pPr>
              <w:jc w:val="right"/>
              <w:ind w:right="79"/>
              <w:spacing w:after="0"/>
              <w:rPr>
                <w:sz w:val="20"/>
                <w:szCs w:val="20"/>
                <w:color w:val="auto"/>
              </w:rPr>
            </w:pPr>
            <w:r>
              <w:rPr>
                <w:rFonts w:ascii="Arial" w:cs="Arial" w:eastAsia="Arial" w:hAnsi="Arial"/>
                <w:sz w:val="16"/>
                <w:szCs w:val="16"/>
                <w:color w:val="auto"/>
              </w:rPr>
              <w:t>(2)</w:t>
            </w:r>
          </w:p>
        </w:tc>
        <w:tc>
          <w:tcPr>
            <w:tcW w:w="100" w:type="dxa"/>
            <w:vAlign w:val="bottom"/>
            <w:shd w:val="clear" w:color="auto" w:fill="BFE4FF"/>
          </w:tcPr>
          <w:p>
            <w:pPr>
              <w:spacing w:after="0"/>
              <w:rPr>
                <w:sz w:val="19"/>
                <w:szCs w:val="19"/>
                <w:color w:val="auto"/>
              </w:rPr>
            </w:pPr>
          </w:p>
        </w:tc>
        <w:tc>
          <w:tcPr>
            <w:tcW w:w="32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BFE4FF"/>
          </w:tcPr>
          <w:p>
            <w:pPr>
              <w:jc w:val="right"/>
              <w:ind w:right="7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77"/>
        </w:trPr>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9.0 %</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6.0 %</w:t>
            </w:r>
          </w:p>
        </w:tc>
        <w:tc>
          <w:tcPr>
            <w:tcW w:w="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50,020</w:t>
            </w:r>
          </w:p>
        </w:tc>
        <w:tc>
          <w:tcPr>
            <w:tcW w:w="100" w:type="dxa"/>
            <w:vAlign w:val="bottom"/>
          </w:tcPr>
          <w:p>
            <w:pPr>
              <w:spacing w:after="0"/>
              <w:rPr>
                <w:sz w:val="22"/>
                <w:szCs w:val="22"/>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44,774</w:t>
            </w:r>
          </w:p>
        </w:tc>
        <w:tc>
          <w:tcPr>
            <w:tcW w:w="4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-1742440</wp:posOffset>
            </wp:positionH>
            <wp:positionV relativeFrom="paragraph">
              <wp:posOffset>-1315720</wp:posOffset>
            </wp:positionV>
            <wp:extent cx="353187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31870" cy="154305"/>
                    </a:xfrm>
                    <a:prstGeom prst="rect">
                      <a:avLst/>
                    </a:prstGeom>
                    <a:noFill/>
                  </pic:spPr>
                </pic:pic>
              </a:graphicData>
            </a:graphic>
          </wp:anchor>
        </w:drawing>
        <w:drawing>
          <wp:anchor simplePos="0" relativeHeight="251657728" behindDoc="1" locked="0" layoutInCell="0" allowOverlap="1">
            <wp:simplePos x="0" y="0"/>
            <wp:positionH relativeFrom="column">
              <wp:posOffset>-1742440</wp:posOffset>
            </wp:positionH>
            <wp:positionV relativeFrom="paragraph">
              <wp:posOffset>-1007110</wp:posOffset>
            </wp:positionV>
            <wp:extent cx="353187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31870" cy="154305"/>
                    </a:xfrm>
                    <a:prstGeom prst="rect">
                      <a:avLst/>
                    </a:prstGeom>
                    <a:noFill/>
                  </pic:spPr>
                </pic:pic>
              </a:graphicData>
            </a:graphic>
          </wp:anchor>
        </w:drawing>
        <w:drawing>
          <wp:anchor simplePos="0" relativeHeight="251657728" behindDoc="1" locked="0" layoutInCell="0" allowOverlap="1">
            <wp:simplePos x="0" y="0"/>
            <wp:positionH relativeFrom="column">
              <wp:posOffset>-1742440</wp:posOffset>
            </wp:positionH>
            <wp:positionV relativeFrom="paragraph">
              <wp:posOffset>-569595</wp:posOffset>
            </wp:positionV>
            <wp:extent cx="353187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31870" cy="137160"/>
                    </a:xfrm>
                    <a:prstGeom prst="rect">
                      <a:avLst/>
                    </a:prstGeom>
                    <a:noFill/>
                  </pic:spPr>
                </pic:pic>
              </a:graphicData>
            </a:graphic>
          </wp:anchor>
        </w:drawing>
        <w:drawing>
          <wp:anchor simplePos="0" relativeHeight="251657728" behindDoc="1" locked="0" layoutInCell="0" allowOverlap="1">
            <wp:simplePos x="0" y="0"/>
            <wp:positionH relativeFrom="column">
              <wp:posOffset>-1742440</wp:posOffset>
            </wp:positionH>
            <wp:positionV relativeFrom="paragraph">
              <wp:posOffset>-149860</wp:posOffset>
            </wp:positionV>
            <wp:extent cx="353187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53187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80" w:space="100"/>
            <w:col w:w="8460"/>
          </w:cols>
          <w:pgMar w:left="320" w:top="1390" w:right="339" w:bottom="1440" w:gutter="0" w:footer="0" w:header="0"/>
          <w:type w:val="continuous"/>
        </w:sectPr>
      </w:pPr>
    </w:p>
    <w:p>
      <w:pPr>
        <w:spacing w:after="0" w:line="12"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Non-GAAP adjusted operating margin = Non-GAAP adjusted income (loss) from operations / GAAP net sales</w:t>
      </w:r>
    </w:p>
    <w:p>
      <w:pPr>
        <w:spacing w:after="0" w:line="73" w:lineRule="exact"/>
        <w:rPr>
          <w:sz w:val="20"/>
          <w:szCs w:val="20"/>
          <w:color w:val="auto"/>
        </w:rPr>
      </w:pPr>
    </w:p>
    <w:p>
      <w:pPr>
        <w:spacing w:after="0"/>
        <w:rPr>
          <w:sz w:val="20"/>
          <w:szCs w:val="20"/>
          <w:color w:val="auto"/>
        </w:rPr>
      </w:pPr>
      <w:r>
        <w:rPr>
          <w:rFonts w:ascii="Arial" w:cs="Arial" w:eastAsia="Arial" w:hAnsi="Arial"/>
          <w:sz w:val="15"/>
          <w:szCs w:val="15"/>
          <w:color w:val="auto"/>
        </w:rPr>
        <w:t>*2022 expense includes $0.4 million of professional fees and $2.3 million of integration &amp; transformation fees. 2021 expense includes $1.0 million of professional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390" w:right="3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6"/>
          <w:szCs w:val="16"/>
          <w:b w:val="1"/>
          <w:bCs w:val="1"/>
          <w:color w:val="auto"/>
        </w:rPr>
        <w:t>Reconciliation of GAAP Income (Loss) from Operations to Non-GAAP Adjusted Income (Loss) from Operations</w:t>
      </w:r>
    </w:p>
    <w:p>
      <w:pPr>
        <w:sectPr>
          <w:pgSz w:w="11900" w:h="16838" w:orient="portrait"/>
          <w:cols w:equalWidth="0" w:num="1">
            <w:col w:w="11240"/>
          </w:cols>
          <w:pgMar w:left="320" w:top="1390"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(in thousands)</w:t>
      </w:r>
    </w:p>
    <w:p>
      <w:pPr>
        <w:spacing w:after="0" w:line="6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NN, Inc. Consolidated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29210</wp:posOffset>
            </wp:positionV>
            <wp:extent cx="3471545"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71545" cy="154305"/>
                    </a:xfrm>
                    <a:prstGeom prst="rect">
                      <a:avLst/>
                    </a:prstGeom>
                    <a:noFill/>
                  </pic:spPr>
                </pic:pic>
              </a:graphicData>
            </a:graphic>
          </wp:anchor>
        </w:drawing>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GAAP income (loss) from operations</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Acquisition and transition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26670</wp:posOffset>
            </wp:positionV>
            <wp:extent cx="3471545"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71545" cy="154305"/>
                    </a:xfrm>
                    <a:prstGeom prst="rect">
                      <a:avLst/>
                    </a:prstGeom>
                    <a:noFill/>
                  </pic:spPr>
                </pic:pic>
              </a:graphicData>
            </a:graphic>
          </wp:anchor>
        </w:drawing>
      </w:r>
    </w:p>
    <w:p>
      <w:pPr>
        <w:spacing w:after="0" w:line="3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Amortization of intangibles</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5"/>
          <w:szCs w:val="15"/>
          <w:color w:val="auto"/>
        </w:rPr>
        <w:t>Impairments (Goodwill and fixed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33655</wp:posOffset>
            </wp:positionV>
            <wp:extent cx="3471545" cy="2832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71545" cy="283210"/>
                    </a:xfrm>
                    <a:prstGeom prst="rect">
                      <a:avLst/>
                    </a:prstGeom>
                    <a:noFill/>
                  </pic:spPr>
                </pic:pic>
              </a:graphicData>
            </a:graphic>
          </wp:anchor>
        </w:drawing>
      </w:r>
    </w:p>
    <w:p>
      <w:pPr>
        <w:spacing w:after="0" w:line="51" w:lineRule="exact"/>
        <w:rPr>
          <w:sz w:val="20"/>
          <w:szCs w:val="20"/>
          <w:color w:val="auto"/>
        </w:rPr>
      </w:pPr>
    </w:p>
    <w:p>
      <w:pPr>
        <w:ind w:left="160" w:right="100"/>
        <w:spacing w:after="0" w:line="275" w:lineRule="auto"/>
        <w:rPr>
          <w:sz w:val="20"/>
          <w:szCs w:val="20"/>
          <w:color w:val="auto"/>
        </w:rPr>
      </w:pPr>
      <w:r>
        <w:rPr>
          <w:rFonts w:ascii="Arial" w:cs="Arial" w:eastAsia="Arial" w:hAnsi="Arial"/>
          <w:sz w:val="16"/>
          <w:szCs w:val="16"/>
          <w:color w:val="auto"/>
        </w:rPr>
        <w:t>Non-GAAP adjusted income (loss) from operations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141605</wp:posOffset>
            </wp:positionV>
            <wp:extent cx="3471545"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71545" cy="154305"/>
                    </a:xfrm>
                    <a:prstGeom prst="rect">
                      <a:avLst/>
                    </a:prstGeom>
                    <a:noFill/>
                  </pic:spPr>
                </pic:pic>
              </a:graphicData>
            </a:graphic>
          </wp:anchor>
        </w:drawing>
      </w:r>
    </w:p>
    <w:p>
      <w:pPr>
        <w:spacing w:after="0" w:line="220" w:lineRule="exact"/>
        <w:rPr>
          <w:sz w:val="20"/>
          <w:szCs w:val="20"/>
          <w:color w:val="auto"/>
        </w:rPr>
      </w:pPr>
    </w:p>
    <w:p>
      <w:pPr>
        <w:ind w:left="160"/>
        <w:spacing w:after="0" w:line="346" w:lineRule="auto"/>
        <w:rPr>
          <w:sz w:val="20"/>
          <w:szCs w:val="20"/>
          <w:color w:val="auto"/>
        </w:rPr>
      </w:pPr>
      <w:r>
        <w:rPr>
          <w:rFonts w:ascii="Arial" w:cs="Arial" w:eastAsia="Arial" w:hAnsi="Arial"/>
          <w:sz w:val="16"/>
          <w:szCs w:val="16"/>
          <w:color w:val="auto"/>
        </w:rPr>
        <w:t>Non-GAAP adjusted operating margin (1) GAAP net sales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Twelve Months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43815</wp:posOffset>
            </wp:positionV>
            <wp:extent cx="16459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76" w:lineRule="exact"/>
        <w:rPr>
          <w:sz w:val="20"/>
          <w:szCs w:val="20"/>
          <w:color w:val="auto"/>
        </w:rPr>
      </w:pPr>
    </w:p>
    <w:p>
      <w:pPr>
        <w:ind w:left="440"/>
        <w:spacing w:after="0"/>
        <w:tabs>
          <w:tab w:leader="none" w:pos="1760" w:val="left"/>
        </w:tabs>
        <w:rPr>
          <w:sz w:val="20"/>
          <w:szCs w:val="20"/>
          <w:color w:val="auto"/>
        </w:rPr>
      </w:pPr>
      <w:r>
        <w:rPr>
          <w:rFonts w:ascii="Arial" w:cs="Arial" w:eastAsia="Arial" w:hAnsi="Arial"/>
          <w:sz w:val="16"/>
          <w:szCs w:val="16"/>
          <w:b w:val="1"/>
          <w:bCs w:val="1"/>
          <w:color w:val="auto"/>
        </w:rPr>
        <w:t>2022</w:t>
      </w:r>
      <w:r>
        <w:rPr>
          <w:sz w:val="20"/>
          <w:szCs w:val="20"/>
          <w:color w:val="auto"/>
        </w:rPr>
        <w:tab/>
      </w:r>
      <w:r>
        <w:rPr>
          <w:rFonts w:ascii="Arial" w:cs="Arial" w:eastAsia="Arial" w:hAnsi="Arial"/>
          <w:sz w:val="16"/>
          <w:szCs w:val="16"/>
          <w:b w:val="1"/>
          <w:bCs w:val="1"/>
          <w:color w:val="auto"/>
        </w:rPr>
        <w:t>2021</w:t>
      </w:r>
    </w:p>
    <w:p>
      <w:pPr>
        <w:spacing w:after="0" w:line="77" w:lineRule="exact"/>
        <w:rPr>
          <w:sz w:val="20"/>
          <w:szCs w:val="20"/>
          <w:color w:val="auto"/>
        </w:rPr>
      </w:pPr>
    </w:p>
    <w:p>
      <w:pPr>
        <w:ind w:left="500"/>
        <w:spacing w:after="0"/>
        <w:tabs>
          <w:tab w:leader="none" w:pos="1920" w:val="left"/>
        </w:tabs>
        <w:rPr>
          <w:sz w:val="20"/>
          <w:szCs w:val="20"/>
          <w:color w:val="auto"/>
        </w:rPr>
      </w:pPr>
      <w:r>
        <w:rPr>
          <w:rFonts w:ascii="Arial" w:cs="Arial" w:eastAsia="Arial" w:hAnsi="Arial"/>
          <w:sz w:val="16"/>
          <w:szCs w:val="16"/>
          <w:color w:val="auto"/>
        </w:rPr>
        <w:t>(21,092)</w:t>
      </w:r>
      <w:r>
        <w:rPr>
          <w:sz w:val="20"/>
          <w:szCs w:val="20"/>
          <w:color w:val="auto"/>
        </w:rPr>
        <w:tab/>
      </w:r>
      <w:r>
        <w:rPr>
          <w:rFonts w:ascii="Arial" w:cs="Arial" w:eastAsia="Arial" w:hAnsi="Arial"/>
          <w:sz w:val="16"/>
          <w:szCs w:val="16"/>
          <w:color w:val="auto"/>
        </w:rPr>
        <w:t>(9,004)</w:t>
      </w:r>
    </w:p>
    <w:p>
      <w:pPr>
        <w:spacing w:after="0" w:line="59" w:lineRule="exact"/>
        <w:rPr>
          <w:sz w:val="20"/>
          <w:szCs w:val="20"/>
          <w:color w:val="auto"/>
        </w:rPr>
      </w:pPr>
    </w:p>
    <w:p>
      <w:pPr>
        <w:ind w:left="640"/>
        <w:spacing w:after="0"/>
        <w:tabs>
          <w:tab w:leader="none" w:pos="1980" w:val="left"/>
        </w:tabs>
        <w:rPr>
          <w:sz w:val="20"/>
          <w:szCs w:val="20"/>
          <w:color w:val="auto"/>
        </w:rPr>
      </w:pPr>
      <w:r>
        <w:rPr>
          <w:rFonts w:ascii="Arial" w:cs="Arial" w:eastAsia="Arial" w:hAnsi="Arial"/>
          <w:sz w:val="16"/>
          <w:szCs w:val="16"/>
          <w:color w:val="auto"/>
        </w:rPr>
        <w:t>6,973</w:t>
      </w:r>
      <w:r>
        <w:rPr>
          <w:sz w:val="20"/>
          <w:szCs w:val="20"/>
          <w:color w:val="auto"/>
        </w:rPr>
        <w:tab/>
      </w:r>
      <w:r>
        <w:rPr>
          <w:rFonts w:ascii="Arial" w:cs="Arial" w:eastAsia="Arial" w:hAnsi="Arial"/>
          <w:sz w:val="16"/>
          <w:szCs w:val="16"/>
          <w:color w:val="auto"/>
        </w:rPr>
        <w:t>4,802</w:t>
      </w:r>
    </w:p>
    <w:p>
      <w:pPr>
        <w:spacing w:after="0" w:line="59" w:lineRule="exact"/>
        <w:rPr>
          <w:sz w:val="20"/>
          <w:szCs w:val="20"/>
          <w:color w:val="auto"/>
        </w:rPr>
      </w:pPr>
    </w:p>
    <w:p>
      <w:pPr>
        <w:ind w:left="560"/>
        <w:spacing w:after="0"/>
        <w:tabs>
          <w:tab w:leader="none" w:pos="1900" w:val="left"/>
        </w:tabs>
        <w:rPr>
          <w:sz w:val="20"/>
          <w:szCs w:val="20"/>
          <w:color w:val="auto"/>
        </w:rPr>
      </w:pPr>
      <w:r>
        <w:rPr>
          <w:rFonts w:ascii="Arial" w:cs="Arial" w:eastAsia="Arial" w:hAnsi="Arial"/>
          <w:sz w:val="16"/>
          <w:szCs w:val="16"/>
          <w:color w:val="auto"/>
        </w:rPr>
        <w:t>15,827</w:t>
      </w:r>
      <w:r>
        <w:rPr>
          <w:sz w:val="20"/>
          <w:szCs w:val="20"/>
          <w:color w:val="auto"/>
        </w:rPr>
        <w:tab/>
      </w:r>
      <w:r>
        <w:rPr>
          <w:rFonts w:ascii="Arial" w:cs="Arial" w:eastAsia="Arial" w:hAnsi="Arial"/>
          <w:sz w:val="16"/>
          <w:szCs w:val="16"/>
          <w:color w:val="auto"/>
        </w:rPr>
        <w:t>14,348</w:t>
      </w:r>
    </w:p>
    <w:p>
      <w:pPr>
        <w:spacing w:after="0" w:line="59" w:lineRule="exact"/>
        <w:rPr>
          <w:sz w:val="20"/>
          <w:szCs w:val="20"/>
          <w:color w:val="auto"/>
        </w:rPr>
      </w:pPr>
    </w:p>
    <w:p>
      <w:pPr>
        <w:ind w:left="780"/>
        <w:spacing w:after="0"/>
        <w:tabs>
          <w:tab w:leader="none" w:pos="2180" w:val="left"/>
        </w:tabs>
        <w:rPr>
          <w:sz w:val="20"/>
          <w:szCs w:val="20"/>
          <w:color w:val="auto"/>
        </w:rPr>
      </w:pPr>
      <w:r>
        <w:rPr>
          <w:rFonts w:ascii="Arial" w:cs="Arial" w:eastAsia="Arial" w:hAnsi="Arial"/>
          <w:sz w:val="16"/>
          <w:szCs w:val="16"/>
          <w:color w:val="auto"/>
        </w:rPr>
        <w:t>219</w:t>
      </w:r>
      <w:r>
        <w:rPr>
          <w:sz w:val="20"/>
          <w:szCs w:val="20"/>
          <w:color w:val="auto"/>
        </w:rPr>
        <w:tab/>
      </w:r>
      <w:r>
        <w:rPr>
          <w:rFonts w:ascii="Arial" w:cs="Arial" w:eastAsia="Arial" w:hAnsi="Arial"/>
          <w:sz w:val="16"/>
          <w:szCs w:val="16"/>
          <w:color w:val="auto"/>
        </w:rPr>
        <w:t>—</w:t>
      </w:r>
    </w:p>
    <w:p>
      <w:pPr>
        <w:spacing w:after="0" w:line="221" w:lineRule="exact"/>
        <w:rPr>
          <w:sz w:val="20"/>
          <w:szCs w:val="20"/>
          <w:color w:val="auto"/>
        </w:rPr>
      </w:pPr>
    </w:p>
    <w:p>
      <w:pPr>
        <w:spacing w:after="0"/>
        <w:tabs>
          <w:tab w:leader="none" w:pos="620" w:val="left"/>
          <w:tab w:leader="none" w:pos="1320" w:val="left"/>
          <w:tab w:leader="none" w:pos="19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1,927</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10,146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52070</wp:posOffset>
            </wp:positionV>
            <wp:extent cx="16459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82" w:lineRule="exact"/>
        <w:rPr>
          <w:sz w:val="20"/>
          <w:szCs w:val="20"/>
          <w:color w:val="auto"/>
        </w:rPr>
      </w:pPr>
    </w:p>
    <w:p>
      <w:pPr>
        <w:jc w:val="right"/>
        <w:spacing w:after="0"/>
        <w:tabs>
          <w:tab w:leader="none" w:pos="360" w:val="left"/>
        </w:tabs>
        <w:rPr>
          <w:sz w:val="20"/>
          <w:szCs w:val="20"/>
          <w:color w:val="auto"/>
        </w:rPr>
      </w:pPr>
      <w:r>
        <w:rPr>
          <w:rFonts w:ascii="Arial" w:cs="Arial" w:eastAsia="Arial" w:hAnsi="Arial"/>
          <w:sz w:val="16"/>
          <w:szCs w:val="16"/>
          <w:color w:val="auto"/>
        </w:rPr>
        <w:t>0.4 %</w:t>
      </w:r>
      <w:r>
        <w:rPr>
          <w:sz w:val="20"/>
          <w:szCs w:val="20"/>
          <w:color w:val="auto"/>
        </w:rPr>
        <w:tab/>
      </w:r>
      <w:r>
        <w:rPr>
          <w:rFonts w:ascii="Arial" w:cs="Arial" w:eastAsia="Arial" w:hAnsi="Arial"/>
          <w:sz w:val="14"/>
          <w:szCs w:val="14"/>
          <w:color w:val="auto"/>
        </w:rPr>
        <w:t>2.1 %</w:t>
      </w:r>
    </w:p>
    <w:p>
      <w:pPr>
        <w:spacing w:after="0" w:line="73" w:lineRule="exact"/>
        <w:rPr>
          <w:sz w:val="20"/>
          <w:szCs w:val="20"/>
          <w:color w:val="auto"/>
        </w:rPr>
      </w:pPr>
    </w:p>
    <w:p>
      <w:pPr>
        <w:ind w:left="480"/>
        <w:spacing w:after="0"/>
        <w:tabs>
          <w:tab w:leader="none" w:pos="1820" w:val="left"/>
        </w:tabs>
        <w:rPr>
          <w:sz w:val="20"/>
          <w:szCs w:val="20"/>
          <w:color w:val="auto"/>
        </w:rPr>
      </w:pPr>
      <w:r>
        <w:rPr>
          <w:rFonts w:ascii="Arial" w:cs="Arial" w:eastAsia="Arial" w:hAnsi="Arial"/>
          <w:sz w:val="16"/>
          <w:szCs w:val="16"/>
          <w:color w:val="auto"/>
        </w:rPr>
        <w:t>498,738</w:t>
      </w:r>
      <w:r>
        <w:rPr>
          <w:sz w:val="20"/>
          <w:szCs w:val="20"/>
          <w:color w:val="auto"/>
        </w:rPr>
        <w:tab/>
      </w:r>
      <w:r>
        <w:rPr>
          <w:rFonts w:ascii="Arial" w:cs="Arial" w:eastAsia="Arial" w:hAnsi="Arial"/>
          <w:sz w:val="16"/>
          <w:szCs w:val="16"/>
          <w:color w:val="auto"/>
        </w:rPr>
        <w:t>477,584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Twelve Months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43815</wp:posOffset>
            </wp:positionV>
            <wp:extent cx="16459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28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(in thousands)</w:t>
            </w:r>
          </w:p>
        </w:tc>
        <w:tc>
          <w:tcPr>
            <w:tcW w:w="2600" w:type="dxa"/>
            <w:vAlign w:val="bottom"/>
            <w:tcBorders>
              <w:bottom w:val="single" w:sz="8" w:color="auto"/>
            </w:tcBorders>
            <w:gridSpan w:val="5"/>
          </w:tcPr>
          <w:p>
            <w:pPr>
              <w:ind w:left="40"/>
              <w:spacing w:after="0"/>
              <w:rPr>
                <w:sz w:val="20"/>
                <w:szCs w:val="20"/>
                <w:color w:val="auto"/>
              </w:rPr>
            </w:pPr>
            <w:r>
              <w:rPr>
                <w:rFonts w:ascii="Arial" w:cs="Arial" w:eastAsia="Arial" w:hAnsi="Arial"/>
                <w:sz w:val="16"/>
                <w:szCs w:val="16"/>
                <w:b w:val="1"/>
                <w:bCs w:val="1"/>
                <w:color w:val="auto"/>
                <w:w w:val="91"/>
              </w:rPr>
              <w:t>Twelve Months Ended December 31,</w:t>
            </w:r>
          </w:p>
        </w:tc>
        <w:tc>
          <w:tcPr>
            <w:tcW w:w="0" w:type="dxa"/>
            <w:vAlign w:val="bottom"/>
          </w:tcPr>
          <w:p>
            <w:pPr>
              <w:spacing w:after="0"/>
              <w:rPr>
                <w:sz w:val="1"/>
                <w:szCs w:val="1"/>
                <w:color w:val="auto"/>
              </w:rPr>
            </w:pPr>
          </w:p>
        </w:tc>
      </w:tr>
      <w:tr>
        <w:trPr>
          <w:trHeight w:val="236"/>
        </w:trPr>
        <w:tc>
          <w:tcPr>
            <w:tcW w:w="2840" w:type="dxa"/>
            <w:vAlign w:val="bottom"/>
            <w:tcBorders>
              <w:bottom w:val="single" w:sz="8" w:color="BFE4FF"/>
            </w:tcBorders>
          </w:tcPr>
          <w:p>
            <w:pPr>
              <w:ind w:left="20"/>
              <w:spacing w:after="0"/>
              <w:rPr>
                <w:sz w:val="20"/>
                <w:szCs w:val="20"/>
                <w:color w:val="auto"/>
              </w:rPr>
            </w:pPr>
            <w:r>
              <w:rPr>
                <w:rFonts w:ascii="Arial" w:cs="Arial" w:eastAsia="Arial" w:hAnsi="Arial"/>
                <w:sz w:val="16"/>
                <w:szCs w:val="16"/>
                <w:b w:val="1"/>
                <w:bCs w:val="1"/>
                <w:color w:val="auto"/>
              </w:rPr>
              <w:t>Mobile Solutions</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BFE4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30"/>
        </w:trPr>
        <w:tc>
          <w:tcPr>
            <w:tcW w:w="2840" w:type="dxa"/>
            <w:vAlign w:val="bottom"/>
            <w:shd w:val="clear" w:color="auto" w:fill="BFE4FF"/>
          </w:tcPr>
          <w:p>
            <w:pPr>
              <w:ind w:left="20"/>
              <w:spacing w:after="0"/>
              <w:rPr>
                <w:sz w:val="20"/>
                <w:szCs w:val="20"/>
                <w:color w:val="auto"/>
              </w:rPr>
            </w:pPr>
            <w:r>
              <w:rPr>
                <w:rFonts w:ascii="Arial" w:cs="Arial" w:eastAsia="Arial" w:hAnsi="Arial"/>
                <w:sz w:val="16"/>
                <w:szCs w:val="16"/>
                <w:color w:val="auto"/>
              </w:rPr>
              <w:t>GAAP income (loss) from operations</w:t>
            </w:r>
          </w:p>
        </w:tc>
        <w:tc>
          <w:tcPr>
            <w:tcW w:w="280" w:type="dxa"/>
            <w:vAlign w:val="bottom"/>
            <w:shd w:val="clear" w:color="auto" w:fill="BFE4FF"/>
          </w:tcPr>
          <w:p>
            <w:pPr>
              <w:spacing w:after="0"/>
              <w:rPr>
                <w:sz w:val="19"/>
                <w:szCs w:val="19"/>
                <w:color w:val="auto"/>
              </w:rPr>
            </w:pPr>
          </w:p>
        </w:tc>
        <w:tc>
          <w:tcPr>
            <w:tcW w:w="980" w:type="dxa"/>
            <w:vAlign w:val="bottom"/>
            <w:shd w:val="clear" w:color="auto" w:fill="BFE4FF"/>
          </w:tcPr>
          <w:p>
            <w:pPr>
              <w:jc w:val="right"/>
              <w:ind w:right="79"/>
              <w:spacing w:after="0"/>
              <w:rPr>
                <w:sz w:val="20"/>
                <w:szCs w:val="20"/>
                <w:color w:val="auto"/>
              </w:rPr>
            </w:pPr>
            <w:r>
              <w:rPr>
                <w:rFonts w:ascii="Arial" w:cs="Arial" w:eastAsia="Arial" w:hAnsi="Arial"/>
                <w:sz w:val="16"/>
                <w:szCs w:val="16"/>
                <w:color w:val="auto"/>
              </w:rPr>
              <w:t>(2,165)</w:t>
            </w:r>
          </w:p>
        </w:tc>
        <w:tc>
          <w:tcPr>
            <w:tcW w:w="100" w:type="dxa"/>
            <w:vAlign w:val="bottom"/>
            <w:shd w:val="clear" w:color="auto" w:fill="BFE4FF"/>
          </w:tcPr>
          <w:p>
            <w:pPr>
              <w:spacing w:after="0"/>
              <w:rPr>
                <w:sz w:val="19"/>
                <w:szCs w:val="19"/>
                <w:color w:val="auto"/>
              </w:rPr>
            </w:pPr>
          </w:p>
        </w:tc>
        <w:tc>
          <w:tcPr>
            <w:tcW w:w="280" w:type="dxa"/>
            <w:vAlign w:val="bottom"/>
            <w:shd w:val="clear" w:color="auto" w:fill="BFE4FF"/>
          </w:tcPr>
          <w:p>
            <w:pPr>
              <w:spacing w:after="0"/>
              <w:rPr>
                <w:sz w:val="19"/>
                <w:szCs w:val="19"/>
                <w:color w:val="auto"/>
              </w:rPr>
            </w:pPr>
          </w:p>
        </w:tc>
        <w:tc>
          <w:tcPr>
            <w:tcW w:w="96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rPr>
              <w:t>9,039</w:t>
            </w:r>
          </w:p>
        </w:tc>
        <w:tc>
          <w:tcPr>
            <w:tcW w:w="0" w:type="dxa"/>
            <w:vAlign w:val="bottom"/>
          </w:tcPr>
          <w:p>
            <w:pPr>
              <w:spacing w:after="0"/>
              <w:rPr>
                <w:sz w:val="1"/>
                <w:szCs w:val="1"/>
                <w:color w:val="auto"/>
              </w:rPr>
            </w:pPr>
          </w:p>
        </w:tc>
      </w:tr>
      <w:tr>
        <w:trPr>
          <w:trHeight w:val="240"/>
        </w:trPr>
        <w:tc>
          <w:tcPr>
            <w:tcW w:w="2840" w:type="dxa"/>
            <w:vAlign w:val="bottom"/>
          </w:tcPr>
          <w:p>
            <w:pPr>
              <w:ind w:left="20"/>
              <w:spacing w:after="0"/>
              <w:rPr>
                <w:sz w:val="20"/>
                <w:szCs w:val="20"/>
                <w:color w:val="auto"/>
              </w:rPr>
            </w:pPr>
            <w:r>
              <w:rPr>
                <w:rFonts w:ascii="Arial" w:cs="Arial" w:eastAsia="Arial" w:hAnsi="Arial"/>
                <w:sz w:val="16"/>
                <w:szCs w:val="16"/>
                <w:color w:val="auto"/>
              </w:rPr>
              <w:t>Acquisition and transition expense</w:t>
            </w:r>
          </w:p>
        </w:tc>
        <w:tc>
          <w:tcPr>
            <w:tcW w:w="280" w:type="dxa"/>
            <w:vAlign w:val="bottom"/>
          </w:tcPr>
          <w:p>
            <w:pPr>
              <w:spacing w:after="0"/>
              <w:rPr>
                <w:sz w:val="20"/>
                <w:szCs w:val="20"/>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1,302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566</w:t>
            </w:r>
          </w:p>
        </w:tc>
        <w:tc>
          <w:tcPr>
            <w:tcW w:w="0" w:type="dxa"/>
            <w:vAlign w:val="bottom"/>
          </w:tcPr>
          <w:p>
            <w:pPr>
              <w:spacing w:after="0"/>
              <w:rPr>
                <w:sz w:val="1"/>
                <w:szCs w:val="1"/>
                <w:color w:val="auto"/>
              </w:rPr>
            </w:pPr>
          </w:p>
        </w:tc>
      </w:tr>
      <w:tr>
        <w:trPr>
          <w:trHeight w:val="246"/>
        </w:trPr>
        <w:tc>
          <w:tcPr>
            <w:tcW w:w="2840" w:type="dxa"/>
            <w:vAlign w:val="bottom"/>
            <w:shd w:val="clear" w:color="auto" w:fill="BFE4FF"/>
          </w:tcPr>
          <w:p>
            <w:pPr>
              <w:ind w:left="20"/>
              <w:spacing w:after="0"/>
              <w:rPr>
                <w:sz w:val="20"/>
                <w:szCs w:val="20"/>
                <w:color w:val="auto"/>
              </w:rPr>
            </w:pPr>
            <w:r>
              <w:rPr>
                <w:rFonts w:ascii="Arial" w:cs="Arial" w:eastAsia="Arial" w:hAnsi="Arial"/>
                <w:sz w:val="16"/>
                <w:szCs w:val="16"/>
                <w:color w:val="auto"/>
              </w:rPr>
              <w:t>Amortization of intangibles</w:t>
            </w:r>
          </w:p>
        </w:tc>
        <w:tc>
          <w:tcPr>
            <w:tcW w:w="280" w:type="dxa"/>
            <w:vAlign w:val="bottom"/>
            <w:shd w:val="clear" w:color="auto" w:fill="BFE4FF"/>
          </w:tcPr>
          <w:p>
            <w:pPr>
              <w:spacing w:after="0"/>
              <w:rPr>
                <w:sz w:val="21"/>
                <w:szCs w:val="21"/>
                <w:color w:val="auto"/>
              </w:rPr>
            </w:pPr>
          </w:p>
        </w:tc>
        <w:tc>
          <w:tcPr>
            <w:tcW w:w="98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rPr>
              <w:t>3,353</w:t>
            </w:r>
          </w:p>
        </w:tc>
        <w:tc>
          <w:tcPr>
            <w:tcW w:w="100" w:type="dxa"/>
            <w:vAlign w:val="bottom"/>
            <w:shd w:val="clear" w:color="auto" w:fill="BFE4FF"/>
          </w:tcPr>
          <w:p>
            <w:pPr>
              <w:spacing w:after="0"/>
              <w:rPr>
                <w:sz w:val="21"/>
                <w:szCs w:val="21"/>
                <w:color w:val="auto"/>
              </w:rPr>
            </w:pPr>
          </w:p>
        </w:tc>
        <w:tc>
          <w:tcPr>
            <w:tcW w:w="280" w:type="dxa"/>
            <w:vAlign w:val="bottom"/>
            <w:shd w:val="clear" w:color="auto" w:fill="BFE4FF"/>
          </w:tcPr>
          <w:p>
            <w:pPr>
              <w:spacing w:after="0"/>
              <w:rPr>
                <w:sz w:val="21"/>
                <w:szCs w:val="21"/>
                <w:color w:val="auto"/>
              </w:rPr>
            </w:pPr>
          </w:p>
        </w:tc>
        <w:tc>
          <w:tcPr>
            <w:tcW w:w="96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rPr>
              <w:t>3,353</w:t>
            </w:r>
          </w:p>
        </w:tc>
        <w:tc>
          <w:tcPr>
            <w:tcW w:w="0" w:type="dxa"/>
            <w:vAlign w:val="bottom"/>
          </w:tcPr>
          <w:p>
            <w:pPr>
              <w:spacing w:after="0"/>
              <w:rPr>
                <w:sz w:val="1"/>
                <w:szCs w:val="1"/>
                <w:color w:val="auto"/>
              </w:rPr>
            </w:pPr>
          </w:p>
        </w:tc>
      </w:tr>
      <w:tr>
        <w:trPr>
          <w:trHeight w:val="237"/>
        </w:trPr>
        <w:tc>
          <w:tcPr>
            <w:tcW w:w="2840" w:type="dxa"/>
            <w:vAlign w:val="bottom"/>
            <w:tcBorders>
              <w:bottom w:val="single" w:sz="8" w:color="BFE4FF"/>
            </w:tcBorders>
          </w:tcPr>
          <w:p>
            <w:pPr>
              <w:ind w:left="20"/>
              <w:spacing w:after="0"/>
              <w:rPr>
                <w:sz w:val="20"/>
                <w:szCs w:val="20"/>
                <w:color w:val="auto"/>
              </w:rPr>
            </w:pPr>
            <w:r>
              <w:rPr>
                <w:rFonts w:ascii="Arial" w:cs="Arial" w:eastAsia="Arial" w:hAnsi="Arial"/>
                <w:sz w:val="16"/>
                <w:szCs w:val="16"/>
                <w:color w:val="auto"/>
                <w:w w:val="98"/>
              </w:rPr>
              <w:t>Impairments (Goodwill and fixed assets)</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219</w:t>
            </w:r>
          </w:p>
        </w:tc>
        <w:tc>
          <w:tcPr>
            <w:tcW w:w="100" w:type="dxa"/>
            <w:vAlign w:val="bottom"/>
            <w:tcBorders>
              <w:bottom w:val="single" w:sz="8" w:color="BFE4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840" w:type="dxa"/>
            <w:vAlign w:val="bottom"/>
            <w:shd w:val="clear" w:color="auto" w:fill="BFE4FF"/>
          </w:tcPr>
          <w:p>
            <w:pPr>
              <w:ind w:left="20"/>
              <w:spacing w:after="0"/>
              <w:rPr>
                <w:sz w:val="20"/>
                <w:szCs w:val="20"/>
                <w:color w:val="auto"/>
              </w:rPr>
            </w:pPr>
            <w:r>
              <w:rPr>
                <w:rFonts w:ascii="Arial" w:cs="Arial" w:eastAsia="Arial" w:hAnsi="Arial"/>
                <w:sz w:val="16"/>
                <w:szCs w:val="16"/>
                <w:color w:val="auto"/>
                <w:w w:val="99"/>
              </w:rPr>
              <w:t>Non-GAAP adjusted income (loss) from</w:t>
            </w:r>
          </w:p>
        </w:tc>
        <w:tc>
          <w:tcPr>
            <w:tcW w:w="280" w:type="dxa"/>
            <w:vAlign w:val="bottom"/>
            <w:vMerge w:val="restart"/>
            <w:shd w:val="clear" w:color="auto" w:fill="BFE4FF"/>
          </w:tcPr>
          <w:p>
            <w:pPr>
              <w:ind w:left="20"/>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BFE4FF"/>
          </w:tcPr>
          <w:p>
            <w:pPr>
              <w:jc w:val="right"/>
              <w:ind w:right="119"/>
              <w:spacing w:after="0"/>
              <w:rPr>
                <w:sz w:val="20"/>
                <w:szCs w:val="20"/>
                <w:color w:val="auto"/>
              </w:rPr>
            </w:pPr>
            <w:r>
              <w:rPr>
                <w:rFonts w:ascii="Arial" w:cs="Arial" w:eastAsia="Arial" w:hAnsi="Arial"/>
                <w:sz w:val="16"/>
                <w:szCs w:val="16"/>
                <w:color w:val="auto"/>
              </w:rPr>
              <w:t>2,709</w:t>
            </w:r>
          </w:p>
        </w:tc>
        <w:tc>
          <w:tcPr>
            <w:tcW w:w="100" w:type="dxa"/>
            <w:vAlign w:val="bottom"/>
            <w:shd w:val="clear" w:color="auto" w:fill="BFE4FF"/>
          </w:tcPr>
          <w:p>
            <w:pPr>
              <w:spacing w:after="0"/>
              <w:rPr>
                <w:sz w:val="16"/>
                <w:szCs w:val="16"/>
                <w:color w:val="auto"/>
              </w:rPr>
            </w:pPr>
          </w:p>
        </w:tc>
        <w:tc>
          <w:tcPr>
            <w:tcW w:w="280" w:type="dxa"/>
            <w:vAlign w:val="bottom"/>
            <w:vMerge w:val="restart"/>
            <w:shd w:val="clear" w:color="auto" w:fill="BFE4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vMerge w:val="restart"/>
            <w:shd w:val="clear" w:color="auto" w:fill="BFE4FF"/>
          </w:tcPr>
          <w:p>
            <w:pPr>
              <w:jc w:val="right"/>
              <w:ind w:right="119"/>
              <w:spacing w:after="0"/>
              <w:rPr>
                <w:sz w:val="20"/>
                <w:szCs w:val="20"/>
                <w:color w:val="auto"/>
              </w:rPr>
            </w:pPr>
            <w:r>
              <w:rPr>
                <w:rFonts w:ascii="Arial" w:cs="Arial" w:eastAsia="Arial" w:hAnsi="Arial"/>
                <w:sz w:val="16"/>
                <w:szCs w:val="16"/>
                <w:color w:val="auto"/>
              </w:rPr>
              <w:t>12,958</w:t>
            </w:r>
          </w:p>
        </w:tc>
        <w:tc>
          <w:tcPr>
            <w:tcW w:w="0" w:type="dxa"/>
            <w:vAlign w:val="bottom"/>
          </w:tcPr>
          <w:p>
            <w:pPr>
              <w:spacing w:after="0"/>
              <w:rPr>
                <w:sz w:val="1"/>
                <w:szCs w:val="1"/>
                <w:color w:val="auto"/>
              </w:rPr>
            </w:pPr>
          </w:p>
        </w:tc>
      </w:tr>
      <w:tr>
        <w:trPr>
          <w:trHeight w:val="229"/>
        </w:trPr>
        <w:tc>
          <w:tcPr>
            <w:tcW w:w="284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operations (a)</w:t>
            </w:r>
          </w:p>
        </w:tc>
        <w:tc>
          <w:tcPr>
            <w:tcW w:w="280" w:type="dxa"/>
            <w:vAlign w:val="bottom"/>
            <w:tcBorders>
              <w:bottom w:val="single" w:sz="8" w:color="auto"/>
            </w:tcBorders>
            <w:vMerge w:val="continue"/>
            <w:shd w:val="clear" w:color="auto" w:fill="BFE4FF"/>
          </w:tcPr>
          <w:p>
            <w:pPr>
              <w:spacing w:after="0"/>
              <w:rPr>
                <w:sz w:val="19"/>
                <w:szCs w:val="19"/>
                <w:color w:val="auto"/>
              </w:rPr>
            </w:pPr>
          </w:p>
        </w:tc>
        <w:tc>
          <w:tcPr>
            <w:tcW w:w="980" w:type="dxa"/>
            <w:vAlign w:val="bottom"/>
            <w:tcBorders>
              <w:bottom w:val="single" w:sz="8" w:color="auto"/>
            </w:tcBorders>
            <w:vMerge w:val="continue"/>
            <w:shd w:val="clear" w:color="auto" w:fill="BFE4FF"/>
          </w:tcPr>
          <w:p>
            <w:pPr>
              <w:spacing w:after="0"/>
              <w:rPr>
                <w:sz w:val="19"/>
                <w:szCs w:val="19"/>
                <w:color w:val="auto"/>
              </w:rPr>
            </w:pPr>
          </w:p>
        </w:tc>
        <w:tc>
          <w:tcPr>
            <w:tcW w:w="100" w:type="dxa"/>
            <w:vAlign w:val="bottom"/>
            <w:tcBorders>
              <w:bottom w:val="single" w:sz="8" w:color="BFE4FF"/>
            </w:tcBorders>
            <w:shd w:val="clear" w:color="auto" w:fill="BFE4FF"/>
          </w:tcPr>
          <w:p>
            <w:pPr>
              <w:spacing w:after="0"/>
              <w:rPr>
                <w:sz w:val="19"/>
                <w:szCs w:val="19"/>
                <w:color w:val="auto"/>
              </w:rPr>
            </w:pPr>
          </w:p>
        </w:tc>
        <w:tc>
          <w:tcPr>
            <w:tcW w:w="280" w:type="dxa"/>
            <w:vAlign w:val="bottom"/>
            <w:tcBorders>
              <w:bottom w:val="single" w:sz="8" w:color="auto"/>
            </w:tcBorders>
            <w:vMerge w:val="continue"/>
            <w:shd w:val="clear" w:color="auto" w:fill="BFE4FF"/>
          </w:tcPr>
          <w:p>
            <w:pPr>
              <w:spacing w:after="0"/>
              <w:rPr>
                <w:sz w:val="19"/>
                <w:szCs w:val="19"/>
                <w:color w:val="auto"/>
              </w:rPr>
            </w:pPr>
          </w:p>
        </w:tc>
        <w:tc>
          <w:tcPr>
            <w:tcW w:w="960" w:type="dxa"/>
            <w:vAlign w:val="bottom"/>
            <w:tcBorders>
              <w:bottom w:val="single" w:sz="8" w:color="auto"/>
            </w:tcBorders>
            <w:vMerge w:val="continue"/>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40" w:type="dxa"/>
            <w:vAlign w:val="bottom"/>
            <w:tcBorders>
              <w:top w:val="single" w:sz="8" w:color="BFE4FF"/>
            </w:tcBorders>
          </w:tcPr>
          <w:p>
            <w:pPr>
              <w:spacing w:after="0" w:line="20" w:lineRule="exact"/>
              <w:rPr>
                <w:sz w:val="1"/>
                <w:szCs w:val="1"/>
                <w:color w:val="auto"/>
              </w:rPr>
            </w:pPr>
          </w:p>
        </w:tc>
        <w:tc>
          <w:tcPr>
            <w:tcW w:w="280" w:type="dxa"/>
            <w:vAlign w:val="bottom"/>
            <w:tcBorders>
              <w:top w:val="single" w:sz="8" w:color="BFE4FF"/>
              <w:bottom w:val="single" w:sz="8" w:color="auto"/>
            </w:tcBorders>
          </w:tcPr>
          <w:p>
            <w:pPr>
              <w:spacing w:after="0" w:line="20" w:lineRule="exact"/>
              <w:rPr>
                <w:sz w:val="1"/>
                <w:szCs w:val="1"/>
                <w:color w:val="auto"/>
              </w:rPr>
            </w:pPr>
          </w:p>
        </w:tc>
        <w:tc>
          <w:tcPr>
            <w:tcW w:w="98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280" w:type="dxa"/>
            <w:vAlign w:val="bottom"/>
            <w:tcBorders>
              <w:top w:val="single" w:sz="8" w:color="BFE4FF"/>
              <w:bottom w:val="single" w:sz="8" w:color="auto"/>
            </w:tcBorders>
          </w:tcPr>
          <w:p>
            <w:pPr>
              <w:spacing w:after="0" w:line="20" w:lineRule="exact"/>
              <w:rPr>
                <w:sz w:val="1"/>
                <w:szCs w:val="1"/>
                <w:color w:val="auto"/>
              </w:rPr>
            </w:pPr>
          </w:p>
        </w:tc>
        <w:tc>
          <w:tcPr>
            <w:tcW w:w="960" w:type="dxa"/>
            <w:vAlign w:val="bottom"/>
            <w:tcBorders>
              <w:top w:val="single" w:sz="8" w:color="BFE4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840" w:type="dxa"/>
            <w:vAlign w:val="bottom"/>
            <w:shd w:val="clear" w:color="auto" w:fill="BFE4FF"/>
          </w:tcPr>
          <w:p>
            <w:pPr>
              <w:ind w:left="20"/>
              <w:spacing w:after="0"/>
              <w:rPr>
                <w:sz w:val="20"/>
                <w:szCs w:val="20"/>
                <w:color w:val="auto"/>
              </w:rPr>
            </w:pPr>
            <w:r>
              <w:rPr>
                <w:rFonts w:ascii="Arial" w:cs="Arial" w:eastAsia="Arial" w:hAnsi="Arial"/>
                <w:sz w:val="16"/>
                <w:szCs w:val="16"/>
                <w:color w:val="auto"/>
              </w:rPr>
              <w:t>Share of net income from joint venture</w:t>
            </w:r>
          </w:p>
        </w:tc>
        <w:tc>
          <w:tcPr>
            <w:tcW w:w="280" w:type="dxa"/>
            <w:vAlign w:val="bottom"/>
            <w:tcBorders>
              <w:bottom w:val="single" w:sz="8" w:color="auto"/>
            </w:tcBorders>
            <w:shd w:val="clear" w:color="auto" w:fill="BFE4FF"/>
          </w:tcPr>
          <w:p>
            <w:pPr>
              <w:spacing w:after="0"/>
              <w:rPr>
                <w:sz w:val="21"/>
                <w:szCs w:val="21"/>
                <w:color w:val="auto"/>
              </w:rPr>
            </w:pPr>
          </w:p>
        </w:tc>
        <w:tc>
          <w:tcPr>
            <w:tcW w:w="980" w:type="dxa"/>
            <w:vAlign w:val="bottom"/>
            <w:tcBorders>
              <w:bottom w:val="single" w:sz="8" w:color="auto"/>
            </w:tcBorders>
            <w:shd w:val="clear" w:color="auto" w:fill="BFE4FF"/>
          </w:tcPr>
          <w:p>
            <w:pPr>
              <w:jc w:val="right"/>
              <w:ind w:right="119"/>
              <w:spacing w:after="0"/>
              <w:rPr>
                <w:sz w:val="20"/>
                <w:szCs w:val="20"/>
                <w:color w:val="auto"/>
              </w:rPr>
            </w:pPr>
            <w:r>
              <w:rPr>
                <w:rFonts w:ascii="Arial" w:cs="Arial" w:eastAsia="Arial" w:hAnsi="Arial"/>
                <w:sz w:val="16"/>
                <w:szCs w:val="16"/>
                <w:color w:val="auto"/>
              </w:rPr>
              <w:t>6,592</w:t>
            </w:r>
          </w:p>
        </w:tc>
        <w:tc>
          <w:tcPr>
            <w:tcW w:w="100" w:type="dxa"/>
            <w:vAlign w:val="bottom"/>
            <w:shd w:val="clear" w:color="auto" w:fill="BFE4FF"/>
          </w:tcPr>
          <w:p>
            <w:pPr>
              <w:spacing w:after="0"/>
              <w:rPr>
                <w:sz w:val="21"/>
                <w:szCs w:val="21"/>
                <w:color w:val="auto"/>
              </w:rPr>
            </w:pPr>
          </w:p>
        </w:tc>
        <w:tc>
          <w:tcPr>
            <w:tcW w:w="280" w:type="dxa"/>
            <w:vAlign w:val="bottom"/>
            <w:tcBorders>
              <w:bottom w:val="single" w:sz="8" w:color="auto"/>
            </w:tcBorders>
            <w:shd w:val="clear" w:color="auto" w:fill="BFE4FF"/>
          </w:tcPr>
          <w:p>
            <w:pPr>
              <w:spacing w:after="0"/>
              <w:rPr>
                <w:sz w:val="21"/>
                <w:szCs w:val="21"/>
                <w:color w:val="auto"/>
              </w:rPr>
            </w:pPr>
          </w:p>
        </w:tc>
        <w:tc>
          <w:tcPr>
            <w:tcW w:w="960" w:type="dxa"/>
            <w:vAlign w:val="bottom"/>
            <w:tcBorders>
              <w:bottom w:val="single" w:sz="8" w:color="auto"/>
            </w:tcBorders>
            <w:shd w:val="clear" w:color="auto" w:fill="BFE4FF"/>
          </w:tcPr>
          <w:p>
            <w:pPr>
              <w:jc w:val="right"/>
              <w:ind w:right="119"/>
              <w:spacing w:after="0"/>
              <w:rPr>
                <w:sz w:val="20"/>
                <w:szCs w:val="20"/>
                <w:color w:val="auto"/>
              </w:rPr>
            </w:pPr>
            <w:r>
              <w:rPr>
                <w:rFonts w:ascii="Arial" w:cs="Arial" w:eastAsia="Arial" w:hAnsi="Arial"/>
                <w:sz w:val="16"/>
                <w:szCs w:val="16"/>
                <w:color w:val="auto"/>
              </w:rPr>
              <w:t>6,261</w:t>
            </w:r>
          </w:p>
        </w:tc>
        <w:tc>
          <w:tcPr>
            <w:tcW w:w="0" w:type="dxa"/>
            <w:vAlign w:val="bottom"/>
          </w:tcPr>
          <w:p>
            <w:pPr>
              <w:spacing w:after="0"/>
              <w:rPr>
                <w:sz w:val="1"/>
                <w:szCs w:val="1"/>
                <w:color w:val="auto"/>
              </w:rPr>
            </w:pPr>
          </w:p>
        </w:tc>
      </w:tr>
      <w:tr>
        <w:trPr>
          <w:trHeight w:val="146"/>
        </w:trPr>
        <w:tc>
          <w:tcPr>
            <w:tcW w:w="2840" w:type="dxa"/>
            <w:vAlign w:val="bottom"/>
          </w:tcPr>
          <w:p>
            <w:pPr>
              <w:ind w:left="20"/>
              <w:spacing w:after="0" w:line="146" w:lineRule="exact"/>
              <w:rPr>
                <w:sz w:val="20"/>
                <w:szCs w:val="20"/>
                <w:color w:val="auto"/>
              </w:rPr>
            </w:pPr>
            <w:r>
              <w:rPr>
                <w:rFonts w:ascii="Arial" w:cs="Arial" w:eastAsia="Arial" w:hAnsi="Arial"/>
                <w:sz w:val="16"/>
                <w:szCs w:val="16"/>
                <w:color w:val="auto"/>
                <w:w w:val="99"/>
              </w:rPr>
              <w:t>Non-GAAP adjusted income (loss) from</w:t>
            </w:r>
          </w:p>
        </w:tc>
        <w:tc>
          <w:tcPr>
            <w:tcW w:w="28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980" w:type="dxa"/>
            <w:vAlign w:val="bottom"/>
            <w:vMerge w:val="restart"/>
          </w:tcPr>
          <w:p>
            <w:pPr>
              <w:jc w:val="right"/>
              <w:ind w:right="119"/>
              <w:spacing w:after="0"/>
              <w:rPr>
                <w:sz w:val="20"/>
                <w:szCs w:val="20"/>
                <w:color w:val="auto"/>
              </w:rPr>
            </w:pPr>
            <w:r>
              <w:rPr>
                <w:rFonts w:ascii="Arial" w:cs="Arial" w:eastAsia="Arial" w:hAnsi="Arial"/>
                <w:sz w:val="16"/>
                <w:szCs w:val="16"/>
                <w:color w:val="auto"/>
              </w:rPr>
              <w:t>9,301</w:t>
            </w:r>
          </w:p>
        </w:tc>
        <w:tc>
          <w:tcPr>
            <w:tcW w:w="100" w:type="dxa"/>
            <w:vAlign w:val="bottom"/>
          </w:tcPr>
          <w:p>
            <w:pPr>
              <w:spacing w:after="0"/>
              <w:rPr>
                <w:sz w:val="12"/>
                <w:szCs w:val="12"/>
                <w:color w:val="auto"/>
              </w:rPr>
            </w:pP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vMerge w:val="restart"/>
          </w:tcPr>
          <w:p>
            <w:pPr>
              <w:jc w:val="right"/>
              <w:ind w:right="119"/>
              <w:spacing w:after="0"/>
              <w:rPr>
                <w:sz w:val="20"/>
                <w:szCs w:val="20"/>
                <w:color w:val="auto"/>
              </w:rPr>
            </w:pPr>
            <w:r>
              <w:rPr>
                <w:rFonts w:ascii="Arial" w:cs="Arial" w:eastAsia="Arial" w:hAnsi="Arial"/>
                <w:sz w:val="16"/>
                <w:szCs w:val="16"/>
                <w:color w:val="auto"/>
              </w:rPr>
              <w:t>19,219</w:t>
            </w:r>
          </w:p>
        </w:tc>
        <w:tc>
          <w:tcPr>
            <w:tcW w:w="0" w:type="dxa"/>
            <w:vAlign w:val="bottom"/>
          </w:tcPr>
          <w:p>
            <w:pPr>
              <w:spacing w:after="0"/>
              <w:rPr>
                <w:sz w:val="1"/>
                <w:szCs w:val="1"/>
                <w:color w:val="auto"/>
              </w:rPr>
            </w:pPr>
          </w:p>
        </w:tc>
      </w:tr>
      <w:tr>
        <w:trPr>
          <w:trHeight w:val="190"/>
        </w:trPr>
        <w:tc>
          <w:tcPr>
            <w:tcW w:w="2840" w:type="dxa"/>
            <w:vAlign w:val="bottom"/>
          </w:tcPr>
          <w:p>
            <w:pPr>
              <w:ind w:left="20"/>
              <w:spacing w:after="0"/>
              <w:rPr>
                <w:sz w:val="20"/>
                <w:szCs w:val="20"/>
                <w:color w:val="auto"/>
              </w:rPr>
            </w:pPr>
            <w:r>
              <w:rPr>
                <w:rFonts w:ascii="Arial" w:cs="Arial" w:eastAsia="Arial" w:hAnsi="Arial"/>
                <w:sz w:val="16"/>
                <w:szCs w:val="16"/>
                <w:color w:val="auto"/>
              </w:rPr>
              <w:t>operations with JV</w:t>
            </w:r>
          </w:p>
        </w:tc>
        <w:tc>
          <w:tcPr>
            <w:tcW w:w="28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40" w:type="dxa"/>
            <w:vAlign w:val="bottom"/>
            <w:tcBorders>
              <w:bottom w:val="single" w:sz="8" w:color="BFE4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FE4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40" w:type="dxa"/>
            <w:vAlign w:val="bottom"/>
            <w:shd w:val="clear" w:color="auto" w:fill="BFE4FF"/>
          </w:tcPr>
          <w:p>
            <w:pPr>
              <w:spacing w:after="0"/>
              <w:rPr>
                <w:sz w:val="15"/>
                <w:szCs w:val="15"/>
                <w:color w:val="auto"/>
              </w:rPr>
            </w:pPr>
          </w:p>
        </w:tc>
        <w:tc>
          <w:tcPr>
            <w:tcW w:w="280" w:type="dxa"/>
            <w:vAlign w:val="bottom"/>
            <w:shd w:val="clear" w:color="auto" w:fill="BFE4FF"/>
          </w:tcPr>
          <w:p>
            <w:pPr>
              <w:spacing w:after="0"/>
              <w:rPr>
                <w:sz w:val="15"/>
                <w:szCs w:val="15"/>
                <w:color w:val="auto"/>
              </w:rPr>
            </w:pPr>
          </w:p>
        </w:tc>
        <w:tc>
          <w:tcPr>
            <w:tcW w:w="980" w:type="dxa"/>
            <w:vAlign w:val="bottom"/>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280" w:type="dxa"/>
            <w:vAlign w:val="bottom"/>
            <w:shd w:val="clear" w:color="auto" w:fill="BFE4FF"/>
          </w:tcPr>
          <w:p>
            <w:pPr>
              <w:spacing w:after="0"/>
              <w:rPr>
                <w:sz w:val="15"/>
                <w:szCs w:val="15"/>
                <w:color w:val="auto"/>
              </w:rPr>
            </w:pPr>
          </w:p>
        </w:tc>
        <w:tc>
          <w:tcPr>
            <w:tcW w:w="960" w:type="dxa"/>
            <w:vAlign w:val="bottom"/>
            <w:shd w:val="clear" w:color="auto" w:fill="BFE4FF"/>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840" w:type="dxa"/>
            <w:vAlign w:val="bottom"/>
          </w:tcPr>
          <w:p>
            <w:pPr>
              <w:ind w:left="20"/>
              <w:spacing w:after="0"/>
              <w:rPr>
                <w:sz w:val="20"/>
                <w:szCs w:val="20"/>
                <w:color w:val="auto"/>
              </w:rPr>
            </w:pPr>
            <w:r>
              <w:rPr>
                <w:rFonts w:ascii="Arial" w:cs="Arial" w:eastAsia="Arial" w:hAnsi="Arial"/>
                <w:sz w:val="16"/>
                <w:szCs w:val="16"/>
                <w:color w:val="auto"/>
                <w:w w:val="95"/>
              </w:rPr>
              <w:t>Non-GAAP adjusted operating margin (1)</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6.7 %</w:t>
            </w:r>
          </w:p>
        </w:tc>
        <w:tc>
          <w:tcPr>
            <w:tcW w:w="0" w:type="dxa"/>
            <w:vAlign w:val="bottom"/>
          </w:tcPr>
          <w:p>
            <w:pPr>
              <w:spacing w:after="0"/>
              <w:rPr>
                <w:sz w:val="1"/>
                <w:szCs w:val="1"/>
                <w:color w:val="auto"/>
              </w:rPr>
            </w:pPr>
          </w:p>
        </w:tc>
      </w:tr>
      <w:tr>
        <w:trPr>
          <w:trHeight w:val="253"/>
        </w:trPr>
        <w:tc>
          <w:tcPr>
            <w:tcW w:w="2840" w:type="dxa"/>
            <w:vAlign w:val="bottom"/>
            <w:shd w:val="clear" w:color="auto" w:fill="BFE4FF"/>
          </w:tcPr>
          <w:p>
            <w:pPr>
              <w:ind w:left="20"/>
              <w:spacing w:after="0"/>
              <w:rPr>
                <w:sz w:val="20"/>
                <w:szCs w:val="20"/>
                <w:color w:val="auto"/>
              </w:rPr>
            </w:pPr>
            <w:r>
              <w:rPr>
                <w:rFonts w:ascii="Arial" w:cs="Arial" w:eastAsia="Arial" w:hAnsi="Arial"/>
                <w:sz w:val="16"/>
                <w:szCs w:val="16"/>
                <w:color w:val="auto"/>
              </w:rPr>
              <w:t>GAAP net sales</w:t>
            </w:r>
          </w:p>
        </w:tc>
        <w:tc>
          <w:tcPr>
            <w:tcW w:w="280" w:type="dxa"/>
            <w:vAlign w:val="bottom"/>
            <w:shd w:val="clear" w:color="auto" w:fill="BFE4FF"/>
          </w:tcPr>
          <w:p>
            <w:pPr>
              <w:spacing w:after="0"/>
              <w:rPr>
                <w:sz w:val="21"/>
                <w:szCs w:val="21"/>
                <w:color w:val="auto"/>
              </w:rPr>
            </w:pPr>
          </w:p>
        </w:tc>
        <w:tc>
          <w:tcPr>
            <w:tcW w:w="98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rPr>
              <w:t>293,536</w:t>
            </w:r>
          </w:p>
        </w:tc>
        <w:tc>
          <w:tcPr>
            <w:tcW w:w="100" w:type="dxa"/>
            <w:vAlign w:val="bottom"/>
            <w:shd w:val="clear" w:color="auto" w:fill="BFE4FF"/>
          </w:tcPr>
          <w:p>
            <w:pPr>
              <w:spacing w:after="0"/>
              <w:rPr>
                <w:sz w:val="21"/>
                <w:szCs w:val="21"/>
                <w:color w:val="auto"/>
              </w:rPr>
            </w:pPr>
          </w:p>
        </w:tc>
        <w:tc>
          <w:tcPr>
            <w:tcW w:w="280" w:type="dxa"/>
            <w:vAlign w:val="bottom"/>
            <w:shd w:val="clear" w:color="auto" w:fill="BFE4FF"/>
          </w:tcPr>
          <w:p>
            <w:pPr>
              <w:spacing w:after="0"/>
              <w:rPr>
                <w:sz w:val="21"/>
                <w:szCs w:val="21"/>
                <w:color w:val="auto"/>
              </w:rPr>
            </w:pPr>
          </w:p>
        </w:tc>
        <w:tc>
          <w:tcPr>
            <w:tcW w:w="96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rPr>
              <w:t>285,863</w:t>
            </w:r>
          </w:p>
        </w:tc>
        <w:tc>
          <w:tcPr>
            <w:tcW w:w="0" w:type="dxa"/>
            <w:vAlign w:val="bottom"/>
          </w:tcPr>
          <w:p>
            <w:pPr>
              <w:spacing w:after="0"/>
              <w:rPr>
                <w:sz w:val="1"/>
                <w:szCs w:val="1"/>
                <w:color w:val="auto"/>
              </w:rPr>
            </w:pPr>
          </w:p>
        </w:tc>
      </w:tr>
    </w:tbl>
    <w:p>
      <w:pPr>
        <w:spacing w:after="0" w:line="148" w:lineRule="exact"/>
        <w:rPr>
          <w:sz w:val="20"/>
          <w:szCs w:val="20"/>
          <w:color w:val="auto"/>
        </w:rPr>
      </w:pPr>
    </w:p>
    <w:p>
      <w:pPr>
        <w:sectPr>
          <w:pgSz w:w="11900" w:h="16838" w:orient="portrait"/>
          <w:cols w:equalWidth="0" w:num="3">
            <w:col w:w="2880" w:space="160"/>
            <w:col w:w="2540" w:space="80"/>
            <w:col w:w="5580"/>
          </w:cols>
          <w:pgMar w:left="320" w:top="1390" w:right="339" w:bottom="1440" w:gutter="0" w:footer="0" w:header="0"/>
          <w:type w:val="continuous"/>
        </w:sectPr>
      </w:pPr>
    </w:p>
    <w:p>
      <w:pPr>
        <w:ind w:left="160"/>
        <w:spacing w:after="0"/>
        <w:rPr>
          <w:sz w:val="20"/>
          <w:szCs w:val="20"/>
          <w:color w:val="auto"/>
        </w:rPr>
      </w:pPr>
      <w:r>
        <w:rPr>
          <w:rFonts w:ascii="Arial" w:cs="Arial" w:eastAsia="Arial" w:hAnsi="Arial"/>
          <w:sz w:val="16"/>
          <w:szCs w:val="16"/>
          <w:b w:val="1"/>
          <w:bCs w:val="1"/>
          <w:color w:val="auto"/>
        </w:rPr>
        <w:t>Power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29210</wp:posOffset>
            </wp:positionV>
            <wp:extent cx="3471545"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71545" cy="154305"/>
                    </a:xfrm>
                    <a:prstGeom prst="rect">
                      <a:avLst/>
                    </a:prstGeom>
                    <a:noFill/>
                  </pic:spPr>
                </pic:pic>
              </a:graphicData>
            </a:graphic>
          </wp:anchor>
        </w:drawing>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GAAP income (loss) from operations</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Acquisition and transition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26670</wp:posOffset>
            </wp:positionV>
            <wp:extent cx="3471545"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71545" cy="154305"/>
                    </a:xfrm>
                    <a:prstGeom prst="rect">
                      <a:avLst/>
                    </a:prstGeom>
                    <a:noFill/>
                  </pic:spPr>
                </pic:pic>
              </a:graphicData>
            </a:graphic>
          </wp:anchor>
        </w:drawing>
      </w:r>
    </w:p>
    <w:p>
      <w:pPr>
        <w:spacing w:after="0" w:line="3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Amortization of intangibles</w:t>
      </w:r>
    </w:p>
    <w:p>
      <w:pPr>
        <w:spacing w:after="0" w:line="59" w:lineRule="exact"/>
        <w:rPr>
          <w:sz w:val="20"/>
          <w:szCs w:val="20"/>
          <w:color w:val="auto"/>
        </w:rPr>
      </w:pPr>
    </w:p>
    <w:p>
      <w:pPr>
        <w:ind w:left="160" w:right="100"/>
        <w:spacing w:after="0" w:line="275" w:lineRule="auto"/>
        <w:rPr>
          <w:sz w:val="20"/>
          <w:szCs w:val="20"/>
          <w:color w:val="auto"/>
        </w:rPr>
      </w:pPr>
      <w:r>
        <w:rPr>
          <w:rFonts w:ascii="Arial" w:cs="Arial" w:eastAsia="Arial" w:hAnsi="Arial"/>
          <w:sz w:val="16"/>
          <w:szCs w:val="16"/>
          <w:color w:val="auto"/>
        </w:rPr>
        <w:t>Non-GAAP adjusted income (loss) from operations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4445</wp:posOffset>
            </wp:positionV>
            <wp:extent cx="3471545"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71545" cy="137160"/>
                    </a:xfrm>
                    <a:prstGeom prst="rect">
                      <a:avLst/>
                    </a:prstGeom>
                    <a:noFill/>
                  </pic:spPr>
                </pic:pic>
              </a:graphicData>
            </a:graphic>
          </wp:anchor>
        </w:drawing>
      </w:r>
    </w:p>
    <w:p>
      <w:pPr>
        <w:spacing w:after="0" w:line="220" w:lineRule="exact"/>
        <w:rPr>
          <w:sz w:val="20"/>
          <w:szCs w:val="20"/>
          <w:color w:val="auto"/>
        </w:rPr>
      </w:pPr>
    </w:p>
    <w:p>
      <w:pPr>
        <w:ind w:left="160"/>
        <w:spacing w:after="0" w:line="346" w:lineRule="auto"/>
        <w:rPr>
          <w:sz w:val="20"/>
          <w:szCs w:val="20"/>
          <w:color w:val="auto"/>
        </w:rPr>
      </w:pPr>
      <w:r>
        <w:rPr>
          <w:rFonts w:ascii="Arial" w:cs="Arial" w:eastAsia="Arial" w:hAnsi="Arial"/>
          <w:sz w:val="16"/>
          <w:szCs w:val="16"/>
          <w:color w:val="auto"/>
        </w:rPr>
        <w:t>Non-GAAP adjusted operating margin (1) GAAP 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-193040</wp:posOffset>
            </wp:positionV>
            <wp:extent cx="3471545"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7154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4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80" w:type="dxa"/>
            <w:vAlign w:val="bottom"/>
          </w:tcPr>
          <w:p>
            <w:pPr>
              <w:spacing w:after="0"/>
              <w:rPr>
                <w:sz w:val="19"/>
                <w:szCs w:val="19"/>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3,536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6,493</w:t>
            </w:r>
          </w:p>
        </w:tc>
        <w:tc>
          <w:tcPr>
            <w:tcW w:w="4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4,048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386</w:t>
            </w:r>
          </w:p>
        </w:tc>
        <w:tc>
          <w:tcPr>
            <w:tcW w:w="4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12,474</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10,994</w:t>
            </w:r>
          </w:p>
        </w:tc>
        <w:tc>
          <w:tcPr>
            <w:tcW w:w="40" w:type="dxa"/>
            <w:vAlign w:val="bottom"/>
          </w:tcPr>
          <w:p>
            <w:pPr>
              <w:spacing w:after="0"/>
              <w:rPr>
                <w:sz w:val="21"/>
                <w:szCs w:val="21"/>
                <w:color w:val="auto"/>
              </w:rPr>
            </w:pPr>
          </w:p>
        </w:tc>
        <w:tc>
          <w:tcPr>
            <w:tcW w:w="284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auto"/>
              </w:rPr>
              <w:t>(in thousands)</w:t>
            </w:r>
          </w:p>
        </w:tc>
        <w:tc>
          <w:tcPr>
            <w:tcW w:w="260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w w:val="92"/>
              </w:rPr>
              <w:t>Twelve Months Ended December 31,</w:t>
            </w:r>
          </w:p>
        </w:tc>
        <w:tc>
          <w:tcPr>
            <w:tcW w:w="0" w:type="dxa"/>
            <w:vAlign w:val="bottom"/>
          </w:tcPr>
          <w:p>
            <w:pPr>
              <w:spacing w:after="0"/>
              <w:rPr>
                <w:sz w:val="1"/>
                <w:szCs w:val="1"/>
                <w:color w:val="auto"/>
              </w:rPr>
            </w:pPr>
          </w:p>
        </w:tc>
      </w:tr>
      <w:tr>
        <w:trPr>
          <w:trHeight w:val="79"/>
        </w:trPr>
        <w:tc>
          <w:tcPr>
            <w:tcW w:w="2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2840" w:type="dxa"/>
            <w:vAlign w:val="bottom"/>
            <w:vMerge w:val="continue"/>
          </w:tcPr>
          <w:p>
            <w:pPr>
              <w:spacing w:after="0"/>
              <w:rPr>
                <w:sz w:val="6"/>
                <w:szCs w:val="6"/>
                <w:color w:val="auto"/>
              </w:rPr>
            </w:pPr>
          </w:p>
        </w:tc>
        <w:tc>
          <w:tcPr>
            <w:tcW w:w="2600" w:type="dxa"/>
            <w:vAlign w:val="bottom"/>
            <w:tcBorders>
              <w:bottom w:val="single" w:sz="8" w:color="auto"/>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20,058</w:t>
            </w:r>
          </w:p>
        </w:tc>
        <w:tc>
          <w:tcPr>
            <w:tcW w:w="100" w:type="dxa"/>
            <w:vAlign w:val="bottom"/>
          </w:tcPr>
          <w:p>
            <w:pPr>
              <w:spacing w:after="0"/>
              <w:rPr>
                <w:sz w:val="21"/>
                <w:szCs w:val="21"/>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17,873</w:t>
            </w:r>
          </w:p>
        </w:tc>
        <w:tc>
          <w:tcPr>
            <w:tcW w:w="40" w:type="dxa"/>
            <w:vAlign w:val="bottom"/>
          </w:tcPr>
          <w:p>
            <w:pPr>
              <w:spacing w:after="0"/>
              <w:rPr>
                <w:sz w:val="21"/>
                <w:szCs w:val="21"/>
                <w:color w:val="auto"/>
              </w:rPr>
            </w:pPr>
          </w:p>
        </w:tc>
        <w:tc>
          <w:tcPr>
            <w:tcW w:w="2840" w:type="dxa"/>
            <w:vAlign w:val="bottom"/>
            <w:tcBorders>
              <w:bottom w:val="single" w:sz="8" w:color="BFE4FF"/>
            </w:tcBorders>
          </w:tcPr>
          <w:p>
            <w:pPr>
              <w:ind w:left="20"/>
              <w:spacing w:after="0"/>
              <w:rPr>
                <w:sz w:val="20"/>
                <w:szCs w:val="20"/>
                <w:color w:val="auto"/>
              </w:rPr>
            </w:pPr>
            <w:r>
              <w:rPr>
                <w:rFonts w:ascii="Arial" w:cs="Arial" w:eastAsia="Arial" w:hAnsi="Arial"/>
                <w:sz w:val="16"/>
                <w:szCs w:val="16"/>
                <w:b w:val="1"/>
                <w:bCs w:val="1"/>
                <w:color w:val="auto"/>
              </w:rPr>
              <w:t>Elimination</w:t>
            </w:r>
          </w:p>
        </w:tc>
        <w:tc>
          <w:tcPr>
            <w:tcW w:w="12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BFE4FF"/>
            </w:tcBorders>
          </w:tcPr>
          <w:p>
            <w:pPr>
              <w:spacing w:after="0"/>
              <w:rPr>
                <w:sz w:val="21"/>
                <w:szCs w:val="21"/>
                <w:color w:val="auto"/>
              </w:rPr>
            </w:pPr>
          </w:p>
        </w:tc>
        <w:tc>
          <w:tcPr>
            <w:tcW w:w="12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48"/>
        </w:trPr>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40" w:type="dxa"/>
            <w:vAlign w:val="bottom"/>
            <w:vMerge w:val="restart"/>
          </w:tcPr>
          <w:p>
            <w:pPr>
              <w:spacing w:after="0"/>
              <w:rPr>
                <w:sz w:val="4"/>
                <w:szCs w:val="4"/>
                <w:color w:val="auto"/>
              </w:rPr>
            </w:pPr>
          </w:p>
        </w:tc>
        <w:tc>
          <w:tcPr>
            <w:tcW w:w="2840" w:type="dxa"/>
            <w:vAlign w:val="bottom"/>
            <w:tcBorders>
              <w:bottom w:val="single" w:sz="8" w:color="BFE4FF"/>
            </w:tcBorders>
            <w:vMerge w:val="restart"/>
            <w:shd w:val="clear" w:color="auto" w:fill="BFE4FF"/>
          </w:tcPr>
          <w:p>
            <w:pPr>
              <w:ind w:left="20"/>
              <w:spacing w:after="0"/>
              <w:rPr>
                <w:sz w:val="20"/>
                <w:szCs w:val="20"/>
                <w:color w:val="auto"/>
              </w:rPr>
            </w:pPr>
            <w:r>
              <w:rPr>
                <w:rFonts w:ascii="Arial" w:cs="Arial" w:eastAsia="Arial" w:hAnsi="Arial"/>
                <w:sz w:val="16"/>
                <w:szCs w:val="16"/>
                <w:color w:val="auto"/>
              </w:rPr>
              <w:t>GAAP net sales</w:t>
            </w:r>
          </w:p>
        </w:tc>
        <w:tc>
          <w:tcPr>
            <w:tcW w:w="1260" w:type="dxa"/>
            <w:vAlign w:val="bottom"/>
            <w:tcBorders>
              <w:bottom w:val="single" w:sz="8" w:color="BFE4FF"/>
            </w:tcBorders>
            <w:vMerge w:val="restart"/>
            <w:shd w:val="clear" w:color="auto" w:fill="BFE4FF"/>
          </w:tcPr>
          <w:p>
            <w:pPr>
              <w:jc w:val="right"/>
              <w:ind w:right="7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BFE4FF"/>
            </w:tcBorders>
            <w:vMerge w:val="restart"/>
            <w:shd w:val="clear" w:color="auto" w:fill="BFE4FF"/>
          </w:tcPr>
          <w:p>
            <w:pPr>
              <w:spacing w:after="0"/>
              <w:rPr>
                <w:sz w:val="4"/>
                <w:szCs w:val="4"/>
                <w:color w:val="auto"/>
              </w:rPr>
            </w:pPr>
          </w:p>
        </w:tc>
        <w:tc>
          <w:tcPr>
            <w:tcW w:w="1240" w:type="dxa"/>
            <w:vAlign w:val="bottom"/>
            <w:tcBorders>
              <w:bottom w:val="single" w:sz="8" w:color="BFE4FF"/>
            </w:tcBorders>
            <w:vMerge w:val="restart"/>
            <w:shd w:val="clear" w:color="auto" w:fill="BFE4FF"/>
          </w:tcPr>
          <w:p>
            <w:pPr>
              <w:jc w:val="right"/>
              <w:ind w:right="79"/>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840" w:type="dxa"/>
            <w:vAlign w:val="bottom"/>
            <w:tcBorders>
              <w:bottom w:val="single" w:sz="8" w:color="BFE4FF"/>
            </w:tcBorders>
            <w:vMerge w:val="continue"/>
            <w:shd w:val="clear" w:color="auto" w:fill="BFE4FF"/>
          </w:tcPr>
          <w:p>
            <w:pPr>
              <w:spacing w:after="0" w:line="20" w:lineRule="exact"/>
              <w:rPr>
                <w:sz w:val="1"/>
                <w:szCs w:val="1"/>
                <w:color w:val="auto"/>
              </w:rPr>
            </w:pPr>
          </w:p>
        </w:tc>
        <w:tc>
          <w:tcPr>
            <w:tcW w:w="1260" w:type="dxa"/>
            <w:vAlign w:val="bottom"/>
            <w:tcBorders>
              <w:bottom w:val="single" w:sz="8" w:color="BFE4FF"/>
            </w:tcBorders>
            <w:vMerge w:val="continue"/>
            <w:shd w:val="clear" w:color="auto" w:fill="BFE4FF"/>
          </w:tcPr>
          <w:p>
            <w:pPr>
              <w:spacing w:after="0" w:line="20" w:lineRule="exact"/>
              <w:rPr>
                <w:sz w:val="1"/>
                <w:szCs w:val="1"/>
                <w:color w:val="auto"/>
              </w:rPr>
            </w:pPr>
          </w:p>
        </w:tc>
        <w:tc>
          <w:tcPr>
            <w:tcW w:w="100" w:type="dxa"/>
            <w:vAlign w:val="bottom"/>
            <w:tcBorders>
              <w:bottom w:val="single" w:sz="8" w:color="BFE4FF"/>
            </w:tcBorders>
            <w:vMerge w:val="continue"/>
            <w:shd w:val="clear" w:color="auto" w:fill="BFE4FF"/>
          </w:tcPr>
          <w:p>
            <w:pPr>
              <w:spacing w:after="0" w:line="20" w:lineRule="exact"/>
              <w:rPr>
                <w:sz w:val="1"/>
                <w:szCs w:val="1"/>
                <w:color w:val="auto"/>
              </w:rPr>
            </w:pPr>
          </w:p>
        </w:tc>
        <w:tc>
          <w:tcPr>
            <w:tcW w:w="1240" w:type="dxa"/>
            <w:vAlign w:val="bottom"/>
            <w:tcBorders>
              <w:bottom w:val="single" w:sz="8" w:color="BFE4FF"/>
            </w:tcBorders>
            <w:vMerge w:val="continue"/>
            <w:shd w:val="clear" w:color="auto" w:fill="BFE4FF"/>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28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9.8 %</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9.3 %</w:t>
            </w:r>
          </w:p>
        </w:tc>
        <w:tc>
          <w:tcPr>
            <w:tcW w:w="40" w:type="dxa"/>
            <w:vAlign w:val="bottom"/>
            <w:vMerge w:val="continue"/>
          </w:tcPr>
          <w:p>
            <w:pPr>
              <w:spacing w:after="0"/>
              <w:rPr>
                <w:sz w:val="11"/>
                <w:szCs w:val="11"/>
                <w:color w:val="auto"/>
              </w:rPr>
            </w:pPr>
          </w:p>
        </w:tc>
        <w:tc>
          <w:tcPr>
            <w:tcW w:w="2840" w:type="dxa"/>
            <w:vAlign w:val="bottom"/>
            <w:vMerge w:val="continue"/>
            <w:shd w:val="clear" w:color="auto" w:fill="BFE4FF"/>
          </w:tcPr>
          <w:p>
            <w:pPr>
              <w:spacing w:after="0"/>
              <w:rPr>
                <w:sz w:val="11"/>
                <w:szCs w:val="11"/>
                <w:color w:val="auto"/>
              </w:rPr>
            </w:pPr>
          </w:p>
        </w:tc>
        <w:tc>
          <w:tcPr>
            <w:tcW w:w="1260" w:type="dxa"/>
            <w:vAlign w:val="bottom"/>
            <w:vMerge w:val="continue"/>
            <w:shd w:val="clear" w:color="auto" w:fill="BFE4FF"/>
          </w:tcPr>
          <w:p>
            <w:pPr>
              <w:spacing w:after="0"/>
              <w:rPr>
                <w:sz w:val="11"/>
                <w:szCs w:val="11"/>
                <w:color w:val="auto"/>
              </w:rPr>
            </w:pPr>
          </w:p>
        </w:tc>
        <w:tc>
          <w:tcPr>
            <w:tcW w:w="100" w:type="dxa"/>
            <w:vAlign w:val="bottom"/>
            <w:vMerge w:val="continue"/>
            <w:shd w:val="clear" w:color="auto" w:fill="BFE4FF"/>
          </w:tcPr>
          <w:p>
            <w:pPr>
              <w:spacing w:after="0"/>
              <w:rPr>
                <w:sz w:val="11"/>
                <w:szCs w:val="11"/>
                <w:color w:val="auto"/>
              </w:rPr>
            </w:pPr>
          </w:p>
        </w:tc>
        <w:tc>
          <w:tcPr>
            <w:tcW w:w="1240" w:type="dxa"/>
            <w:vAlign w:val="bottom"/>
            <w:vMerge w:val="continue"/>
            <w:shd w:val="clear" w:color="auto" w:fill="BFE4FF"/>
          </w:tcPr>
          <w:p>
            <w:pPr>
              <w:spacing w:after="0"/>
              <w:rPr>
                <w:sz w:val="11"/>
                <w:szCs w:val="11"/>
                <w:color w:val="auto"/>
              </w:rPr>
            </w:pPr>
          </w:p>
        </w:tc>
        <w:tc>
          <w:tcPr>
            <w:tcW w:w="0" w:type="dxa"/>
            <w:vAlign w:val="bottom"/>
          </w:tcPr>
          <w:p>
            <w:pPr>
              <w:spacing w:after="0"/>
              <w:rPr>
                <w:sz w:val="1"/>
                <w:szCs w:val="1"/>
                <w:color w:val="auto"/>
              </w:rPr>
            </w:pPr>
          </w:p>
        </w:tc>
      </w:tr>
      <w:tr>
        <w:trPr>
          <w:trHeight w:val="278"/>
        </w:trPr>
        <w:tc>
          <w:tcPr>
            <w:tcW w:w="28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80" w:type="dxa"/>
            <w:vAlign w:val="bottom"/>
          </w:tcPr>
          <w:p>
            <w:pPr>
              <w:spacing w:after="0"/>
              <w:rPr>
                <w:sz w:val="22"/>
                <w:szCs w:val="22"/>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205,204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191,800</w:t>
            </w:r>
          </w:p>
        </w:tc>
        <w:tc>
          <w:tcPr>
            <w:tcW w:w="4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sectPr>
          <w:pgSz w:w="11900" w:h="16838" w:orient="portrait"/>
          <w:cols w:equalWidth="0" w:num="2">
            <w:col w:w="2880" w:space="140"/>
            <w:col w:w="8220"/>
          </w:cols>
          <w:pgMar w:left="320" w:top="1390" w:right="339" w:bottom="1440" w:gutter="0" w:footer="0" w:header="0"/>
          <w:type w:val="continuous"/>
        </w:sectPr>
      </w:pPr>
    </w:p>
    <w:p>
      <w:pPr>
        <w:spacing w:after="0"/>
        <w:tabs>
          <w:tab w:leader="none" w:pos="32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Non-GAAP adjusted operating margin = Non-GAAP adjusted income (loss) from operations / GAAP net sales</w:t>
      </w:r>
    </w:p>
    <w:p>
      <w:pPr>
        <w:spacing w:after="0" w:line="73" w:lineRule="exact"/>
        <w:rPr>
          <w:sz w:val="20"/>
          <w:szCs w:val="20"/>
          <w:color w:val="auto"/>
        </w:rPr>
      </w:pPr>
    </w:p>
    <w:p>
      <w:pPr>
        <w:ind w:right="100" w:hanging="40"/>
        <w:spacing w:after="0" w:line="275" w:lineRule="auto"/>
        <w:rPr>
          <w:sz w:val="20"/>
          <w:szCs w:val="20"/>
          <w:color w:val="auto"/>
        </w:rPr>
      </w:pPr>
      <w:r>
        <w:rPr>
          <w:rFonts w:ascii="Arial" w:cs="Arial" w:eastAsia="Arial" w:hAnsi="Arial"/>
          <w:sz w:val="16"/>
          <w:szCs w:val="16"/>
          <w:color w:val="auto"/>
        </w:rPr>
        <w:t>expense includes $1.4 million in professional fees, $3.5 million in integration and transformation fees, and $2.0 million in asset write-downs and litigation settlements. 2021 expense includes $2.3 million professional fees and $2.5 million integration and transformation fees.</w:t>
      </w:r>
    </w:p>
    <w:p>
      <w:pPr>
        <w:sectPr>
          <w:pgSz w:w="11900" w:h="16838" w:orient="portrait"/>
          <w:cols w:equalWidth="0" w:num="1">
            <w:col w:w="11240"/>
          </w:cols>
          <w:pgMar w:left="320" w:top="139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114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40"/>
          </w:cols>
          <w:pgMar w:left="320" w:top="1390" w:right="339" w:bottom="1440" w:gutter="0" w:footer="0" w:header="0"/>
          <w:type w:val="continuous"/>
        </w:sectPr>
      </w:pPr>
    </w:p>
    <w:bookmarkStart w:id="12" w:name="page13"/>
    <w:bookmarkEnd w:id="12"/>
    <w:p>
      <w:pPr>
        <w:spacing w:after="0" w:line="9"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6680" w:type="dxa"/>
            <w:vAlign w:val="bottom"/>
            <w:gridSpan w:val="5"/>
          </w:tcPr>
          <w:p>
            <w:pPr>
              <w:ind w:left="1220"/>
              <w:spacing w:after="0"/>
              <w:rPr>
                <w:sz w:val="20"/>
                <w:szCs w:val="20"/>
                <w:color w:val="auto"/>
              </w:rPr>
            </w:pPr>
            <w:r>
              <w:rPr>
                <w:rFonts w:ascii="Arial" w:cs="Arial" w:eastAsia="Arial" w:hAnsi="Arial"/>
                <w:sz w:val="16"/>
                <w:szCs w:val="16"/>
                <w:b w:val="1"/>
                <w:bCs w:val="1"/>
                <w:color w:val="auto"/>
                <w:w w:val="96"/>
              </w:rPr>
              <w:t>Reconciliation of GAAP Net Income (Loss) to Non-GAAP Adjusted EBITDA</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4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20" w:type="dxa"/>
            <w:vAlign w:val="bottom"/>
            <w:gridSpan w:val="4"/>
          </w:tcPr>
          <w:p>
            <w:pPr>
              <w:jc w:val="right"/>
              <w:ind w:right="319"/>
              <w:spacing w:after="0"/>
              <w:rPr>
                <w:sz w:val="20"/>
                <w:szCs w:val="20"/>
                <w:color w:val="auto"/>
              </w:rPr>
            </w:pPr>
            <w:r>
              <w:rPr>
                <w:rFonts w:ascii="Arial" w:cs="Arial" w:eastAsia="Arial" w:hAnsi="Arial"/>
                <w:sz w:val="16"/>
                <w:szCs w:val="16"/>
                <w:b w:val="1"/>
                <w:bCs w:val="1"/>
                <w:color w:val="auto"/>
                <w:w w:val="97"/>
              </w:rPr>
              <w:t>Three Months Ended December 31,</w:t>
            </w:r>
          </w:p>
        </w:tc>
        <w:tc>
          <w:tcPr>
            <w:tcW w:w="0" w:type="dxa"/>
            <w:vAlign w:val="bottom"/>
          </w:tcPr>
          <w:p>
            <w:pPr>
              <w:spacing w:after="0"/>
              <w:rPr>
                <w:sz w:val="1"/>
                <w:szCs w:val="1"/>
                <w:color w:val="auto"/>
              </w:rPr>
            </w:pPr>
          </w:p>
        </w:tc>
      </w:tr>
      <w:tr>
        <w:trPr>
          <w:trHeight w:val="114"/>
        </w:trPr>
        <w:tc>
          <w:tcPr>
            <w:tcW w:w="448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auto"/>
              </w:rPr>
              <w:t>(in thousands)</w:t>
            </w:r>
          </w:p>
        </w:tc>
        <w:tc>
          <w:tcPr>
            <w:tcW w:w="26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4480" w:type="dxa"/>
            <w:vAlign w:val="bottom"/>
            <w:tcBorders>
              <w:bottom w:val="single" w:sz="8" w:color="BFE4FF"/>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BFE4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2"/>
        </w:trPr>
        <w:tc>
          <w:tcPr>
            <w:tcW w:w="4480" w:type="dxa"/>
            <w:vAlign w:val="bottom"/>
            <w:shd w:val="clear" w:color="auto" w:fill="BFE4FF"/>
          </w:tcPr>
          <w:p>
            <w:pPr>
              <w:ind w:left="20"/>
              <w:spacing w:after="0"/>
              <w:rPr>
                <w:sz w:val="20"/>
                <w:szCs w:val="20"/>
                <w:color w:val="auto"/>
              </w:rPr>
            </w:pPr>
            <w:r>
              <w:rPr>
                <w:rFonts w:ascii="Arial" w:cs="Arial" w:eastAsia="Arial" w:hAnsi="Arial"/>
                <w:sz w:val="16"/>
                <w:szCs w:val="16"/>
                <w:color w:val="auto"/>
              </w:rPr>
              <w:t>GAAP net income (loss)</w:t>
            </w:r>
          </w:p>
        </w:tc>
        <w:tc>
          <w:tcPr>
            <w:tcW w:w="260" w:type="dxa"/>
            <w:vAlign w:val="bottom"/>
            <w:shd w:val="clear" w:color="auto" w:fill="BFE4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BFE4FF"/>
          </w:tcPr>
          <w:p>
            <w:pPr>
              <w:jc w:val="right"/>
              <w:ind w:right="79"/>
              <w:spacing w:after="0"/>
              <w:rPr>
                <w:sz w:val="20"/>
                <w:szCs w:val="20"/>
                <w:color w:val="auto"/>
              </w:rPr>
            </w:pPr>
            <w:r>
              <w:rPr>
                <w:rFonts w:ascii="Arial" w:cs="Arial" w:eastAsia="Arial" w:hAnsi="Arial"/>
                <w:sz w:val="16"/>
                <w:szCs w:val="16"/>
                <w:color w:val="auto"/>
              </w:rPr>
              <w:t>(12,014)</w:t>
            </w:r>
          </w:p>
        </w:tc>
        <w:tc>
          <w:tcPr>
            <w:tcW w:w="120" w:type="dxa"/>
            <w:vAlign w:val="bottom"/>
            <w:shd w:val="clear" w:color="auto" w:fill="BFE4FF"/>
          </w:tcPr>
          <w:p>
            <w:pPr>
              <w:spacing w:after="0"/>
              <w:rPr>
                <w:sz w:val="18"/>
                <w:szCs w:val="18"/>
                <w:color w:val="auto"/>
              </w:rPr>
            </w:pPr>
          </w:p>
        </w:tc>
        <w:tc>
          <w:tcPr>
            <w:tcW w:w="500" w:type="dxa"/>
            <w:vAlign w:val="bottom"/>
            <w:shd w:val="clear" w:color="auto" w:fill="BFE4FF"/>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rPr>
              <w:t>456</w:t>
            </w:r>
          </w:p>
        </w:tc>
        <w:tc>
          <w:tcPr>
            <w:tcW w:w="0" w:type="dxa"/>
            <w:vAlign w:val="bottom"/>
          </w:tcPr>
          <w:p>
            <w:pPr>
              <w:spacing w:after="0"/>
              <w:rPr>
                <w:sz w:val="1"/>
                <w:szCs w:val="1"/>
                <w:color w:val="auto"/>
              </w:rPr>
            </w:pPr>
          </w:p>
        </w:tc>
      </w:tr>
      <w:tr>
        <w:trPr>
          <w:trHeight w:val="257"/>
        </w:trPr>
        <w:tc>
          <w:tcPr>
            <w:tcW w:w="4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BFE4FF"/>
          </w:tcPr>
          <w:p>
            <w:pPr>
              <w:ind w:left="20"/>
              <w:spacing w:after="0"/>
              <w:rPr>
                <w:sz w:val="20"/>
                <w:szCs w:val="20"/>
                <w:color w:val="auto"/>
              </w:rPr>
            </w:pPr>
            <w:r>
              <w:rPr>
                <w:rFonts w:ascii="Arial" w:cs="Arial" w:eastAsia="Arial" w:hAnsi="Arial"/>
                <w:sz w:val="16"/>
                <w:szCs w:val="16"/>
                <w:color w:val="auto"/>
              </w:rPr>
              <w:t>Provision (benefit) for income taxes</w:t>
            </w:r>
          </w:p>
        </w:tc>
        <w:tc>
          <w:tcPr>
            <w:tcW w:w="260" w:type="dxa"/>
            <w:vAlign w:val="bottom"/>
            <w:shd w:val="clear" w:color="auto" w:fill="BFE4FF"/>
          </w:tcPr>
          <w:p>
            <w:pPr>
              <w:spacing w:after="0"/>
              <w:rPr>
                <w:sz w:val="18"/>
                <w:szCs w:val="18"/>
                <w:color w:val="auto"/>
              </w:rPr>
            </w:pPr>
          </w:p>
        </w:tc>
        <w:tc>
          <w:tcPr>
            <w:tcW w:w="132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rPr>
              <w:t>107</w:t>
            </w:r>
          </w:p>
        </w:tc>
        <w:tc>
          <w:tcPr>
            <w:tcW w:w="120" w:type="dxa"/>
            <w:vAlign w:val="bottom"/>
            <w:shd w:val="clear" w:color="auto" w:fill="BFE4FF"/>
          </w:tcPr>
          <w:p>
            <w:pPr>
              <w:spacing w:after="0"/>
              <w:rPr>
                <w:sz w:val="18"/>
                <w:szCs w:val="18"/>
                <w:color w:val="auto"/>
              </w:rPr>
            </w:pPr>
          </w:p>
        </w:tc>
        <w:tc>
          <w:tcPr>
            <w:tcW w:w="500" w:type="dxa"/>
            <w:vAlign w:val="bottom"/>
            <w:shd w:val="clear" w:color="auto" w:fill="BFE4FF"/>
          </w:tcPr>
          <w:p>
            <w:pPr>
              <w:spacing w:after="0"/>
              <w:rPr>
                <w:sz w:val="18"/>
                <w:szCs w:val="18"/>
                <w:color w:val="auto"/>
              </w:rPr>
            </w:pPr>
          </w:p>
        </w:tc>
        <w:tc>
          <w:tcPr>
            <w:tcW w:w="1080" w:type="dxa"/>
            <w:vAlign w:val="bottom"/>
            <w:shd w:val="clear" w:color="auto" w:fill="BFE4FF"/>
          </w:tcPr>
          <w:p>
            <w:pPr>
              <w:jc w:val="right"/>
              <w:ind w:right="79"/>
              <w:spacing w:after="0"/>
              <w:rPr>
                <w:sz w:val="20"/>
                <w:szCs w:val="20"/>
                <w:color w:val="auto"/>
              </w:rPr>
            </w:pPr>
            <w:r>
              <w:rPr>
                <w:rFonts w:ascii="Arial" w:cs="Arial" w:eastAsia="Arial" w:hAnsi="Arial"/>
                <w:sz w:val="16"/>
                <w:szCs w:val="16"/>
                <w:color w:val="auto"/>
              </w:rPr>
              <w:t>(1,144)</w:t>
            </w:r>
          </w:p>
        </w:tc>
        <w:tc>
          <w:tcPr>
            <w:tcW w:w="0" w:type="dxa"/>
            <w:vAlign w:val="bottom"/>
          </w:tcPr>
          <w:p>
            <w:pPr>
              <w:spacing w:after="0"/>
              <w:rPr>
                <w:sz w:val="1"/>
                <w:szCs w:val="1"/>
                <w:color w:val="auto"/>
              </w:rPr>
            </w:pPr>
          </w:p>
        </w:tc>
      </w:tr>
      <w:tr>
        <w:trPr>
          <w:trHeight w:val="213"/>
        </w:trPr>
        <w:tc>
          <w:tcPr>
            <w:tcW w:w="448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4,368</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3,489</w:t>
            </w:r>
          </w:p>
        </w:tc>
        <w:tc>
          <w:tcPr>
            <w:tcW w:w="0" w:type="dxa"/>
            <w:vAlign w:val="bottom"/>
          </w:tcPr>
          <w:p>
            <w:pPr>
              <w:spacing w:after="0"/>
              <w:rPr>
                <w:sz w:val="1"/>
                <w:szCs w:val="1"/>
                <w:color w:val="auto"/>
              </w:rPr>
            </w:pPr>
          </w:p>
        </w:tc>
      </w:tr>
      <w:tr>
        <w:trPr>
          <w:trHeight w:val="246"/>
        </w:trPr>
        <w:tc>
          <w:tcPr>
            <w:tcW w:w="4480" w:type="dxa"/>
            <w:vAlign w:val="bottom"/>
            <w:shd w:val="clear" w:color="auto" w:fill="BFE4FF"/>
          </w:tcPr>
          <w:p>
            <w:pPr>
              <w:ind w:left="20"/>
              <w:spacing w:after="0"/>
              <w:rPr>
                <w:sz w:val="20"/>
                <w:szCs w:val="20"/>
                <w:color w:val="auto"/>
              </w:rPr>
            </w:pPr>
            <w:r>
              <w:rPr>
                <w:rFonts w:ascii="Arial" w:cs="Arial" w:eastAsia="Arial" w:hAnsi="Arial"/>
                <w:sz w:val="16"/>
                <w:szCs w:val="16"/>
                <w:color w:val="auto"/>
                <w:w w:val="98"/>
              </w:rPr>
              <w:t>Change in fair value of preferred stock derivatives and warrants</w:t>
            </w:r>
          </w:p>
        </w:tc>
        <w:tc>
          <w:tcPr>
            <w:tcW w:w="260" w:type="dxa"/>
            <w:vAlign w:val="bottom"/>
            <w:shd w:val="clear" w:color="auto" w:fill="BFE4FF"/>
          </w:tcPr>
          <w:p>
            <w:pPr>
              <w:spacing w:after="0"/>
              <w:rPr>
                <w:sz w:val="21"/>
                <w:szCs w:val="21"/>
                <w:color w:val="auto"/>
              </w:rPr>
            </w:pPr>
          </w:p>
        </w:tc>
        <w:tc>
          <w:tcPr>
            <w:tcW w:w="1320" w:type="dxa"/>
            <w:vAlign w:val="bottom"/>
            <w:shd w:val="clear" w:color="auto" w:fill="BFE4FF"/>
          </w:tcPr>
          <w:p>
            <w:pPr>
              <w:jc w:val="right"/>
              <w:ind w:right="79"/>
              <w:spacing w:after="0"/>
              <w:rPr>
                <w:sz w:val="20"/>
                <w:szCs w:val="20"/>
                <w:color w:val="auto"/>
              </w:rPr>
            </w:pPr>
            <w:r>
              <w:rPr>
                <w:rFonts w:ascii="Arial" w:cs="Arial" w:eastAsia="Arial" w:hAnsi="Arial"/>
                <w:sz w:val="16"/>
                <w:szCs w:val="16"/>
                <w:color w:val="auto"/>
              </w:rPr>
              <w:t>(407)</w:t>
            </w:r>
          </w:p>
        </w:tc>
        <w:tc>
          <w:tcPr>
            <w:tcW w:w="120" w:type="dxa"/>
            <w:vAlign w:val="bottom"/>
            <w:shd w:val="clear" w:color="auto" w:fill="BFE4FF"/>
          </w:tcPr>
          <w:p>
            <w:pPr>
              <w:spacing w:after="0"/>
              <w:rPr>
                <w:sz w:val="21"/>
                <w:szCs w:val="21"/>
                <w:color w:val="auto"/>
              </w:rPr>
            </w:pPr>
          </w:p>
        </w:tc>
        <w:tc>
          <w:tcPr>
            <w:tcW w:w="500" w:type="dxa"/>
            <w:vAlign w:val="bottom"/>
            <w:shd w:val="clear" w:color="auto" w:fill="BFE4FF"/>
          </w:tcPr>
          <w:p>
            <w:pPr>
              <w:spacing w:after="0"/>
              <w:rPr>
                <w:sz w:val="21"/>
                <w:szCs w:val="21"/>
                <w:color w:val="auto"/>
              </w:rPr>
            </w:pPr>
          </w:p>
        </w:tc>
        <w:tc>
          <w:tcPr>
            <w:tcW w:w="1080" w:type="dxa"/>
            <w:vAlign w:val="bottom"/>
            <w:shd w:val="clear" w:color="auto" w:fill="BFE4FF"/>
          </w:tcPr>
          <w:p>
            <w:pPr>
              <w:jc w:val="right"/>
              <w:ind w:right="79"/>
              <w:spacing w:after="0"/>
              <w:rPr>
                <w:sz w:val="20"/>
                <w:szCs w:val="20"/>
                <w:color w:val="auto"/>
              </w:rPr>
            </w:pPr>
            <w:r>
              <w:rPr>
                <w:rFonts w:ascii="Arial" w:cs="Arial" w:eastAsia="Arial" w:hAnsi="Arial"/>
                <w:sz w:val="16"/>
                <w:szCs w:val="16"/>
                <w:color w:val="auto"/>
              </w:rPr>
              <w:t>(2,403)</w:t>
            </w:r>
          </w:p>
        </w:tc>
        <w:tc>
          <w:tcPr>
            <w:tcW w:w="0" w:type="dxa"/>
            <w:vAlign w:val="bottom"/>
          </w:tcPr>
          <w:p>
            <w:pPr>
              <w:spacing w:after="0"/>
              <w:rPr>
                <w:sz w:val="1"/>
                <w:szCs w:val="1"/>
                <w:color w:val="auto"/>
              </w:rPr>
            </w:pPr>
          </w:p>
        </w:tc>
      </w:tr>
      <w:tr>
        <w:trPr>
          <w:trHeight w:val="213"/>
        </w:trPr>
        <w:tc>
          <w:tcPr>
            <w:tcW w:w="448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13,269</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11,335</w:t>
            </w:r>
          </w:p>
        </w:tc>
        <w:tc>
          <w:tcPr>
            <w:tcW w:w="0" w:type="dxa"/>
            <w:vAlign w:val="bottom"/>
          </w:tcPr>
          <w:p>
            <w:pPr>
              <w:spacing w:after="0"/>
              <w:rPr>
                <w:sz w:val="1"/>
                <w:szCs w:val="1"/>
                <w:color w:val="auto"/>
              </w:rPr>
            </w:pPr>
          </w:p>
        </w:tc>
      </w:tr>
      <w:tr>
        <w:trPr>
          <w:trHeight w:val="246"/>
        </w:trPr>
        <w:tc>
          <w:tcPr>
            <w:tcW w:w="4480" w:type="dxa"/>
            <w:vAlign w:val="bottom"/>
            <w:shd w:val="clear" w:color="auto" w:fill="BFE4FF"/>
          </w:tcPr>
          <w:p>
            <w:pPr>
              <w:ind w:left="20"/>
              <w:spacing w:after="0"/>
              <w:rPr>
                <w:sz w:val="20"/>
                <w:szCs w:val="20"/>
                <w:color w:val="auto"/>
              </w:rPr>
            </w:pPr>
            <w:r>
              <w:rPr>
                <w:rFonts w:ascii="Arial" w:cs="Arial" w:eastAsia="Arial" w:hAnsi="Arial"/>
                <w:sz w:val="16"/>
                <w:szCs w:val="16"/>
                <w:color w:val="auto"/>
              </w:rPr>
              <w:t>Acquisition and transition expense</w:t>
            </w:r>
          </w:p>
        </w:tc>
        <w:tc>
          <w:tcPr>
            <w:tcW w:w="260" w:type="dxa"/>
            <w:vAlign w:val="bottom"/>
            <w:shd w:val="clear" w:color="auto" w:fill="BFE4FF"/>
          </w:tcPr>
          <w:p>
            <w:pPr>
              <w:spacing w:after="0"/>
              <w:rPr>
                <w:sz w:val="21"/>
                <w:szCs w:val="21"/>
                <w:color w:val="auto"/>
              </w:rPr>
            </w:pPr>
          </w:p>
        </w:tc>
        <w:tc>
          <w:tcPr>
            <w:tcW w:w="132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rPr>
              <w:t>2,689</w:t>
            </w:r>
          </w:p>
        </w:tc>
        <w:tc>
          <w:tcPr>
            <w:tcW w:w="120" w:type="dxa"/>
            <w:vAlign w:val="bottom"/>
            <w:shd w:val="clear" w:color="auto" w:fill="BFE4FF"/>
          </w:tcPr>
          <w:p>
            <w:pPr>
              <w:spacing w:after="0"/>
              <w:rPr>
                <w:sz w:val="21"/>
                <w:szCs w:val="21"/>
                <w:color w:val="auto"/>
              </w:rPr>
            </w:pPr>
          </w:p>
        </w:tc>
        <w:tc>
          <w:tcPr>
            <w:tcW w:w="500" w:type="dxa"/>
            <w:vAlign w:val="bottom"/>
            <w:shd w:val="clear" w:color="auto" w:fill="BFE4FF"/>
          </w:tcPr>
          <w:p>
            <w:pPr>
              <w:spacing w:after="0"/>
              <w:rPr>
                <w:sz w:val="21"/>
                <w:szCs w:val="21"/>
                <w:color w:val="auto"/>
              </w:rPr>
            </w:pPr>
          </w:p>
        </w:tc>
        <w:tc>
          <w:tcPr>
            <w:tcW w:w="108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rPr>
              <w:t>1,030</w:t>
            </w:r>
          </w:p>
        </w:tc>
        <w:tc>
          <w:tcPr>
            <w:tcW w:w="0" w:type="dxa"/>
            <w:vAlign w:val="bottom"/>
          </w:tcPr>
          <w:p>
            <w:pPr>
              <w:spacing w:after="0"/>
              <w:rPr>
                <w:sz w:val="1"/>
                <w:szCs w:val="1"/>
                <w:color w:val="auto"/>
              </w:rPr>
            </w:pPr>
          </w:p>
        </w:tc>
      </w:tr>
      <w:tr>
        <w:trPr>
          <w:trHeight w:val="240"/>
        </w:trPr>
        <w:tc>
          <w:tcPr>
            <w:tcW w:w="4480" w:type="dxa"/>
            <w:vAlign w:val="bottom"/>
          </w:tcPr>
          <w:p>
            <w:pPr>
              <w:ind w:left="20"/>
              <w:spacing w:after="0"/>
              <w:rPr>
                <w:sz w:val="20"/>
                <w:szCs w:val="20"/>
                <w:color w:val="auto"/>
              </w:rPr>
            </w:pPr>
            <w:r>
              <w:rPr>
                <w:rFonts w:ascii="Arial" w:cs="Arial" w:eastAsia="Arial" w:hAnsi="Arial"/>
                <w:sz w:val="16"/>
                <w:szCs w:val="16"/>
                <w:color w:val="auto"/>
              </w:rPr>
              <w:t>Non-cash stock compensation</w:t>
            </w:r>
          </w:p>
        </w:tc>
        <w:tc>
          <w:tcPr>
            <w:tcW w:w="260" w:type="dxa"/>
            <w:vAlign w:val="bottom"/>
          </w:tcPr>
          <w:p>
            <w:pPr>
              <w:spacing w:after="0"/>
              <w:rPr>
                <w:sz w:val="20"/>
                <w:szCs w:val="20"/>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515</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635</w:t>
            </w:r>
          </w:p>
        </w:tc>
        <w:tc>
          <w:tcPr>
            <w:tcW w:w="0" w:type="dxa"/>
            <w:vAlign w:val="bottom"/>
          </w:tcPr>
          <w:p>
            <w:pPr>
              <w:spacing w:after="0"/>
              <w:rPr>
                <w:sz w:val="1"/>
                <w:szCs w:val="1"/>
                <w:color w:val="auto"/>
              </w:rPr>
            </w:pPr>
          </w:p>
        </w:tc>
      </w:tr>
      <w:tr>
        <w:trPr>
          <w:trHeight w:val="246"/>
        </w:trPr>
        <w:tc>
          <w:tcPr>
            <w:tcW w:w="4480" w:type="dxa"/>
            <w:vAlign w:val="bottom"/>
            <w:shd w:val="clear" w:color="auto" w:fill="BFE4FF"/>
          </w:tcPr>
          <w:p>
            <w:pPr>
              <w:ind w:left="20"/>
              <w:spacing w:after="0"/>
              <w:rPr>
                <w:sz w:val="20"/>
                <w:szCs w:val="20"/>
                <w:color w:val="auto"/>
              </w:rPr>
            </w:pPr>
            <w:r>
              <w:rPr>
                <w:rFonts w:ascii="Arial" w:cs="Arial" w:eastAsia="Arial" w:hAnsi="Arial"/>
                <w:sz w:val="16"/>
                <w:szCs w:val="16"/>
                <w:color w:val="auto"/>
                <w:w w:val="99"/>
              </w:rPr>
              <w:t>Non-cash foreign exchange (gain) loss on inter-company loans</w:t>
            </w:r>
          </w:p>
        </w:tc>
        <w:tc>
          <w:tcPr>
            <w:tcW w:w="260" w:type="dxa"/>
            <w:vAlign w:val="bottom"/>
            <w:shd w:val="clear" w:color="auto" w:fill="BFE4FF"/>
          </w:tcPr>
          <w:p>
            <w:pPr>
              <w:spacing w:after="0"/>
              <w:rPr>
                <w:sz w:val="21"/>
                <w:szCs w:val="21"/>
                <w:color w:val="auto"/>
              </w:rPr>
            </w:pPr>
          </w:p>
        </w:tc>
        <w:tc>
          <w:tcPr>
            <w:tcW w:w="1320" w:type="dxa"/>
            <w:vAlign w:val="bottom"/>
            <w:shd w:val="clear" w:color="auto" w:fill="BFE4FF"/>
          </w:tcPr>
          <w:p>
            <w:pPr>
              <w:jc w:val="right"/>
              <w:ind w:right="79"/>
              <w:spacing w:after="0"/>
              <w:rPr>
                <w:sz w:val="20"/>
                <w:szCs w:val="20"/>
                <w:color w:val="auto"/>
              </w:rPr>
            </w:pPr>
            <w:r>
              <w:rPr>
                <w:rFonts w:ascii="Arial" w:cs="Arial" w:eastAsia="Arial" w:hAnsi="Arial"/>
                <w:sz w:val="16"/>
                <w:szCs w:val="16"/>
                <w:color w:val="auto"/>
              </w:rPr>
              <w:t>(715)</w:t>
            </w:r>
          </w:p>
        </w:tc>
        <w:tc>
          <w:tcPr>
            <w:tcW w:w="120" w:type="dxa"/>
            <w:vAlign w:val="bottom"/>
            <w:shd w:val="clear" w:color="auto" w:fill="BFE4FF"/>
          </w:tcPr>
          <w:p>
            <w:pPr>
              <w:spacing w:after="0"/>
              <w:rPr>
                <w:sz w:val="21"/>
                <w:szCs w:val="21"/>
                <w:color w:val="auto"/>
              </w:rPr>
            </w:pPr>
          </w:p>
        </w:tc>
        <w:tc>
          <w:tcPr>
            <w:tcW w:w="500" w:type="dxa"/>
            <w:vAlign w:val="bottom"/>
            <w:shd w:val="clear" w:color="auto" w:fill="BFE4FF"/>
          </w:tcPr>
          <w:p>
            <w:pPr>
              <w:spacing w:after="0"/>
              <w:rPr>
                <w:sz w:val="21"/>
                <w:szCs w:val="21"/>
                <w:color w:val="auto"/>
              </w:rPr>
            </w:pPr>
          </w:p>
        </w:tc>
        <w:tc>
          <w:tcPr>
            <w:tcW w:w="1080" w:type="dxa"/>
            <w:vAlign w:val="bottom"/>
            <w:shd w:val="clear" w:color="auto" w:fill="BFE4FF"/>
          </w:tcPr>
          <w:p>
            <w:pPr>
              <w:jc w:val="right"/>
              <w:ind w:right="79"/>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13"/>
        </w:trPr>
        <w:tc>
          <w:tcPr>
            <w:tcW w:w="4480" w:type="dxa"/>
            <w:vAlign w:val="bottom"/>
          </w:tcPr>
          <w:p>
            <w:pPr>
              <w:ind w:left="20"/>
              <w:spacing w:after="0"/>
              <w:rPr>
                <w:sz w:val="20"/>
                <w:szCs w:val="20"/>
                <w:color w:val="auto"/>
              </w:rPr>
            </w:pPr>
            <w:r>
              <w:rPr>
                <w:rFonts w:ascii="Arial" w:cs="Arial" w:eastAsia="Arial" w:hAnsi="Arial"/>
                <w:sz w:val="16"/>
                <w:szCs w:val="16"/>
                <w:color w:val="auto"/>
              </w:rPr>
              <w:t>(Income) loss from discontinued operations, net of tax</w:t>
            </w:r>
          </w:p>
        </w:tc>
        <w:tc>
          <w:tcPr>
            <w:tcW w:w="26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(1,200)</w:t>
            </w:r>
          </w:p>
        </w:tc>
        <w:tc>
          <w:tcPr>
            <w:tcW w:w="0" w:type="dxa"/>
            <w:vAlign w:val="bottom"/>
          </w:tcPr>
          <w:p>
            <w:pPr>
              <w:spacing w:after="0"/>
              <w:rPr>
                <w:sz w:val="1"/>
                <w:szCs w:val="1"/>
                <w:color w:val="auto"/>
              </w:rPr>
            </w:pPr>
          </w:p>
        </w:tc>
      </w:tr>
      <w:tr>
        <w:trPr>
          <w:trHeight w:val="238"/>
        </w:trPr>
        <w:tc>
          <w:tcPr>
            <w:tcW w:w="4480" w:type="dxa"/>
            <w:vAlign w:val="bottom"/>
            <w:tcBorders>
              <w:top w:val="single" w:sz="8" w:color="BFE4FF"/>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Non-GAAP adjusted EBITDA (b)</w:t>
            </w:r>
          </w:p>
        </w:tc>
        <w:tc>
          <w:tcPr>
            <w:tcW w:w="260" w:type="dxa"/>
            <w:vAlign w:val="bottom"/>
            <w:tcBorders>
              <w:top w:val="single" w:sz="8" w:color="auto"/>
              <w:bottom w:val="single" w:sz="8" w:color="auto"/>
            </w:tcBorders>
            <w:shd w:val="clear" w:color="auto" w:fill="BFE4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BFE4FF"/>
          </w:tcPr>
          <w:p>
            <w:pPr>
              <w:jc w:val="right"/>
              <w:ind w:right="119"/>
              <w:spacing w:after="0"/>
              <w:rPr>
                <w:sz w:val="20"/>
                <w:szCs w:val="20"/>
                <w:color w:val="auto"/>
              </w:rPr>
            </w:pPr>
            <w:r>
              <w:rPr>
                <w:rFonts w:ascii="Arial" w:cs="Arial" w:eastAsia="Arial" w:hAnsi="Arial"/>
                <w:sz w:val="16"/>
                <w:szCs w:val="16"/>
                <w:color w:val="auto"/>
              </w:rPr>
              <w:t>7,812</w:t>
            </w:r>
          </w:p>
        </w:tc>
        <w:tc>
          <w:tcPr>
            <w:tcW w:w="120" w:type="dxa"/>
            <w:vAlign w:val="bottom"/>
            <w:tcBorders>
              <w:top w:val="single" w:sz="8" w:color="BFE4FF"/>
              <w:bottom w:val="single" w:sz="8" w:color="BFE4FF"/>
            </w:tcBorders>
            <w:shd w:val="clear" w:color="auto" w:fill="BFE4FF"/>
          </w:tcPr>
          <w:p>
            <w:pPr>
              <w:spacing w:after="0"/>
              <w:rPr>
                <w:sz w:val="20"/>
                <w:szCs w:val="20"/>
                <w:color w:val="auto"/>
              </w:rPr>
            </w:pPr>
          </w:p>
        </w:tc>
        <w:tc>
          <w:tcPr>
            <w:tcW w:w="500" w:type="dxa"/>
            <w:vAlign w:val="bottom"/>
            <w:tcBorders>
              <w:top w:val="single" w:sz="8" w:color="auto"/>
              <w:bottom w:val="single" w:sz="8" w:color="auto"/>
            </w:tcBorders>
            <w:shd w:val="clear" w:color="auto" w:fill="BFE4FF"/>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BFE4FF"/>
          </w:tcPr>
          <w:p>
            <w:pPr>
              <w:jc w:val="right"/>
              <w:ind w:right="119"/>
              <w:spacing w:after="0"/>
              <w:rPr>
                <w:sz w:val="20"/>
                <w:szCs w:val="20"/>
                <w:color w:val="auto"/>
              </w:rPr>
            </w:pPr>
            <w:r>
              <w:rPr>
                <w:rFonts w:ascii="Arial" w:cs="Arial" w:eastAsia="Arial" w:hAnsi="Arial"/>
                <w:sz w:val="16"/>
                <w:szCs w:val="16"/>
                <w:color w:val="auto"/>
              </w:rPr>
              <w:t>12,081</w:t>
            </w:r>
          </w:p>
        </w:tc>
        <w:tc>
          <w:tcPr>
            <w:tcW w:w="0" w:type="dxa"/>
            <w:vAlign w:val="bottom"/>
          </w:tcPr>
          <w:p>
            <w:pPr>
              <w:spacing w:after="0"/>
              <w:rPr>
                <w:sz w:val="1"/>
                <w:szCs w:val="1"/>
                <w:color w:val="auto"/>
              </w:rPr>
            </w:pPr>
          </w:p>
        </w:tc>
      </w:tr>
      <w:tr>
        <w:trPr>
          <w:trHeight w:val="20"/>
        </w:trPr>
        <w:tc>
          <w:tcPr>
            <w:tcW w:w="4480" w:type="dxa"/>
            <w:vAlign w:val="bottom"/>
            <w:tcBorders>
              <w:top w:val="single" w:sz="8" w:color="BFE4FF"/>
            </w:tcBorders>
          </w:tcPr>
          <w:p>
            <w:pPr>
              <w:spacing w:after="0" w:line="20" w:lineRule="exact"/>
              <w:rPr>
                <w:sz w:val="1"/>
                <w:szCs w:val="1"/>
                <w:color w:val="auto"/>
              </w:rPr>
            </w:pPr>
          </w:p>
        </w:tc>
        <w:tc>
          <w:tcPr>
            <w:tcW w:w="260" w:type="dxa"/>
            <w:vAlign w:val="bottom"/>
            <w:tcBorders>
              <w:top w:val="single" w:sz="8" w:color="BFE4FF"/>
              <w:bottom w:val="single" w:sz="8" w:color="auto"/>
            </w:tcBorders>
          </w:tcPr>
          <w:p>
            <w:pPr>
              <w:spacing w:after="0" w:line="20" w:lineRule="exact"/>
              <w:rPr>
                <w:sz w:val="1"/>
                <w:szCs w:val="1"/>
                <w:color w:val="auto"/>
              </w:rPr>
            </w:pPr>
          </w:p>
        </w:tc>
        <w:tc>
          <w:tcPr>
            <w:tcW w:w="1320" w:type="dxa"/>
            <w:vAlign w:val="bottom"/>
            <w:tcBorders>
              <w:top w:val="single" w:sz="8" w:color="BFE4FF"/>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500" w:type="dxa"/>
            <w:vAlign w:val="bottom"/>
            <w:tcBorders>
              <w:top w:val="single" w:sz="8" w:color="BFE4FF"/>
              <w:bottom w:val="single" w:sz="8" w:color="auto"/>
            </w:tcBorders>
          </w:tcPr>
          <w:p>
            <w:pPr>
              <w:spacing w:after="0" w:line="20" w:lineRule="exact"/>
              <w:rPr>
                <w:sz w:val="1"/>
                <w:szCs w:val="1"/>
                <w:color w:val="auto"/>
              </w:rPr>
            </w:pPr>
          </w:p>
        </w:tc>
        <w:tc>
          <w:tcPr>
            <w:tcW w:w="1080" w:type="dxa"/>
            <w:vAlign w:val="bottom"/>
            <w:tcBorders>
              <w:top w:val="single" w:sz="8" w:color="BFE4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BFE4FF"/>
          </w:tcPr>
          <w:p>
            <w:pPr>
              <w:ind w:left="20"/>
              <w:spacing w:after="0"/>
              <w:rPr>
                <w:sz w:val="20"/>
                <w:szCs w:val="20"/>
                <w:color w:val="auto"/>
              </w:rPr>
            </w:pPr>
            <w:r>
              <w:rPr>
                <w:rFonts w:ascii="Arial" w:cs="Arial" w:eastAsia="Arial" w:hAnsi="Arial"/>
                <w:sz w:val="16"/>
                <w:szCs w:val="16"/>
                <w:color w:val="auto"/>
              </w:rPr>
              <w:t>Non-GAAP adjusted EBITDA margin (2)</w:t>
            </w:r>
          </w:p>
        </w:tc>
        <w:tc>
          <w:tcPr>
            <w:tcW w:w="260" w:type="dxa"/>
            <w:vAlign w:val="bottom"/>
            <w:shd w:val="clear" w:color="auto" w:fill="BFE4FF"/>
          </w:tcPr>
          <w:p>
            <w:pPr>
              <w:spacing w:after="0"/>
              <w:rPr>
                <w:sz w:val="18"/>
                <w:szCs w:val="18"/>
                <w:color w:val="auto"/>
              </w:rPr>
            </w:pPr>
          </w:p>
        </w:tc>
        <w:tc>
          <w:tcPr>
            <w:tcW w:w="13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6.6 %</w:t>
            </w:r>
          </w:p>
        </w:tc>
        <w:tc>
          <w:tcPr>
            <w:tcW w:w="120" w:type="dxa"/>
            <w:vAlign w:val="bottom"/>
            <w:shd w:val="clear" w:color="auto" w:fill="BFE4FF"/>
          </w:tcPr>
          <w:p>
            <w:pPr>
              <w:spacing w:after="0"/>
              <w:rPr>
                <w:sz w:val="18"/>
                <w:szCs w:val="18"/>
                <w:color w:val="auto"/>
              </w:rPr>
            </w:pPr>
          </w:p>
        </w:tc>
        <w:tc>
          <w:tcPr>
            <w:tcW w:w="500" w:type="dxa"/>
            <w:vAlign w:val="bottom"/>
            <w:shd w:val="clear" w:color="auto" w:fill="BFE4FF"/>
          </w:tcPr>
          <w:p>
            <w:pPr>
              <w:spacing w:after="0"/>
              <w:rPr>
                <w:sz w:val="18"/>
                <w:szCs w:val="18"/>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10.9 %</w:t>
            </w:r>
          </w:p>
        </w:tc>
        <w:tc>
          <w:tcPr>
            <w:tcW w:w="0" w:type="dxa"/>
            <w:vAlign w:val="bottom"/>
          </w:tcPr>
          <w:p>
            <w:pPr>
              <w:spacing w:after="0"/>
              <w:rPr>
                <w:sz w:val="1"/>
                <w:szCs w:val="1"/>
                <w:color w:val="auto"/>
              </w:rPr>
            </w:pPr>
          </w:p>
        </w:tc>
      </w:tr>
      <w:tr>
        <w:trPr>
          <w:trHeight w:val="237"/>
        </w:trPr>
        <w:tc>
          <w:tcPr>
            <w:tcW w:w="4480" w:type="dxa"/>
            <w:vAlign w:val="bottom"/>
          </w:tcPr>
          <w:p>
            <w:pPr>
              <w:ind w:left="20"/>
              <w:spacing w:after="0"/>
              <w:rPr>
                <w:sz w:val="20"/>
                <w:szCs w:val="20"/>
                <w:color w:val="auto"/>
              </w:rPr>
            </w:pPr>
            <w:r>
              <w:rPr>
                <w:rFonts w:ascii="Arial" w:cs="Arial" w:eastAsia="Arial" w:hAnsi="Arial"/>
                <w:sz w:val="16"/>
                <w:szCs w:val="16"/>
                <w:color w:val="auto"/>
              </w:rPr>
              <w:t>GAAP net sales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118,012</w:t>
            </w:r>
          </w:p>
        </w:tc>
        <w:tc>
          <w:tcPr>
            <w:tcW w:w="120" w:type="dxa"/>
            <w:vAlign w:val="bottom"/>
          </w:tcPr>
          <w:p>
            <w:pPr>
              <w:spacing w:after="0"/>
              <w:rPr>
                <w:sz w:val="20"/>
                <w:szCs w:val="20"/>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110,379</w:t>
            </w: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820" w:hanging="312"/>
        <w:spacing w:after="0"/>
        <w:tabs>
          <w:tab w:leader="none" w:pos="820" w:val="left"/>
        </w:tabs>
        <w:numPr>
          <w:ilvl w:val="0"/>
          <w:numId w:val="6"/>
        </w:numPr>
        <w:rPr>
          <w:rFonts w:ascii="Arial" w:cs="Arial" w:eastAsia="Arial" w:hAnsi="Arial"/>
          <w:sz w:val="14"/>
          <w:szCs w:val="14"/>
          <w:color w:val="auto"/>
        </w:rPr>
      </w:pPr>
      <w:r>
        <w:rPr>
          <w:rFonts w:ascii="Arial" w:cs="Arial" w:eastAsia="Arial" w:hAnsi="Arial"/>
          <w:sz w:val="14"/>
          <w:szCs w:val="14"/>
          <w:color w:val="auto"/>
        </w:rPr>
        <w:t>Non-GAAP adjusted EBITDA margin = Non-GAAP adjusted EBITDA / GAAP net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180" w:type="dxa"/>
        <w:tblCellMar>
          <w:top w:w="0" w:type="dxa"/>
          <w:left w:w="0" w:type="dxa"/>
          <w:bottom w:w="0" w:type="dxa"/>
          <w:right w:w="0" w:type="dxa"/>
        </w:tblCellMar>
      </w:tblPr>
      <w:tr>
        <w:trPr>
          <w:trHeight w:val="210"/>
        </w:trPr>
        <w:tc>
          <w:tcPr>
            <w:tcW w:w="4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gridSpan w:val="4"/>
          </w:tcPr>
          <w:p>
            <w:pPr>
              <w:jc w:val="right"/>
              <w:ind w:right="179"/>
              <w:spacing w:after="0"/>
              <w:rPr>
                <w:sz w:val="20"/>
                <w:szCs w:val="20"/>
                <w:color w:val="auto"/>
              </w:rPr>
            </w:pPr>
            <w:r>
              <w:rPr>
                <w:rFonts w:ascii="Arial" w:cs="Arial" w:eastAsia="Arial" w:hAnsi="Arial"/>
                <w:sz w:val="16"/>
                <w:szCs w:val="16"/>
                <w:b w:val="1"/>
                <w:bCs w:val="1"/>
                <w:color w:val="auto"/>
                <w:w w:val="94"/>
              </w:rPr>
              <w:t>Twelve Months Ended December 31,</w:t>
            </w:r>
          </w:p>
        </w:tc>
        <w:tc>
          <w:tcPr>
            <w:tcW w:w="0" w:type="dxa"/>
            <w:vAlign w:val="bottom"/>
          </w:tcPr>
          <w:p>
            <w:pPr>
              <w:spacing w:after="0"/>
              <w:rPr>
                <w:sz w:val="1"/>
                <w:szCs w:val="1"/>
                <w:color w:val="auto"/>
              </w:rPr>
            </w:pPr>
          </w:p>
        </w:tc>
      </w:tr>
      <w:tr>
        <w:trPr>
          <w:trHeight w:val="114"/>
        </w:trPr>
        <w:tc>
          <w:tcPr>
            <w:tcW w:w="404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auto"/>
              </w:rPr>
              <w:t>(in thousands)</w:t>
            </w:r>
          </w:p>
        </w:tc>
        <w:tc>
          <w:tcPr>
            <w:tcW w:w="18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4040" w:type="dxa"/>
            <w:vAlign w:val="bottom"/>
            <w:tcBorders>
              <w:bottom w:val="single" w:sz="8" w:color="BFE4FF"/>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BFE4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2"/>
        </w:trPr>
        <w:tc>
          <w:tcPr>
            <w:tcW w:w="4040" w:type="dxa"/>
            <w:vAlign w:val="bottom"/>
            <w:shd w:val="clear" w:color="auto" w:fill="BFE4FF"/>
          </w:tcPr>
          <w:p>
            <w:pPr>
              <w:ind w:left="20"/>
              <w:spacing w:after="0"/>
              <w:rPr>
                <w:sz w:val="20"/>
                <w:szCs w:val="20"/>
                <w:color w:val="auto"/>
              </w:rPr>
            </w:pPr>
            <w:r>
              <w:rPr>
                <w:rFonts w:ascii="Arial" w:cs="Arial" w:eastAsia="Arial" w:hAnsi="Arial"/>
                <w:sz w:val="16"/>
                <w:szCs w:val="16"/>
                <w:color w:val="auto"/>
              </w:rPr>
              <w:t>GAAP net income (loss)</w:t>
            </w:r>
          </w:p>
        </w:tc>
        <w:tc>
          <w:tcPr>
            <w:tcW w:w="180" w:type="dxa"/>
            <w:vAlign w:val="bottom"/>
            <w:shd w:val="clear" w:color="auto" w:fill="BFE4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BFE4FF"/>
          </w:tcPr>
          <w:p>
            <w:pPr>
              <w:jc w:val="right"/>
              <w:ind w:right="79"/>
              <w:spacing w:after="0"/>
              <w:rPr>
                <w:sz w:val="20"/>
                <w:szCs w:val="20"/>
                <w:color w:val="auto"/>
              </w:rPr>
            </w:pPr>
            <w:r>
              <w:rPr>
                <w:rFonts w:ascii="Arial" w:cs="Arial" w:eastAsia="Arial" w:hAnsi="Arial"/>
                <w:sz w:val="16"/>
                <w:szCs w:val="16"/>
                <w:color w:val="auto"/>
              </w:rPr>
              <w:t>(26,098)</w:t>
            </w:r>
          </w:p>
        </w:tc>
        <w:tc>
          <w:tcPr>
            <w:tcW w:w="100" w:type="dxa"/>
            <w:vAlign w:val="bottom"/>
            <w:shd w:val="clear" w:color="auto" w:fill="BFE4FF"/>
          </w:tcPr>
          <w:p>
            <w:pPr>
              <w:spacing w:after="0"/>
              <w:rPr>
                <w:sz w:val="18"/>
                <w:szCs w:val="18"/>
                <w:color w:val="auto"/>
              </w:rPr>
            </w:pPr>
          </w:p>
        </w:tc>
        <w:tc>
          <w:tcPr>
            <w:tcW w:w="340" w:type="dxa"/>
            <w:vAlign w:val="bottom"/>
            <w:shd w:val="clear" w:color="auto" w:fill="BFE4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BFE4FF"/>
          </w:tcPr>
          <w:p>
            <w:pPr>
              <w:jc w:val="right"/>
              <w:ind w:right="99"/>
              <w:spacing w:after="0"/>
              <w:rPr>
                <w:sz w:val="20"/>
                <w:szCs w:val="20"/>
                <w:color w:val="auto"/>
              </w:rPr>
            </w:pPr>
            <w:r>
              <w:rPr>
                <w:rFonts w:ascii="Arial" w:cs="Arial" w:eastAsia="Arial" w:hAnsi="Arial"/>
                <w:sz w:val="16"/>
                <w:szCs w:val="16"/>
                <w:color w:val="auto"/>
              </w:rPr>
              <w:t>(13,225)</w:t>
            </w:r>
          </w:p>
        </w:tc>
        <w:tc>
          <w:tcPr>
            <w:tcW w:w="0" w:type="dxa"/>
            <w:vAlign w:val="bottom"/>
          </w:tcPr>
          <w:p>
            <w:pPr>
              <w:spacing w:after="0"/>
              <w:rPr>
                <w:sz w:val="1"/>
                <w:szCs w:val="1"/>
                <w:color w:val="auto"/>
              </w:rPr>
            </w:pPr>
          </w:p>
        </w:tc>
      </w:tr>
      <w:tr>
        <w:trPr>
          <w:trHeight w:val="256"/>
        </w:trPr>
        <w:tc>
          <w:tcPr>
            <w:tcW w:w="4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BFE4FF"/>
          </w:tcPr>
          <w:p>
            <w:pPr>
              <w:ind w:left="20"/>
              <w:spacing w:after="0"/>
              <w:rPr>
                <w:sz w:val="20"/>
                <w:szCs w:val="20"/>
                <w:color w:val="auto"/>
              </w:rPr>
            </w:pPr>
            <w:r>
              <w:rPr>
                <w:rFonts w:ascii="Arial" w:cs="Arial" w:eastAsia="Arial" w:hAnsi="Arial"/>
                <w:sz w:val="16"/>
                <w:szCs w:val="16"/>
                <w:color w:val="auto"/>
              </w:rPr>
              <w:t>Provision (benefit) for income taxes</w:t>
            </w:r>
          </w:p>
        </w:tc>
        <w:tc>
          <w:tcPr>
            <w:tcW w:w="180" w:type="dxa"/>
            <w:vAlign w:val="bottom"/>
            <w:shd w:val="clear" w:color="auto" w:fill="BFE4FF"/>
          </w:tcPr>
          <w:p>
            <w:pPr>
              <w:spacing w:after="0"/>
              <w:rPr>
                <w:sz w:val="18"/>
                <w:szCs w:val="18"/>
                <w:color w:val="auto"/>
              </w:rPr>
            </w:pPr>
          </w:p>
        </w:tc>
        <w:tc>
          <w:tcPr>
            <w:tcW w:w="1300" w:type="dxa"/>
            <w:vAlign w:val="bottom"/>
            <w:shd w:val="clear" w:color="auto" w:fill="BFE4FF"/>
          </w:tcPr>
          <w:p>
            <w:pPr>
              <w:jc w:val="right"/>
              <w:ind w:right="139"/>
              <w:spacing w:after="0"/>
              <w:rPr>
                <w:sz w:val="20"/>
                <w:szCs w:val="20"/>
                <w:color w:val="auto"/>
              </w:rPr>
            </w:pPr>
            <w:r>
              <w:rPr>
                <w:rFonts w:ascii="Arial" w:cs="Arial" w:eastAsia="Arial" w:hAnsi="Arial"/>
                <w:sz w:val="16"/>
                <w:szCs w:val="16"/>
                <w:color w:val="auto"/>
              </w:rPr>
              <w:t>1,621</w:t>
            </w:r>
          </w:p>
        </w:tc>
        <w:tc>
          <w:tcPr>
            <w:tcW w:w="100" w:type="dxa"/>
            <w:vAlign w:val="bottom"/>
            <w:shd w:val="clear" w:color="auto" w:fill="BFE4FF"/>
          </w:tcPr>
          <w:p>
            <w:pPr>
              <w:spacing w:after="0"/>
              <w:rPr>
                <w:sz w:val="18"/>
                <w:szCs w:val="18"/>
                <w:color w:val="auto"/>
              </w:rPr>
            </w:pPr>
          </w:p>
        </w:tc>
        <w:tc>
          <w:tcPr>
            <w:tcW w:w="340" w:type="dxa"/>
            <w:vAlign w:val="bottom"/>
            <w:shd w:val="clear" w:color="auto" w:fill="BFE4FF"/>
          </w:tcPr>
          <w:p>
            <w:pPr>
              <w:spacing w:after="0"/>
              <w:rPr>
                <w:sz w:val="18"/>
                <w:szCs w:val="18"/>
                <w:color w:val="auto"/>
              </w:rPr>
            </w:pPr>
          </w:p>
        </w:tc>
        <w:tc>
          <w:tcPr>
            <w:tcW w:w="1140" w:type="dxa"/>
            <w:vAlign w:val="bottom"/>
            <w:shd w:val="clear" w:color="auto" w:fill="BFE4FF"/>
          </w:tcPr>
          <w:p>
            <w:pPr>
              <w:jc w:val="right"/>
              <w:ind w:right="99"/>
              <w:spacing w:after="0"/>
              <w:rPr>
                <w:sz w:val="20"/>
                <w:szCs w:val="20"/>
                <w:color w:val="auto"/>
              </w:rPr>
            </w:pPr>
            <w:r>
              <w:rPr>
                <w:rFonts w:ascii="Arial" w:cs="Arial" w:eastAsia="Arial" w:hAnsi="Arial"/>
                <w:sz w:val="16"/>
                <w:szCs w:val="16"/>
                <w:color w:val="auto"/>
              </w:rPr>
              <w:t>(1,756)</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18"/>
                <w:szCs w:val="18"/>
                <w:color w:val="auto"/>
              </w:rPr>
            </w:pPr>
          </w:p>
        </w:tc>
        <w:tc>
          <w:tcPr>
            <w:tcW w:w="1300" w:type="dxa"/>
            <w:vAlign w:val="bottom"/>
          </w:tcPr>
          <w:p>
            <w:pPr>
              <w:jc w:val="right"/>
              <w:ind w:right="139"/>
              <w:spacing w:after="0"/>
              <w:rPr>
                <w:sz w:val="20"/>
                <w:szCs w:val="20"/>
                <w:color w:val="auto"/>
              </w:rPr>
            </w:pPr>
            <w:r>
              <w:rPr>
                <w:rFonts w:ascii="Arial" w:cs="Arial" w:eastAsia="Arial" w:hAnsi="Arial"/>
                <w:sz w:val="16"/>
                <w:szCs w:val="16"/>
                <w:color w:val="auto"/>
              </w:rPr>
              <w:t>15,041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12,664</w:t>
            </w:r>
          </w:p>
        </w:tc>
        <w:tc>
          <w:tcPr>
            <w:tcW w:w="0" w:type="dxa"/>
            <w:vAlign w:val="bottom"/>
          </w:tcPr>
          <w:p>
            <w:pPr>
              <w:spacing w:after="0"/>
              <w:rPr>
                <w:sz w:val="1"/>
                <w:szCs w:val="1"/>
                <w:color w:val="auto"/>
              </w:rPr>
            </w:pPr>
          </w:p>
        </w:tc>
      </w:tr>
      <w:tr>
        <w:trPr>
          <w:trHeight w:val="219"/>
        </w:trPr>
        <w:tc>
          <w:tcPr>
            <w:tcW w:w="4040" w:type="dxa"/>
            <w:vAlign w:val="bottom"/>
            <w:shd w:val="clear" w:color="auto" w:fill="BFE4FF"/>
          </w:tcPr>
          <w:p>
            <w:pPr>
              <w:ind w:left="20"/>
              <w:spacing w:after="0"/>
              <w:rPr>
                <w:sz w:val="20"/>
                <w:szCs w:val="20"/>
                <w:color w:val="auto"/>
              </w:rPr>
            </w:pPr>
            <w:r>
              <w:rPr>
                <w:rFonts w:ascii="Arial" w:cs="Arial" w:eastAsia="Arial" w:hAnsi="Arial"/>
                <w:sz w:val="16"/>
                <w:szCs w:val="16"/>
                <w:color w:val="auto"/>
              </w:rPr>
              <w:t>Write-off of unamortized debt issuance cost</w:t>
            </w:r>
          </w:p>
        </w:tc>
        <w:tc>
          <w:tcPr>
            <w:tcW w:w="180" w:type="dxa"/>
            <w:vAlign w:val="bottom"/>
            <w:shd w:val="clear" w:color="auto" w:fill="BFE4FF"/>
          </w:tcPr>
          <w:p>
            <w:pPr>
              <w:spacing w:after="0"/>
              <w:rPr>
                <w:sz w:val="19"/>
                <w:szCs w:val="19"/>
                <w:color w:val="auto"/>
              </w:rPr>
            </w:pPr>
          </w:p>
        </w:tc>
        <w:tc>
          <w:tcPr>
            <w:tcW w:w="1400" w:type="dxa"/>
            <w:vAlign w:val="bottom"/>
            <w:gridSpan w:val="2"/>
            <w:shd w:val="clear" w:color="auto" w:fill="BFE4FF"/>
          </w:tcPr>
          <w:p>
            <w:pPr>
              <w:jc w:val="right"/>
              <w:ind w:right="320"/>
              <w:spacing w:after="0"/>
              <w:rPr>
                <w:sz w:val="20"/>
                <w:szCs w:val="20"/>
                <w:color w:val="auto"/>
              </w:rPr>
            </w:pPr>
            <w:r>
              <w:rPr>
                <w:rFonts w:ascii="Arial" w:cs="Arial" w:eastAsia="Arial" w:hAnsi="Arial"/>
                <w:sz w:val="16"/>
                <w:szCs w:val="16"/>
                <w:color w:val="auto"/>
              </w:rPr>
              <w:t>—</w:t>
            </w:r>
          </w:p>
        </w:tc>
        <w:tc>
          <w:tcPr>
            <w:tcW w:w="340" w:type="dxa"/>
            <w:vAlign w:val="bottom"/>
            <w:shd w:val="clear" w:color="auto" w:fill="BFE4FF"/>
          </w:tcPr>
          <w:p>
            <w:pPr>
              <w:spacing w:after="0"/>
              <w:rPr>
                <w:sz w:val="19"/>
                <w:szCs w:val="19"/>
                <w:color w:val="auto"/>
              </w:rPr>
            </w:pPr>
          </w:p>
        </w:tc>
        <w:tc>
          <w:tcPr>
            <w:tcW w:w="1140" w:type="dxa"/>
            <w:vAlign w:val="bottom"/>
            <w:shd w:val="clear" w:color="auto" w:fill="BFE4FF"/>
          </w:tcPr>
          <w:p>
            <w:pPr>
              <w:jc w:val="right"/>
              <w:ind w:right="139"/>
              <w:spacing w:after="0"/>
              <w:rPr>
                <w:sz w:val="20"/>
                <w:szCs w:val="20"/>
                <w:color w:val="auto"/>
              </w:rPr>
            </w:pPr>
            <w:r>
              <w:rPr>
                <w:rFonts w:ascii="Arial" w:cs="Arial" w:eastAsia="Arial" w:hAnsi="Arial"/>
                <w:sz w:val="16"/>
                <w:szCs w:val="16"/>
                <w:color w:val="auto"/>
              </w:rPr>
              <w:t>2,390</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Pre-tax derivative loss, net of cash settlements</w:t>
            </w:r>
          </w:p>
        </w:tc>
        <w:tc>
          <w:tcPr>
            <w:tcW w:w="18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3,750</w:t>
            </w:r>
          </w:p>
        </w:tc>
        <w:tc>
          <w:tcPr>
            <w:tcW w:w="0" w:type="dxa"/>
            <w:vAlign w:val="bottom"/>
          </w:tcPr>
          <w:p>
            <w:pPr>
              <w:spacing w:after="0"/>
              <w:rPr>
                <w:sz w:val="1"/>
                <w:szCs w:val="1"/>
                <w:color w:val="auto"/>
              </w:rPr>
            </w:pPr>
          </w:p>
        </w:tc>
      </w:tr>
      <w:tr>
        <w:trPr>
          <w:trHeight w:val="223"/>
        </w:trPr>
        <w:tc>
          <w:tcPr>
            <w:tcW w:w="4040" w:type="dxa"/>
            <w:vAlign w:val="bottom"/>
            <w:shd w:val="clear" w:color="auto" w:fill="BFE4FF"/>
          </w:tcPr>
          <w:p>
            <w:pPr>
              <w:ind w:left="20"/>
              <w:spacing w:after="0"/>
              <w:rPr>
                <w:sz w:val="20"/>
                <w:szCs w:val="20"/>
                <w:color w:val="auto"/>
              </w:rPr>
            </w:pPr>
            <w:r>
              <w:rPr>
                <w:rFonts w:ascii="Arial" w:cs="Arial" w:eastAsia="Arial" w:hAnsi="Arial"/>
                <w:sz w:val="16"/>
                <w:szCs w:val="16"/>
                <w:color w:val="auto"/>
              </w:rPr>
              <w:t>Change in fair value of preferred stock derivatives and</w:t>
            </w:r>
          </w:p>
        </w:tc>
        <w:tc>
          <w:tcPr>
            <w:tcW w:w="180" w:type="dxa"/>
            <w:vAlign w:val="bottom"/>
            <w:shd w:val="clear" w:color="auto" w:fill="BFE4FF"/>
          </w:tcPr>
          <w:p>
            <w:pPr>
              <w:spacing w:after="0"/>
              <w:rPr>
                <w:sz w:val="19"/>
                <w:szCs w:val="19"/>
                <w:color w:val="auto"/>
              </w:rPr>
            </w:pPr>
          </w:p>
        </w:tc>
        <w:tc>
          <w:tcPr>
            <w:tcW w:w="130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140" w:type="dxa"/>
            <w:vAlign w:val="bottom"/>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40" w:type="dxa"/>
            <w:vAlign w:val="bottom"/>
            <w:shd w:val="clear" w:color="auto" w:fill="BFE4FF"/>
          </w:tcPr>
          <w:p>
            <w:pPr>
              <w:ind w:left="20"/>
              <w:spacing w:after="0"/>
              <w:rPr>
                <w:sz w:val="20"/>
                <w:szCs w:val="20"/>
                <w:color w:val="auto"/>
              </w:rPr>
            </w:pPr>
            <w:r>
              <w:rPr>
                <w:rFonts w:ascii="Arial" w:cs="Arial" w:eastAsia="Arial" w:hAnsi="Arial"/>
                <w:sz w:val="16"/>
                <w:szCs w:val="16"/>
                <w:color w:val="auto"/>
              </w:rPr>
              <w:t>warrants</w:t>
            </w:r>
          </w:p>
        </w:tc>
        <w:tc>
          <w:tcPr>
            <w:tcW w:w="180" w:type="dxa"/>
            <w:vAlign w:val="bottom"/>
            <w:shd w:val="clear" w:color="auto" w:fill="BFE4FF"/>
          </w:tcPr>
          <w:p>
            <w:pPr>
              <w:spacing w:after="0"/>
              <w:rPr>
                <w:sz w:val="19"/>
                <w:szCs w:val="19"/>
                <w:color w:val="auto"/>
              </w:rPr>
            </w:pPr>
          </w:p>
        </w:tc>
        <w:tc>
          <w:tcPr>
            <w:tcW w:w="1300" w:type="dxa"/>
            <w:vAlign w:val="bottom"/>
            <w:shd w:val="clear" w:color="auto" w:fill="BFE4FF"/>
          </w:tcPr>
          <w:p>
            <w:pPr>
              <w:jc w:val="right"/>
              <w:ind w:right="79"/>
              <w:spacing w:after="0"/>
              <w:rPr>
                <w:sz w:val="20"/>
                <w:szCs w:val="20"/>
                <w:color w:val="auto"/>
              </w:rPr>
            </w:pPr>
            <w:r>
              <w:rPr>
                <w:rFonts w:ascii="Arial" w:cs="Arial" w:eastAsia="Arial" w:hAnsi="Arial"/>
                <w:sz w:val="16"/>
                <w:szCs w:val="16"/>
                <w:color w:val="auto"/>
              </w:rPr>
              <w:t>(5,267)</w:t>
            </w:r>
          </w:p>
        </w:tc>
        <w:tc>
          <w:tcPr>
            <w:tcW w:w="10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140" w:type="dxa"/>
            <w:vAlign w:val="bottom"/>
            <w:shd w:val="clear" w:color="auto" w:fill="BFE4FF"/>
          </w:tcPr>
          <w:p>
            <w:pPr>
              <w:jc w:val="right"/>
              <w:ind w:right="99"/>
              <w:spacing w:after="0"/>
              <w:rPr>
                <w:sz w:val="20"/>
                <w:szCs w:val="20"/>
                <w:color w:val="auto"/>
              </w:rPr>
            </w:pPr>
            <w:r>
              <w:rPr>
                <w:rFonts w:ascii="Arial" w:cs="Arial" w:eastAsia="Arial" w:hAnsi="Arial"/>
                <w:sz w:val="16"/>
                <w:szCs w:val="16"/>
                <w:color w:val="auto"/>
              </w:rPr>
              <w:t>(7,009)</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8"/>
                <w:szCs w:val="18"/>
                <w:color w:val="auto"/>
              </w:rPr>
            </w:pPr>
          </w:p>
        </w:tc>
        <w:tc>
          <w:tcPr>
            <w:tcW w:w="1300" w:type="dxa"/>
            <w:vAlign w:val="bottom"/>
          </w:tcPr>
          <w:p>
            <w:pPr>
              <w:jc w:val="right"/>
              <w:ind w:right="139"/>
              <w:spacing w:after="0"/>
              <w:rPr>
                <w:sz w:val="20"/>
                <w:szCs w:val="20"/>
                <w:color w:val="auto"/>
              </w:rPr>
            </w:pPr>
            <w:r>
              <w:rPr>
                <w:rFonts w:ascii="Arial" w:cs="Arial" w:eastAsia="Arial" w:hAnsi="Arial"/>
                <w:sz w:val="16"/>
                <w:szCs w:val="16"/>
                <w:color w:val="auto"/>
              </w:rPr>
              <w:t>47,231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46,195</w:t>
            </w:r>
          </w:p>
        </w:tc>
        <w:tc>
          <w:tcPr>
            <w:tcW w:w="0" w:type="dxa"/>
            <w:vAlign w:val="bottom"/>
          </w:tcPr>
          <w:p>
            <w:pPr>
              <w:spacing w:after="0"/>
              <w:rPr>
                <w:sz w:val="1"/>
                <w:szCs w:val="1"/>
                <w:color w:val="auto"/>
              </w:rPr>
            </w:pPr>
          </w:p>
        </w:tc>
      </w:tr>
      <w:tr>
        <w:trPr>
          <w:trHeight w:val="246"/>
        </w:trPr>
        <w:tc>
          <w:tcPr>
            <w:tcW w:w="4040" w:type="dxa"/>
            <w:vAlign w:val="bottom"/>
            <w:shd w:val="clear" w:color="auto" w:fill="BFE4FF"/>
          </w:tcPr>
          <w:p>
            <w:pPr>
              <w:ind w:left="20"/>
              <w:spacing w:after="0"/>
              <w:rPr>
                <w:sz w:val="20"/>
                <w:szCs w:val="20"/>
                <w:color w:val="auto"/>
              </w:rPr>
            </w:pPr>
            <w:r>
              <w:rPr>
                <w:rFonts w:ascii="Arial" w:cs="Arial" w:eastAsia="Arial" w:hAnsi="Arial"/>
                <w:sz w:val="16"/>
                <w:szCs w:val="16"/>
                <w:color w:val="auto"/>
              </w:rPr>
              <w:t>Acquisition and transition expense</w:t>
            </w:r>
          </w:p>
        </w:tc>
        <w:tc>
          <w:tcPr>
            <w:tcW w:w="180" w:type="dxa"/>
            <w:vAlign w:val="bottom"/>
            <w:shd w:val="clear" w:color="auto" w:fill="BFE4FF"/>
          </w:tcPr>
          <w:p>
            <w:pPr>
              <w:spacing w:after="0"/>
              <w:rPr>
                <w:sz w:val="21"/>
                <w:szCs w:val="21"/>
                <w:color w:val="auto"/>
              </w:rPr>
            </w:pPr>
          </w:p>
        </w:tc>
        <w:tc>
          <w:tcPr>
            <w:tcW w:w="1300" w:type="dxa"/>
            <w:vAlign w:val="bottom"/>
            <w:shd w:val="clear" w:color="auto" w:fill="BFE4FF"/>
          </w:tcPr>
          <w:p>
            <w:pPr>
              <w:jc w:val="right"/>
              <w:ind w:right="139"/>
              <w:spacing w:after="0"/>
              <w:rPr>
                <w:sz w:val="20"/>
                <w:szCs w:val="20"/>
                <w:color w:val="auto"/>
              </w:rPr>
            </w:pPr>
            <w:r>
              <w:rPr>
                <w:rFonts w:ascii="Arial" w:cs="Arial" w:eastAsia="Arial" w:hAnsi="Arial"/>
                <w:sz w:val="16"/>
                <w:szCs w:val="16"/>
                <w:color w:val="auto"/>
              </w:rPr>
              <w:t>6,973</w:t>
            </w:r>
          </w:p>
        </w:tc>
        <w:tc>
          <w:tcPr>
            <w:tcW w:w="100" w:type="dxa"/>
            <w:vAlign w:val="bottom"/>
            <w:shd w:val="clear" w:color="auto" w:fill="BFE4FF"/>
          </w:tcPr>
          <w:p>
            <w:pPr>
              <w:spacing w:after="0"/>
              <w:rPr>
                <w:sz w:val="21"/>
                <w:szCs w:val="21"/>
                <w:color w:val="auto"/>
              </w:rPr>
            </w:pPr>
          </w:p>
        </w:tc>
        <w:tc>
          <w:tcPr>
            <w:tcW w:w="340" w:type="dxa"/>
            <w:vAlign w:val="bottom"/>
            <w:shd w:val="clear" w:color="auto" w:fill="BFE4FF"/>
          </w:tcPr>
          <w:p>
            <w:pPr>
              <w:spacing w:after="0"/>
              <w:rPr>
                <w:sz w:val="21"/>
                <w:szCs w:val="21"/>
                <w:color w:val="auto"/>
              </w:rPr>
            </w:pPr>
          </w:p>
        </w:tc>
        <w:tc>
          <w:tcPr>
            <w:tcW w:w="1140" w:type="dxa"/>
            <w:vAlign w:val="bottom"/>
            <w:shd w:val="clear" w:color="auto" w:fill="BFE4FF"/>
          </w:tcPr>
          <w:p>
            <w:pPr>
              <w:jc w:val="right"/>
              <w:ind w:right="139"/>
              <w:spacing w:after="0"/>
              <w:rPr>
                <w:sz w:val="20"/>
                <w:szCs w:val="20"/>
                <w:color w:val="auto"/>
              </w:rPr>
            </w:pPr>
            <w:r>
              <w:rPr>
                <w:rFonts w:ascii="Arial" w:cs="Arial" w:eastAsia="Arial" w:hAnsi="Arial"/>
                <w:sz w:val="16"/>
                <w:szCs w:val="16"/>
                <w:color w:val="auto"/>
              </w:rPr>
              <w:t>4,802</w:t>
            </w:r>
          </w:p>
        </w:tc>
        <w:tc>
          <w:tcPr>
            <w:tcW w:w="0" w:type="dxa"/>
            <w:vAlign w:val="bottom"/>
          </w:tcPr>
          <w:p>
            <w:pPr>
              <w:spacing w:after="0"/>
              <w:rPr>
                <w:sz w:val="1"/>
                <w:szCs w:val="1"/>
                <w:color w:val="auto"/>
              </w:rPr>
            </w:pPr>
          </w:p>
        </w:tc>
      </w:tr>
      <w:tr>
        <w:trPr>
          <w:trHeight w:val="240"/>
        </w:trPr>
        <w:tc>
          <w:tcPr>
            <w:tcW w:w="4040" w:type="dxa"/>
            <w:vAlign w:val="bottom"/>
          </w:tcPr>
          <w:p>
            <w:pPr>
              <w:ind w:left="20"/>
              <w:spacing w:after="0"/>
              <w:rPr>
                <w:sz w:val="20"/>
                <w:szCs w:val="20"/>
                <w:color w:val="auto"/>
              </w:rPr>
            </w:pPr>
            <w:r>
              <w:rPr>
                <w:rFonts w:ascii="Arial" w:cs="Arial" w:eastAsia="Arial" w:hAnsi="Arial"/>
                <w:sz w:val="16"/>
                <w:szCs w:val="16"/>
                <w:color w:val="auto"/>
              </w:rPr>
              <w:t>Non-cash stock compensation</w:t>
            </w:r>
          </w:p>
        </w:tc>
        <w:tc>
          <w:tcPr>
            <w:tcW w:w="180" w:type="dxa"/>
            <w:vAlign w:val="bottom"/>
          </w:tcPr>
          <w:p>
            <w:pPr>
              <w:spacing w:after="0"/>
              <w:rPr>
                <w:sz w:val="20"/>
                <w:szCs w:val="20"/>
                <w:color w:val="auto"/>
              </w:rPr>
            </w:pPr>
          </w:p>
        </w:tc>
        <w:tc>
          <w:tcPr>
            <w:tcW w:w="1300" w:type="dxa"/>
            <w:vAlign w:val="bottom"/>
          </w:tcPr>
          <w:p>
            <w:pPr>
              <w:jc w:val="right"/>
              <w:ind w:right="139"/>
              <w:spacing w:after="0"/>
              <w:rPr>
                <w:sz w:val="20"/>
                <w:szCs w:val="20"/>
                <w:color w:val="auto"/>
              </w:rPr>
            </w:pPr>
            <w:r>
              <w:rPr>
                <w:rFonts w:ascii="Arial" w:cs="Arial" w:eastAsia="Arial" w:hAnsi="Arial"/>
                <w:sz w:val="16"/>
                <w:szCs w:val="16"/>
                <w:color w:val="auto"/>
              </w:rPr>
              <w:t>4,378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3,529</w:t>
            </w:r>
          </w:p>
        </w:tc>
        <w:tc>
          <w:tcPr>
            <w:tcW w:w="0" w:type="dxa"/>
            <w:vAlign w:val="bottom"/>
          </w:tcPr>
          <w:p>
            <w:pPr>
              <w:spacing w:after="0"/>
              <w:rPr>
                <w:sz w:val="1"/>
                <w:szCs w:val="1"/>
                <w:color w:val="auto"/>
              </w:rPr>
            </w:pPr>
          </w:p>
        </w:tc>
      </w:tr>
      <w:tr>
        <w:trPr>
          <w:trHeight w:val="223"/>
        </w:trPr>
        <w:tc>
          <w:tcPr>
            <w:tcW w:w="4040" w:type="dxa"/>
            <w:vAlign w:val="bottom"/>
            <w:shd w:val="clear" w:color="auto" w:fill="BFE4FF"/>
          </w:tcPr>
          <w:p>
            <w:pPr>
              <w:ind w:left="20"/>
              <w:spacing w:after="0"/>
              <w:rPr>
                <w:sz w:val="20"/>
                <w:szCs w:val="20"/>
                <w:color w:val="auto"/>
              </w:rPr>
            </w:pPr>
            <w:r>
              <w:rPr>
                <w:rFonts w:ascii="Arial" w:cs="Arial" w:eastAsia="Arial" w:hAnsi="Arial"/>
                <w:sz w:val="16"/>
                <w:szCs w:val="16"/>
                <w:color w:val="auto"/>
                <w:w w:val="99"/>
              </w:rPr>
              <w:t>Non-cash foreign exchange (gain) loss on inter-company</w:t>
            </w:r>
          </w:p>
        </w:tc>
        <w:tc>
          <w:tcPr>
            <w:tcW w:w="180" w:type="dxa"/>
            <w:vAlign w:val="bottom"/>
            <w:shd w:val="clear" w:color="auto" w:fill="BFE4FF"/>
          </w:tcPr>
          <w:p>
            <w:pPr>
              <w:spacing w:after="0"/>
              <w:rPr>
                <w:sz w:val="19"/>
                <w:szCs w:val="19"/>
                <w:color w:val="auto"/>
              </w:rPr>
            </w:pPr>
          </w:p>
        </w:tc>
        <w:tc>
          <w:tcPr>
            <w:tcW w:w="130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140" w:type="dxa"/>
            <w:vAlign w:val="bottom"/>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40" w:type="dxa"/>
            <w:vAlign w:val="bottom"/>
            <w:shd w:val="clear" w:color="auto" w:fill="BFE4FF"/>
          </w:tcPr>
          <w:p>
            <w:pPr>
              <w:ind w:left="20"/>
              <w:spacing w:after="0"/>
              <w:rPr>
                <w:sz w:val="20"/>
                <w:szCs w:val="20"/>
                <w:color w:val="auto"/>
              </w:rPr>
            </w:pPr>
            <w:r>
              <w:rPr>
                <w:rFonts w:ascii="Arial" w:cs="Arial" w:eastAsia="Arial" w:hAnsi="Arial"/>
                <w:sz w:val="16"/>
                <w:szCs w:val="16"/>
                <w:color w:val="auto"/>
              </w:rPr>
              <w:t>loans</w:t>
            </w:r>
          </w:p>
        </w:tc>
        <w:tc>
          <w:tcPr>
            <w:tcW w:w="180" w:type="dxa"/>
            <w:vAlign w:val="bottom"/>
            <w:shd w:val="clear" w:color="auto" w:fill="BFE4FF"/>
          </w:tcPr>
          <w:p>
            <w:pPr>
              <w:spacing w:after="0"/>
              <w:rPr>
                <w:sz w:val="19"/>
                <w:szCs w:val="19"/>
                <w:color w:val="auto"/>
              </w:rPr>
            </w:pPr>
          </w:p>
        </w:tc>
        <w:tc>
          <w:tcPr>
            <w:tcW w:w="1300" w:type="dxa"/>
            <w:vAlign w:val="bottom"/>
            <w:shd w:val="clear" w:color="auto" w:fill="BFE4FF"/>
          </w:tcPr>
          <w:p>
            <w:pPr>
              <w:jc w:val="right"/>
              <w:ind w:right="79"/>
              <w:spacing w:after="0"/>
              <w:rPr>
                <w:sz w:val="20"/>
                <w:szCs w:val="20"/>
                <w:color w:val="auto"/>
              </w:rPr>
            </w:pPr>
            <w:r>
              <w:rPr>
                <w:rFonts w:ascii="Arial" w:cs="Arial" w:eastAsia="Arial" w:hAnsi="Arial"/>
                <w:sz w:val="16"/>
                <w:szCs w:val="16"/>
                <w:color w:val="auto"/>
              </w:rPr>
              <w:t>(212)</w:t>
            </w:r>
          </w:p>
        </w:tc>
        <w:tc>
          <w:tcPr>
            <w:tcW w:w="10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140" w:type="dxa"/>
            <w:vAlign w:val="bottom"/>
            <w:shd w:val="clear" w:color="auto" w:fill="BFE4FF"/>
          </w:tcPr>
          <w:p>
            <w:pPr>
              <w:jc w:val="right"/>
              <w:ind w:right="139"/>
              <w:spacing w:after="0"/>
              <w:rPr>
                <w:sz w:val="20"/>
                <w:szCs w:val="20"/>
                <w:color w:val="auto"/>
              </w:rPr>
            </w:pPr>
            <w:r>
              <w:rPr>
                <w:rFonts w:ascii="Arial" w:cs="Arial" w:eastAsia="Arial" w:hAnsi="Arial"/>
                <w:sz w:val="16"/>
                <w:szCs w:val="16"/>
                <w:color w:val="auto"/>
              </w:rPr>
              <w:t>474</w:t>
            </w:r>
          </w:p>
        </w:tc>
        <w:tc>
          <w:tcPr>
            <w:tcW w:w="0" w:type="dxa"/>
            <w:vAlign w:val="bottom"/>
          </w:tcPr>
          <w:p>
            <w:pPr>
              <w:spacing w:after="0"/>
              <w:rPr>
                <w:sz w:val="1"/>
                <w:szCs w:val="1"/>
                <w:color w:val="auto"/>
              </w:rPr>
            </w:pPr>
          </w:p>
        </w:tc>
      </w:tr>
      <w:tr>
        <w:trPr>
          <w:trHeight w:val="240"/>
        </w:trPr>
        <w:tc>
          <w:tcPr>
            <w:tcW w:w="4040" w:type="dxa"/>
            <w:vAlign w:val="bottom"/>
          </w:tcPr>
          <w:p>
            <w:pPr>
              <w:ind w:left="20"/>
              <w:spacing w:after="0"/>
              <w:rPr>
                <w:sz w:val="20"/>
                <w:szCs w:val="20"/>
                <w:color w:val="auto"/>
              </w:rPr>
            </w:pPr>
            <w:r>
              <w:rPr>
                <w:rFonts w:ascii="Arial" w:cs="Arial" w:eastAsia="Arial" w:hAnsi="Arial"/>
                <w:sz w:val="16"/>
                <w:szCs w:val="16"/>
                <w:color w:val="auto"/>
                <w:w w:val="92"/>
              </w:rPr>
              <w:t>Costs related to divested businesses and litigation settlement</w:t>
            </w:r>
          </w:p>
        </w:tc>
        <w:tc>
          <w:tcPr>
            <w:tcW w:w="180" w:type="dxa"/>
            <w:vAlign w:val="bottom"/>
          </w:tcPr>
          <w:p>
            <w:pPr>
              <w:spacing w:after="0"/>
              <w:rPr>
                <w:sz w:val="20"/>
                <w:szCs w:val="20"/>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1,500</w:t>
            </w:r>
          </w:p>
        </w:tc>
        <w:tc>
          <w:tcPr>
            <w:tcW w:w="0" w:type="dxa"/>
            <w:vAlign w:val="bottom"/>
          </w:tcPr>
          <w:p>
            <w:pPr>
              <w:spacing w:after="0"/>
              <w:rPr>
                <w:sz w:val="1"/>
                <w:szCs w:val="1"/>
                <w:color w:val="auto"/>
              </w:rPr>
            </w:pPr>
          </w:p>
        </w:tc>
      </w:tr>
      <w:tr>
        <w:trPr>
          <w:trHeight w:val="219"/>
        </w:trPr>
        <w:tc>
          <w:tcPr>
            <w:tcW w:w="4040" w:type="dxa"/>
            <w:vAlign w:val="bottom"/>
            <w:shd w:val="clear" w:color="auto" w:fill="BFE4FF"/>
          </w:tcPr>
          <w:p>
            <w:pPr>
              <w:ind w:left="20"/>
              <w:spacing w:after="0"/>
              <w:rPr>
                <w:sz w:val="20"/>
                <w:szCs w:val="20"/>
                <w:color w:val="auto"/>
              </w:rPr>
            </w:pPr>
            <w:r>
              <w:rPr>
                <w:rFonts w:ascii="Arial" w:cs="Arial" w:eastAsia="Arial" w:hAnsi="Arial"/>
                <w:sz w:val="16"/>
                <w:szCs w:val="16"/>
                <w:color w:val="auto"/>
              </w:rPr>
              <w:t>(Income) loss from discontinued operations, net of tax</w:t>
            </w:r>
          </w:p>
        </w:tc>
        <w:tc>
          <w:tcPr>
            <w:tcW w:w="180" w:type="dxa"/>
            <w:vAlign w:val="bottom"/>
            <w:shd w:val="clear" w:color="auto" w:fill="BFE4FF"/>
          </w:tcPr>
          <w:p>
            <w:pPr>
              <w:spacing w:after="0"/>
              <w:rPr>
                <w:sz w:val="19"/>
                <w:szCs w:val="19"/>
                <w:color w:val="auto"/>
              </w:rPr>
            </w:pPr>
          </w:p>
        </w:tc>
        <w:tc>
          <w:tcPr>
            <w:tcW w:w="1400" w:type="dxa"/>
            <w:vAlign w:val="bottom"/>
            <w:gridSpan w:val="2"/>
            <w:shd w:val="clear" w:color="auto" w:fill="BFE4FF"/>
          </w:tcPr>
          <w:p>
            <w:pPr>
              <w:jc w:val="right"/>
              <w:ind w:right="320"/>
              <w:spacing w:after="0"/>
              <w:rPr>
                <w:sz w:val="20"/>
                <w:szCs w:val="20"/>
                <w:color w:val="auto"/>
              </w:rPr>
            </w:pPr>
            <w:r>
              <w:rPr>
                <w:rFonts w:ascii="Arial" w:cs="Arial" w:eastAsia="Arial" w:hAnsi="Arial"/>
                <w:sz w:val="16"/>
                <w:szCs w:val="16"/>
                <w:color w:val="auto"/>
              </w:rPr>
              <w:t>—</w:t>
            </w:r>
          </w:p>
        </w:tc>
        <w:tc>
          <w:tcPr>
            <w:tcW w:w="340" w:type="dxa"/>
            <w:vAlign w:val="bottom"/>
            <w:shd w:val="clear" w:color="auto" w:fill="BFE4FF"/>
          </w:tcPr>
          <w:p>
            <w:pPr>
              <w:spacing w:after="0"/>
              <w:rPr>
                <w:sz w:val="19"/>
                <w:szCs w:val="19"/>
                <w:color w:val="auto"/>
              </w:rPr>
            </w:pPr>
          </w:p>
        </w:tc>
        <w:tc>
          <w:tcPr>
            <w:tcW w:w="1140" w:type="dxa"/>
            <w:vAlign w:val="bottom"/>
            <w:shd w:val="clear" w:color="auto" w:fill="BFE4FF"/>
          </w:tcPr>
          <w:p>
            <w:pPr>
              <w:jc w:val="right"/>
              <w:ind w:right="99"/>
              <w:spacing w:after="0"/>
              <w:rPr>
                <w:sz w:val="20"/>
                <w:szCs w:val="20"/>
                <w:color w:val="auto"/>
              </w:rPr>
            </w:pPr>
            <w:r>
              <w:rPr>
                <w:rFonts w:ascii="Arial" w:cs="Arial" w:eastAsia="Arial" w:hAnsi="Arial"/>
                <w:sz w:val="16"/>
                <w:szCs w:val="16"/>
                <w:color w:val="auto"/>
              </w:rPr>
              <w:t>(1,200)</w:t>
            </w:r>
          </w:p>
        </w:tc>
        <w:tc>
          <w:tcPr>
            <w:tcW w:w="0" w:type="dxa"/>
            <w:vAlign w:val="bottom"/>
          </w:tcPr>
          <w:p>
            <w:pPr>
              <w:spacing w:after="0"/>
              <w:rPr>
                <w:sz w:val="1"/>
                <w:szCs w:val="1"/>
                <w:color w:val="auto"/>
              </w:rPr>
            </w:pPr>
          </w:p>
        </w:tc>
      </w:tr>
      <w:tr>
        <w:trPr>
          <w:trHeight w:val="213"/>
        </w:trPr>
        <w:tc>
          <w:tcPr>
            <w:tcW w:w="4040" w:type="dxa"/>
            <w:vAlign w:val="bottom"/>
            <w:tcBorders>
              <w:bottom w:val="single" w:sz="8" w:color="BFE4FF"/>
            </w:tcBorders>
          </w:tcPr>
          <w:p>
            <w:pPr>
              <w:ind w:left="20"/>
              <w:spacing w:after="0"/>
              <w:rPr>
                <w:sz w:val="20"/>
                <w:szCs w:val="20"/>
                <w:color w:val="auto"/>
              </w:rPr>
            </w:pPr>
            <w:r>
              <w:rPr>
                <w:rFonts w:ascii="Arial" w:cs="Arial" w:eastAsia="Arial" w:hAnsi="Arial"/>
                <w:sz w:val="16"/>
                <w:szCs w:val="16"/>
                <w:color w:val="auto"/>
              </w:rPr>
              <w:t>Fixed asset and goodwill impairments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219</w:t>
            </w:r>
          </w:p>
        </w:tc>
        <w:tc>
          <w:tcPr>
            <w:tcW w:w="100" w:type="dxa"/>
            <w:vAlign w:val="bottom"/>
            <w:tcBorders>
              <w:bottom w:val="single" w:sz="8" w:color="BFE4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404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Non-GAAP adjusted EBITDA (b)</w:t>
            </w:r>
          </w:p>
        </w:tc>
        <w:tc>
          <w:tcPr>
            <w:tcW w:w="1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BFE4FF"/>
          </w:tcPr>
          <w:p>
            <w:pPr>
              <w:jc w:val="right"/>
              <w:ind w:right="139"/>
              <w:spacing w:after="0"/>
              <w:rPr>
                <w:sz w:val="20"/>
                <w:szCs w:val="20"/>
                <w:color w:val="auto"/>
              </w:rPr>
            </w:pPr>
            <w:r>
              <w:rPr>
                <w:rFonts w:ascii="Arial" w:cs="Arial" w:eastAsia="Arial" w:hAnsi="Arial"/>
                <w:sz w:val="16"/>
                <w:szCs w:val="16"/>
                <w:color w:val="auto"/>
              </w:rPr>
              <w:t>43,886</w:t>
            </w:r>
          </w:p>
        </w:tc>
        <w:tc>
          <w:tcPr>
            <w:tcW w:w="100" w:type="dxa"/>
            <w:vAlign w:val="bottom"/>
            <w:tcBorders>
              <w:bottom w:val="single" w:sz="8" w:color="BFE4FF"/>
            </w:tcBorders>
            <w:shd w:val="clear" w:color="auto" w:fill="BFE4FF"/>
          </w:tcPr>
          <w:p>
            <w:pPr>
              <w:spacing w:after="0"/>
              <w:rPr>
                <w:sz w:val="20"/>
                <w:szCs w:val="20"/>
                <w:color w:val="auto"/>
              </w:rPr>
            </w:pPr>
          </w:p>
        </w:tc>
        <w:tc>
          <w:tcPr>
            <w:tcW w:w="340" w:type="dxa"/>
            <w:vAlign w:val="bottom"/>
            <w:tcBorders>
              <w:bottom w:val="single" w:sz="8" w:color="auto"/>
            </w:tcBorders>
            <w:shd w:val="clear" w:color="auto" w:fill="BFE4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BFE4FF"/>
          </w:tcPr>
          <w:p>
            <w:pPr>
              <w:jc w:val="right"/>
              <w:ind w:right="139"/>
              <w:spacing w:after="0"/>
              <w:rPr>
                <w:sz w:val="20"/>
                <w:szCs w:val="20"/>
                <w:color w:val="auto"/>
              </w:rPr>
            </w:pPr>
            <w:r>
              <w:rPr>
                <w:rFonts w:ascii="Arial" w:cs="Arial" w:eastAsia="Arial" w:hAnsi="Arial"/>
                <w:sz w:val="16"/>
                <w:szCs w:val="16"/>
                <w:color w:val="auto"/>
              </w:rPr>
              <w:t>52,114</w:t>
            </w:r>
          </w:p>
        </w:tc>
        <w:tc>
          <w:tcPr>
            <w:tcW w:w="0" w:type="dxa"/>
            <w:vAlign w:val="bottom"/>
          </w:tcPr>
          <w:p>
            <w:pPr>
              <w:spacing w:after="0"/>
              <w:rPr>
                <w:sz w:val="1"/>
                <w:szCs w:val="1"/>
                <w:color w:val="auto"/>
              </w:rPr>
            </w:pPr>
          </w:p>
        </w:tc>
      </w:tr>
      <w:tr>
        <w:trPr>
          <w:trHeight w:val="20"/>
        </w:trPr>
        <w:tc>
          <w:tcPr>
            <w:tcW w:w="4040" w:type="dxa"/>
            <w:vAlign w:val="bottom"/>
            <w:tcBorders>
              <w:top w:val="single" w:sz="8" w:color="BFE4FF"/>
            </w:tcBorders>
          </w:tcPr>
          <w:p>
            <w:pPr>
              <w:spacing w:after="0" w:line="20" w:lineRule="exact"/>
              <w:rPr>
                <w:sz w:val="1"/>
                <w:szCs w:val="1"/>
                <w:color w:val="auto"/>
              </w:rPr>
            </w:pPr>
          </w:p>
        </w:tc>
        <w:tc>
          <w:tcPr>
            <w:tcW w:w="180" w:type="dxa"/>
            <w:vAlign w:val="bottom"/>
            <w:tcBorders>
              <w:top w:val="single" w:sz="8" w:color="BFE4FF"/>
              <w:bottom w:val="single" w:sz="8" w:color="auto"/>
            </w:tcBorders>
          </w:tcPr>
          <w:p>
            <w:pPr>
              <w:spacing w:after="0" w:line="20" w:lineRule="exact"/>
              <w:rPr>
                <w:sz w:val="1"/>
                <w:szCs w:val="1"/>
                <w:color w:val="auto"/>
              </w:rPr>
            </w:pPr>
          </w:p>
        </w:tc>
        <w:tc>
          <w:tcPr>
            <w:tcW w:w="130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340" w:type="dxa"/>
            <w:vAlign w:val="bottom"/>
            <w:tcBorders>
              <w:top w:val="single" w:sz="8" w:color="BFE4FF"/>
              <w:bottom w:val="single" w:sz="8" w:color="auto"/>
            </w:tcBorders>
          </w:tcPr>
          <w:p>
            <w:pPr>
              <w:spacing w:after="0" w:line="20" w:lineRule="exact"/>
              <w:rPr>
                <w:sz w:val="1"/>
                <w:szCs w:val="1"/>
                <w:color w:val="auto"/>
              </w:rPr>
            </w:pPr>
          </w:p>
        </w:tc>
        <w:tc>
          <w:tcPr>
            <w:tcW w:w="1140" w:type="dxa"/>
            <w:vAlign w:val="bottom"/>
            <w:tcBorders>
              <w:top w:val="single" w:sz="8" w:color="BFE4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BFE4FF"/>
          </w:tcPr>
          <w:p>
            <w:pPr>
              <w:ind w:left="20"/>
              <w:spacing w:after="0"/>
              <w:rPr>
                <w:sz w:val="20"/>
                <w:szCs w:val="20"/>
                <w:color w:val="auto"/>
              </w:rPr>
            </w:pPr>
            <w:r>
              <w:rPr>
                <w:rFonts w:ascii="Arial" w:cs="Arial" w:eastAsia="Arial" w:hAnsi="Arial"/>
                <w:sz w:val="16"/>
                <w:szCs w:val="16"/>
                <w:color w:val="auto"/>
              </w:rPr>
              <w:t>Non-GAAP adjusted EBITDA margin (2)</w:t>
            </w:r>
          </w:p>
        </w:tc>
        <w:tc>
          <w:tcPr>
            <w:tcW w:w="180" w:type="dxa"/>
            <w:vAlign w:val="bottom"/>
            <w:shd w:val="clear" w:color="auto" w:fill="BFE4FF"/>
          </w:tcPr>
          <w:p>
            <w:pPr>
              <w:spacing w:after="0"/>
              <w:rPr>
                <w:sz w:val="18"/>
                <w:szCs w:val="18"/>
                <w:color w:val="auto"/>
              </w:rPr>
            </w:pPr>
          </w:p>
        </w:tc>
        <w:tc>
          <w:tcPr>
            <w:tcW w:w="13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8.8 %</w:t>
            </w:r>
          </w:p>
        </w:tc>
        <w:tc>
          <w:tcPr>
            <w:tcW w:w="100" w:type="dxa"/>
            <w:vAlign w:val="bottom"/>
            <w:shd w:val="clear" w:color="auto" w:fill="BFE4FF"/>
          </w:tcPr>
          <w:p>
            <w:pPr>
              <w:spacing w:after="0"/>
              <w:rPr>
                <w:sz w:val="18"/>
                <w:szCs w:val="18"/>
                <w:color w:val="auto"/>
              </w:rPr>
            </w:pPr>
          </w:p>
        </w:tc>
        <w:tc>
          <w:tcPr>
            <w:tcW w:w="340" w:type="dxa"/>
            <w:vAlign w:val="bottom"/>
            <w:shd w:val="clear" w:color="auto" w:fill="BFE4FF"/>
          </w:tcPr>
          <w:p>
            <w:pPr>
              <w:spacing w:after="0"/>
              <w:rPr>
                <w:sz w:val="18"/>
                <w:szCs w:val="18"/>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10.9 %</w:t>
            </w:r>
          </w:p>
        </w:tc>
        <w:tc>
          <w:tcPr>
            <w:tcW w:w="0" w:type="dxa"/>
            <w:vAlign w:val="bottom"/>
          </w:tcPr>
          <w:p>
            <w:pPr>
              <w:spacing w:after="0"/>
              <w:rPr>
                <w:sz w:val="1"/>
                <w:szCs w:val="1"/>
                <w:color w:val="auto"/>
              </w:rPr>
            </w:pPr>
          </w:p>
        </w:tc>
      </w:tr>
      <w:tr>
        <w:trPr>
          <w:trHeight w:val="237"/>
        </w:trPr>
        <w:tc>
          <w:tcPr>
            <w:tcW w:w="4040" w:type="dxa"/>
            <w:vAlign w:val="bottom"/>
          </w:tcPr>
          <w:p>
            <w:pPr>
              <w:ind w:left="20"/>
              <w:spacing w:after="0"/>
              <w:rPr>
                <w:sz w:val="20"/>
                <w:szCs w:val="20"/>
                <w:color w:val="auto"/>
              </w:rPr>
            </w:pPr>
            <w:r>
              <w:rPr>
                <w:rFonts w:ascii="Arial" w:cs="Arial" w:eastAsia="Arial" w:hAnsi="Arial"/>
                <w:sz w:val="16"/>
                <w:szCs w:val="16"/>
                <w:color w:val="auto"/>
              </w:rPr>
              <w:t>GAAP net sales</w:t>
            </w:r>
          </w:p>
        </w:tc>
        <w:tc>
          <w:tcPr>
            <w:tcW w:w="180" w:type="dxa"/>
            <w:vAlign w:val="bottom"/>
          </w:tcPr>
          <w:p>
            <w:pPr>
              <w:spacing w:after="0"/>
              <w:rPr>
                <w:sz w:val="20"/>
                <w:szCs w:val="20"/>
                <w:color w:val="auto"/>
              </w:rPr>
            </w:pPr>
          </w:p>
        </w:tc>
        <w:tc>
          <w:tcPr>
            <w:tcW w:w="1300" w:type="dxa"/>
            <w:vAlign w:val="bottom"/>
          </w:tcPr>
          <w:p>
            <w:pPr>
              <w:jc w:val="right"/>
              <w:ind w:right="139"/>
              <w:spacing w:after="0"/>
              <w:rPr>
                <w:sz w:val="20"/>
                <w:szCs w:val="20"/>
                <w:color w:val="auto"/>
              </w:rPr>
            </w:pPr>
            <w:r>
              <w:rPr>
                <w:rFonts w:ascii="Arial" w:cs="Arial" w:eastAsia="Arial" w:hAnsi="Arial"/>
                <w:sz w:val="16"/>
                <w:szCs w:val="16"/>
                <w:color w:val="auto"/>
              </w:rPr>
              <w:t>498,738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477,584</w:t>
            </w:r>
          </w:p>
        </w:tc>
        <w:tc>
          <w:tcPr>
            <w:tcW w:w="0" w:type="dxa"/>
            <w:vAlign w:val="bottom"/>
          </w:tcPr>
          <w:p>
            <w:pPr>
              <w:spacing w:after="0"/>
              <w:rPr>
                <w:sz w:val="1"/>
                <w:szCs w:val="1"/>
                <w:color w:val="auto"/>
              </w:rPr>
            </w:pPr>
          </w:p>
        </w:tc>
      </w:tr>
    </w:tbl>
    <w:p>
      <w:pPr>
        <w:spacing w:after="0" w:line="271" w:lineRule="exact"/>
        <w:rPr>
          <w:sz w:val="20"/>
          <w:szCs w:val="20"/>
          <w:color w:val="auto"/>
        </w:rPr>
      </w:pPr>
    </w:p>
    <w:p>
      <w:pPr>
        <w:ind w:left="820" w:hanging="312"/>
        <w:spacing w:after="0"/>
        <w:tabs>
          <w:tab w:leader="none" w:pos="820" w:val="left"/>
        </w:tabs>
        <w:numPr>
          <w:ilvl w:val="0"/>
          <w:numId w:val="7"/>
        </w:numPr>
        <w:rPr>
          <w:rFonts w:ascii="Arial" w:cs="Arial" w:eastAsia="Arial" w:hAnsi="Arial"/>
          <w:sz w:val="14"/>
          <w:szCs w:val="14"/>
          <w:color w:val="auto"/>
        </w:rPr>
      </w:pPr>
      <w:r>
        <w:rPr>
          <w:rFonts w:ascii="Arial" w:cs="Arial" w:eastAsia="Arial" w:hAnsi="Arial"/>
          <w:sz w:val="14"/>
          <w:szCs w:val="14"/>
          <w:color w:val="auto"/>
        </w:rPr>
        <w:t>Non-GAAP adjusted EBITDA margin = Non-GAAP adjusted EBITDA / GAAP net sales</w:t>
      </w:r>
    </w:p>
    <w:p>
      <w:pPr>
        <w:sectPr>
          <w:pgSz w:w="11900" w:h="16838" w:orient="portrait"/>
          <w:cols w:equalWidth="0" w:num="1">
            <w:col w:w="10120"/>
          </w:cols>
          <w:pgMar w:left="1440" w:top="1440" w:right="339" w:bottom="1440" w:gutter="0" w:footer="0" w:header="0"/>
        </w:sectPr>
      </w:pPr>
    </w:p>
    <w:p>
      <w:pPr>
        <w:spacing w:after="0" w:line="200" w:lineRule="exact"/>
        <w:rPr>
          <w:sz w:val="20"/>
          <w:szCs w:val="20"/>
          <w:color w:val="auto"/>
        </w:rPr>
      </w:pPr>
    </w:p>
    <w:p>
      <w:pPr>
        <w:spacing w:after="0" w:line="235" w:lineRule="exact"/>
        <w:rPr>
          <w:sz w:val="20"/>
          <w:szCs w:val="20"/>
          <w:color w:val="auto"/>
        </w:rPr>
      </w:pPr>
    </w:p>
    <w:p>
      <w:pPr>
        <w:ind w:left="9900"/>
        <w:spacing w:after="0"/>
        <w:rPr>
          <w:sz w:val="20"/>
          <w:szCs w:val="20"/>
          <w:color w:val="auto"/>
        </w:rPr>
      </w:pPr>
      <w:r>
        <w:rPr>
          <w:rFonts w:ascii="Arial" w:cs="Arial" w:eastAsia="Arial" w:hAnsi="Arial"/>
          <w:sz w:val="19"/>
          <w:szCs w:val="19"/>
          <w:color w:val="auto"/>
        </w:rPr>
        <w:t>10</w:t>
      </w:r>
    </w:p>
    <w:p>
      <w:pPr>
        <w:sectPr>
          <w:pgSz w:w="11900" w:h="16838" w:orient="portrait"/>
          <w:cols w:equalWidth="0" w:num="1">
            <w:col w:w="10120"/>
          </w:cols>
          <w:pgMar w:left="1440" w:top="1440" w:right="339" w:bottom="1440" w:gutter="0" w:footer="0" w:header="0"/>
          <w:type w:val="continuous"/>
        </w:sectPr>
      </w:pPr>
    </w:p>
    <w:bookmarkStart w:id="13" w:name="page14"/>
    <w:bookmarkEnd w:id="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left="80" w:right="1200"/>
        <w:spacing w:after="0" w:line="329" w:lineRule="auto"/>
        <w:rPr>
          <w:sz w:val="20"/>
          <w:szCs w:val="20"/>
          <w:color w:val="auto"/>
        </w:rPr>
      </w:pPr>
      <w:r>
        <w:rPr>
          <w:rFonts w:ascii="Arial" w:cs="Arial" w:eastAsia="Arial" w:hAnsi="Arial"/>
          <w:sz w:val="17"/>
          <w:szCs w:val="17"/>
          <w:b w:val="1"/>
          <w:bCs w:val="1"/>
          <w:color w:val="auto"/>
        </w:rPr>
        <w:t>Reconciliation of GAAP Net Income (Loss) to Non-GAAP Adjusted Net Income and GAAP Net Income (Loss) per Diluted Common Share to Non-GAAP Adjusted Net Income (Loss) per Diluted Common Share</w:t>
      </w:r>
    </w:p>
    <w:p>
      <w:pPr>
        <w:spacing w:after="0" w:line="225"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57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6"/>
                <w:szCs w:val="16"/>
                <w:b w:val="1"/>
                <w:bCs w:val="1"/>
                <w:color w:val="auto"/>
                <w:w w:val="95"/>
              </w:rPr>
              <w:t>Three Months Ended December 31,</w:t>
            </w:r>
          </w:p>
        </w:tc>
        <w:tc>
          <w:tcPr>
            <w:tcW w:w="0" w:type="dxa"/>
            <w:vAlign w:val="bottom"/>
          </w:tcPr>
          <w:p>
            <w:pPr>
              <w:spacing w:after="0"/>
              <w:rPr>
                <w:sz w:val="1"/>
                <w:szCs w:val="1"/>
                <w:color w:val="auto"/>
              </w:rPr>
            </w:pPr>
          </w:p>
        </w:tc>
      </w:tr>
      <w:tr>
        <w:trPr>
          <w:trHeight w:val="213"/>
        </w:trPr>
        <w:tc>
          <w:tcPr>
            <w:tcW w:w="5740" w:type="dxa"/>
            <w:vAlign w:val="bottom"/>
            <w:tcBorders>
              <w:bottom w:val="single" w:sz="8" w:color="BFE4FF"/>
            </w:tcBorders>
          </w:tcPr>
          <w:p>
            <w:pPr>
              <w:ind w:left="20"/>
              <w:spacing w:after="0"/>
              <w:rPr>
                <w:sz w:val="20"/>
                <w:szCs w:val="20"/>
                <w:color w:val="auto"/>
              </w:rPr>
            </w:pPr>
            <w:r>
              <w:rPr>
                <w:rFonts w:ascii="Arial" w:cs="Arial" w:eastAsia="Arial" w:hAnsi="Arial"/>
                <w:sz w:val="16"/>
                <w:szCs w:val="16"/>
                <w:b w:val="1"/>
                <w:bCs w:val="1"/>
                <w:i w:val="1"/>
                <w:iCs w:val="1"/>
                <w:color w:val="auto"/>
              </w:rPr>
              <w:t>(in thousands)</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60" w:type="dxa"/>
            <w:vAlign w:val="bottom"/>
            <w:tcBorders>
              <w:bottom w:val="single" w:sz="8" w:color="BFE4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2"/>
        </w:trPr>
        <w:tc>
          <w:tcPr>
            <w:tcW w:w="5740" w:type="dxa"/>
            <w:vAlign w:val="bottom"/>
            <w:shd w:val="clear" w:color="auto" w:fill="BFE4FF"/>
          </w:tcPr>
          <w:p>
            <w:pPr>
              <w:ind w:left="20"/>
              <w:spacing w:after="0"/>
              <w:rPr>
                <w:sz w:val="20"/>
                <w:szCs w:val="20"/>
                <w:color w:val="auto"/>
              </w:rPr>
            </w:pPr>
            <w:r>
              <w:rPr>
                <w:rFonts w:ascii="Arial" w:cs="Arial" w:eastAsia="Arial" w:hAnsi="Arial"/>
                <w:sz w:val="16"/>
                <w:szCs w:val="16"/>
                <w:color w:val="auto"/>
              </w:rPr>
              <w:t>GAAP net income (loss)</w:t>
            </w:r>
          </w:p>
        </w:tc>
        <w:tc>
          <w:tcPr>
            <w:tcW w:w="200" w:type="dxa"/>
            <w:vAlign w:val="bottom"/>
            <w:shd w:val="clear" w:color="auto" w:fill="BFE4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(12,014)</w:t>
            </w:r>
          </w:p>
        </w:tc>
        <w:tc>
          <w:tcPr>
            <w:tcW w:w="160" w:type="dxa"/>
            <w:vAlign w:val="bottom"/>
            <w:shd w:val="clear" w:color="auto" w:fill="BFE4FF"/>
          </w:tcPr>
          <w:p>
            <w:pPr>
              <w:spacing w:after="0"/>
              <w:rPr>
                <w:sz w:val="18"/>
                <w:szCs w:val="18"/>
                <w:color w:val="auto"/>
              </w:rPr>
            </w:pPr>
          </w:p>
        </w:tc>
        <w:tc>
          <w:tcPr>
            <w:tcW w:w="340" w:type="dxa"/>
            <w:vAlign w:val="bottom"/>
            <w:shd w:val="clear" w:color="auto" w:fill="BFE4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456</w:t>
            </w:r>
          </w:p>
        </w:tc>
        <w:tc>
          <w:tcPr>
            <w:tcW w:w="0" w:type="dxa"/>
            <w:vAlign w:val="bottom"/>
          </w:tcPr>
          <w:p>
            <w:pPr>
              <w:spacing w:after="0"/>
              <w:rPr>
                <w:sz w:val="1"/>
                <w:szCs w:val="1"/>
                <w:color w:val="auto"/>
              </w:rPr>
            </w:pPr>
          </w:p>
        </w:tc>
      </w:tr>
      <w:tr>
        <w:trPr>
          <w:trHeight w:val="270"/>
        </w:trPr>
        <w:tc>
          <w:tcPr>
            <w:tcW w:w="5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BFE4FF"/>
          </w:tcPr>
          <w:p>
            <w:pPr>
              <w:ind w:left="20"/>
              <w:spacing w:after="0"/>
              <w:rPr>
                <w:sz w:val="20"/>
                <w:szCs w:val="20"/>
                <w:color w:val="auto"/>
              </w:rPr>
            </w:pPr>
            <w:r>
              <w:rPr>
                <w:rFonts w:ascii="Arial" w:cs="Arial" w:eastAsia="Arial" w:hAnsi="Arial"/>
                <w:sz w:val="16"/>
                <w:szCs w:val="16"/>
                <w:color w:val="auto"/>
              </w:rPr>
              <w:t>Pre-tax acquisition and transition expense</w:t>
            </w:r>
          </w:p>
        </w:tc>
        <w:tc>
          <w:tcPr>
            <w:tcW w:w="200" w:type="dxa"/>
            <w:vAlign w:val="bottom"/>
            <w:shd w:val="clear" w:color="auto" w:fill="BFE4FF"/>
          </w:tcPr>
          <w:p>
            <w:pPr>
              <w:spacing w:after="0"/>
              <w:rPr>
                <w:sz w:val="18"/>
                <w:szCs w:val="18"/>
                <w:color w:val="auto"/>
              </w:rPr>
            </w:pPr>
          </w:p>
        </w:tc>
        <w:tc>
          <w:tcPr>
            <w:tcW w:w="12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2,689</w:t>
            </w:r>
          </w:p>
        </w:tc>
        <w:tc>
          <w:tcPr>
            <w:tcW w:w="160" w:type="dxa"/>
            <w:vAlign w:val="bottom"/>
            <w:shd w:val="clear" w:color="auto" w:fill="BFE4FF"/>
          </w:tcPr>
          <w:p>
            <w:pPr>
              <w:spacing w:after="0"/>
              <w:rPr>
                <w:sz w:val="18"/>
                <w:szCs w:val="18"/>
                <w:color w:val="auto"/>
              </w:rPr>
            </w:pPr>
          </w:p>
        </w:tc>
        <w:tc>
          <w:tcPr>
            <w:tcW w:w="340" w:type="dxa"/>
            <w:vAlign w:val="bottom"/>
            <w:shd w:val="clear" w:color="auto" w:fill="BFE4FF"/>
          </w:tcPr>
          <w:p>
            <w:pPr>
              <w:spacing w:after="0"/>
              <w:rPr>
                <w:sz w:val="18"/>
                <w:szCs w:val="18"/>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1,030</w:t>
            </w:r>
          </w:p>
        </w:tc>
        <w:tc>
          <w:tcPr>
            <w:tcW w:w="0" w:type="dxa"/>
            <w:vAlign w:val="bottom"/>
          </w:tcPr>
          <w:p>
            <w:pPr>
              <w:spacing w:after="0"/>
              <w:rPr>
                <w:sz w:val="1"/>
                <w:szCs w:val="1"/>
                <w:color w:val="auto"/>
              </w:rPr>
            </w:pPr>
          </w:p>
        </w:tc>
      </w:tr>
      <w:tr>
        <w:trPr>
          <w:trHeight w:val="213"/>
        </w:trPr>
        <w:tc>
          <w:tcPr>
            <w:tcW w:w="5740" w:type="dxa"/>
            <w:vAlign w:val="bottom"/>
          </w:tcPr>
          <w:p>
            <w:pPr>
              <w:ind w:left="20"/>
              <w:spacing w:after="0"/>
              <w:rPr>
                <w:sz w:val="20"/>
                <w:szCs w:val="20"/>
                <w:color w:val="auto"/>
              </w:rPr>
            </w:pPr>
            <w:r>
              <w:rPr>
                <w:rFonts w:ascii="Arial" w:cs="Arial" w:eastAsia="Arial" w:hAnsi="Arial"/>
                <w:sz w:val="16"/>
                <w:szCs w:val="16"/>
                <w:color w:val="auto"/>
              </w:rPr>
              <w:t>Pre-tax foreign exchange (gain) loss on inter-company loans</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(715)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19"/>
        </w:trPr>
        <w:tc>
          <w:tcPr>
            <w:tcW w:w="5740" w:type="dxa"/>
            <w:vAlign w:val="bottom"/>
            <w:shd w:val="clear" w:color="auto" w:fill="BFE4FF"/>
          </w:tcPr>
          <w:p>
            <w:pPr>
              <w:ind w:left="20"/>
              <w:spacing w:after="0"/>
              <w:rPr>
                <w:sz w:val="20"/>
                <w:szCs w:val="20"/>
                <w:color w:val="auto"/>
              </w:rPr>
            </w:pPr>
            <w:r>
              <w:rPr>
                <w:rFonts w:ascii="Arial" w:cs="Arial" w:eastAsia="Arial" w:hAnsi="Arial"/>
                <w:sz w:val="16"/>
                <w:szCs w:val="16"/>
                <w:color w:val="auto"/>
              </w:rPr>
              <w:t>Pre-tax change in fair value of preferred stock derivatives and warrants</w:t>
            </w:r>
          </w:p>
        </w:tc>
        <w:tc>
          <w:tcPr>
            <w:tcW w:w="200" w:type="dxa"/>
            <w:vAlign w:val="bottom"/>
            <w:shd w:val="clear" w:color="auto" w:fill="BFE4FF"/>
          </w:tcPr>
          <w:p>
            <w:pPr>
              <w:spacing w:after="0"/>
              <w:rPr>
                <w:sz w:val="19"/>
                <w:szCs w:val="19"/>
                <w:color w:val="auto"/>
              </w:rPr>
            </w:pPr>
          </w:p>
        </w:tc>
        <w:tc>
          <w:tcPr>
            <w:tcW w:w="12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(407)</w:t>
            </w:r>
          </w:p>
        </w:tc>
        <w:tc>
          <w:tcPr>
            <w:tcW w:w="16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(2,403)</w:t>
            </w:r>
          </w:p>
        </w:tc>
        <w:tc>
          <w:tcPr>
            <w:tcW w:w="0" w:type="dxa"/>
            <w:vAlign w:val="bottom"/>
          </w:tcPr>
          <w:p>
            <w:pPr>
              <w:spacing w:after="0"/>
              <w:rPr>
                <w:sz w:val="1"/>
                <w:szCs w:val="1"/>
                <w:color w:val="auto"/>
              </w:rPr>
            </w:pPr>
          </w:p>
        </w:tc>
      </w:tr>
      <w:tr>
        <w:trPr>
          <w:trHeight w:val="213"/>
        </w:trPr>
        <w:tc>
          <w:tcPr>
            <w:tcW w:w="5740" w:type="dxa"/>
            <w:vAlign w:val="bottom"/>
          </w:tcPr>
          <w:p>
            <w:pPr>
              <w:ind w:left="20"/>
              <w:spacing w:after="0"/>
              <w:rPr>
                <w:sz w:val="20"/>
                <w:szCs w:val="20"/>
                <w:color w:val="auto"/>
              </w:rPr>
            </w:pPr>
            <w:r>
              <w:rPr>
                <w:rFonts w:ascii="Arial" w:cs="Arial" w:eastAsia="Arial" w:hAnsi="Arial"/>
                <w:sz w:val="16"/>
                <w:szCs w:val="16"/>
                <w:color w:val="auto"/>
              </w:rPr>
              <w:t>Pre-tax amortization of intangibles and deferred financing costs</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5,407</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3,919</w:t>
            </w:r>
          </w:p>
        </w:tc>
        <w:tc>
          <w:tcPr>
            <w:tcW w:w="0" w:type="dxa"/>
            <w:vAlign w:val="bottom"/>
          </w:tcPr>
          <w:p>
            <w:pPr>
              <w:spacing w:after="0"/>
              <w:rPr>
                <w:sz w:val="1"/>
                <w:szCs w:val="1"/>
                <w:color w:val="auto"/>
              </w:rPr>
            </w:pPr>
          </w:p>
        </w:tc>
      </w:tr>
      <w:tr>
        <w:trPr>
          <w:trHeight w:val="219"/>
        </w:trPr>
        <w:tc>
          <w:tcPr>
            <w:tcW w:w="5740" w:type="dxa"/>
            <w:vAlign w:val="bottom"/>
            <w:shd w:val="clear" w:color="auto" w:fill="BFE4FF"/>
          </w:tcPr>
          <w:p>
            <w:pPr>
              <w:ind w:left="20"/>
              <w:spacing w:after="0"/>
              <w:rPr>
                <w:sz w:val="20"/>
                <w:szCs w:val="20"/>
                <w:color w:val="auto"/>
              </w:rPr>
            </w:pPr>
            <w:r>
              <w:rPr>
                <w:rFonts w:ascii="Arial" w:cs="Arial" w:eastAsia="Arial" w:hAnsi="Arial"/>
                <w:sz w:val="16"/>
                <w:szCs w:val="16"/>
                <w:color w:val="auto"/>
              </w:rPr>
              <w:t>Tax effect of adjustments reflected above (c)</w:t>
            </w:r>
          </w:p>
        </w:tc>
        <w:tc>
          <w:tcPr>
            <w:tcW w:w="200" w:type="dxa"/>
            <w:vAlign w:val="bottom"/>
            <w:shd w:val="clear" w:color="auto" w:fill="BFE4FF"/>
          </w:tcPr>
          <w:p>
            <w:pPr>
              <w:spacing w:after="0"/>
              <w:rPr>
                <w:sz w:val="19"/>
                <w:szCs w:val="19"/>
                <w:color w:val="auto"/>
              </w:rPr>
            </w:pPr>
          </w:p>
        </w:tc>
        <w:tc>
          <w:tcPr>
            <w:tcW w:w="12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(1,465)</w:t>
            </w:r>
          </w:p>
        </w:tc>
        <w:tc>
          <w:tcPr>
            <w:tcW w:w="16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(510)</w:t>
            </w:r>
          </w:p>
        </w:tc>
        <w:tc>
          <w:tcPr>
            <w:tcW w:w="0" w:type="dxa"/>
            <w:vAlign w:val="bottom"/>
          </w:tcPr>
          <w:p>
            <w:pPr>
              <w:spacing w:after="0"/>
              <w:rPr>
                <w:sz w:val="1"/>
                <w:szCs w:val="1"/>
                <w:color w:val="auto"/>
              </w:rPr>
            </w:pPr>
          </w:p>
        </w:tc>
      </w:tr>
      <w:tr>
        <w:trPr>
          <w:trHeight w:val="213"/>
        </w:trPr>
        <w:tc>
          <w:tcPr>
            <w:tcW w:w="5740" w:type="dxa"/>
            <w:vAlign w:val="bottom"/>
          </w:tcPr>
          <w:p>
            <w:pPr>
              <w:ind w:left="20"/>
              <w:spacing w:after="0"/>
              <w:rPr>
                <w:sz w:val="20"/>
                <w:szCs w:val="20"/>
                <w:color w:val="auto"/>
              </w:rPr>
            </w:pPr>
            <w:r>
              <w:rPr>
                <w:rFonts w:ascii="Arial" w:cs="Arial" w:eastAsia="Arial" w:hAnsi="Arial"/>
                <w:sz w:val="16"/>
                <w:szCs w:val="16"/>
                <w:color w:val="auto"/>
              </w:rPr>
              <w:t>Non-GAAP discrete tax adjustments</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730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r>
        <w:trPr>
          <w:trHeight w:val="216"/>
        </w:trPr>
        <w:tc>
          <w:tcPr>
            <w:tcW w:w="5740" w:type="dxa"/>
            <w:vAlign w:val="bottom"/>
            <w:shd w:val="clear" w:color="auto" w:fill="BFE4FF"/>
          </w:tcPr>
          <w:p>
            <w:pPr>
              <w:ind w:left="20"/>
              <w:spacing w:after="0"/>
              <w:rPr>
                <w:sz w:val="20"/>
                <w:szCs w:val="20"/>
                <w:color w:val="auto"/>
              </w:rPr>
            </w:pPr>
            <w:r>
              <w:rPr>
                <w:rFonts w:ascii="Arial" w:cs="Arial" w:eastAsia="Arial" w:hAnsi="Arial"/>
                <w:sz w:val="16"/>
                <w:szCs w:val="16"/>
                <w:color w:val="auto"/>
              </w:rPr>
              <w:t>(Income) loss from discontinued operations, net of tax</w:t>
            </w:r>
          </w:p>
        </w:tc>
        <w:tc>
          <w:tcPr>
            <w:tcW w:w="200" w:type="dxa"/>
            <w:vAlign w:val="bottom"/>
            <w:shd w:val="clear" w:color="auto" w:fill="BFE4FF"/>
          </w:tcPr>
          <w:p>
            <w:pPr>
              <w:spacing w:after="0"/>
              <w:rPr>
                <w:sz w:val="18"/>
                <w:szCs w:val="18"/>
                <w:color w:val="auto"/>
              </w:rPr>
            </w:pPr>
          </w:p>
        </w:tc>
        <w:tc>
          <w:tcPr>
            <w:tcW w:w="1420" w:type="dxa"/>
            <w:vAlign w:val="bottom"/>
            <w:gridSpan w:val="2"/>
            <w:shd w:val="clear" w:color="auto" w:fill="BFE4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shd w:val="clear" w:color="auto" w:fill="BFE4FF"/>
          </w:tcPr>
          <w:p>
            <w:pPr>
              <w:spacing w:after="0"/>
              <w:rPr>
                <w:sz w:val="18"/>
                <w:szCs w:val="18"/>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(1,200)</w:t>
            </w:r>
          </w:p>
        </w:tc>
        <w:tc>
          <w:tcPr>
            <w:tcW w:w="0" w:type="dxa"/>
            <w:vAlign w:val="bottom"/>
          </w:tcPr>
          <w:p>
            <w:pPr>
              <w:spacing w:after="0"/>
              <w:rPr>
                <w:sz w:val="1"/>
                <w:szCs w:val="1"/>
                <w:color w:val="auto"/>
              </w:rPr>
            </w:pPr>
          </w:p>
        </w:tc>
      </w:tr>
      <w:tr>
        <w:trPr>
          <w:trHeight w:val="213"/>
        </w:trPr>
        <w:tc>
          <w:tcPr>
            <w:tcW w:w="5740" w:type="dxa"/>
            <w:vAlign w:val="bottom"/>
          </w:tcPr>
          <w:p>
            <w:pPr>
              <w:ind w:left="20"/>
              <w:spacing w:after="0"/>
              <w:rPr>
                <w:sz w:val="20"/>
                <w:szCs w:val="20"/>
                <w:color w:val="auto"/>
              </w:rPr>
            </w:pPr>
            <w:r>
              <w:rPr>
                <w:rFonts w:ascii="Arial" w:cs="Arial" w:eastAsia="Arial" w:hAnsi="Arial"/>
                <w:sz w:val="16"/>
                <w:szCs w:val="16"/>
                <w:color w:val="auto"/>
              </w:rPr>
              <w:t>Non-GAAP adjusted net income (loss) (d)</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(5,775)</w:t>
            </w:r>
          </w:p>
        </w:tc>
        <w:tc>
          <w:tcPr>
            <w:tcW w:w="16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(825)</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6"/>
        </w:trPr>
        <w:tc>
          <w:tcPr>
            <w:tcW w:w="57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6"/>
                <w:szCs w:val="16"/>
                <w:b w:val="1"/>
                <w:bCs w:val="1"/>
                <w:color w:val="auto"/>
                <w:w w:val="95"/>
              </w:rPr>
              <w:t>Three Months Ended December 31,</w:t>
            </w:r>
          </w:p>
        </w:tc>
        <w:tc>
          <w:tcPr>
            <w:tcW w:w="0" w:type="dxa"/>
            <w:vAlign w:val="bottom"/>
          </w:tcPr>
          <w:p>
            <w:pPr>
              <w:spacing w:after="0"/>
              <w:rPr>
                <w:sz w:val="1"/>
                <w:szCs w:val="1"/>
                <w:color w:val="auto"/>
              </w:rPr>
            </w:pPr>
          </w:p>
        </w:tc>
      </w:tr>
      <w:tr>
        <w:trPr>
          <w:trHeight w:val="213"/>
        </w:trPr>
        <w:tc>
          <w:tcPr>
            <w:tcW w:w="5740" w:type="dxa"/>
            <w:vAlign w:val="bottom"/>
            <w:tcBorders>
              <w:bottom w:val="single" w:sz="8" w:color="BFE4FF"/>
            </w:tcBorders>
          </w:tcPr>
          <w:p>
            <w:pPr>
              <w:ind w:left="20"/>
              <w:spacing w:after="0"/>
              <w:rPr>
                <w:sz w:val="20"/>
                <w:szCs w:val="20"/>
                <w:color w:val="auto"/>
              </w:rPr>
            </w:pPr>
            <w:r>
              <w:rPr>
                <w:rFonts w:ascii="Arial" w:cs="Arial" w:eastAsia="Arial" w:hAnsi="Arial"/>
                <w:sz w:val="16"/>
                <w:szCs w:val="16"/>
                <w:b w:val="1"/>
                <w:bCs w:val="1"/>
                <w:i w:val="1"/>
                <w:iCs w:val="1"/>
                <w:color w:val="auto"/>
              </w:rPr>
              <w:t>(per diluted common share)</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60" w:type="dxa"/>
            <w:vAlign w:val="bottom"/>
            <w:tcBorders>
              <w:bottom w:val="single" w:sz="8" w:color="BFE4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2"/>
        </w:trPr>
        <w:tc>
          <w:tcPr>
            <w:tcW w:w="5740" w:type="dxa"/>
            <w:vAlign w:val="bottom"/>
            <w:shd w:val="clear" w:color="auto" w:fill="BFE4FF"/>
          </w:tcPr>
          <w:p>
            <w:pPr>
              <w:ind w:left="20"/>
              <w:spacing w:after="0"/>
              <w:rPr>
                <w:sz w:val="20"/>
                <w:szCs w:val="20"/>
                <w:color w:val="auto"/>
              </w:rPr>
            </w:pPr>
            <w:r>
              <w:rPr>
                <w:rFonts w:ascii="Arial" w:cs="Arial" w:eastAsia="Arial" w:hAnsi="Arial"/>
                <w:sz w:val="16"/>
                <w:szCs w:val="16"/>
                <w:color w:val="auto"/>
              </w:rPr>
              <w:t>GAAP net income (loss) per diluted common share</w:t>
            </w:r>
          </w:p>
        </w:tc>
        <w:tc>
          <w:tcPr>
            <w:tcW w:w="200" w:type="dxa"/>
            <w:vAlign w:val="bottom"/>
            <w:shd w:val="clear" w:color="auto" w:fill="BFE4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(0.33)</w:t>
            </w:r>
          </w:p>
        </w:tc>
        <w:tc>
          <w:tcPr>
            <w:tcW w:w="160" w:type="dxa"/>
            <w:vAlign w:val="bottom"/>
            <w:shd w:val="clear" w:color="auto" w:fill="BFE4FF"/>
          </w:tcPr>
          <w:p>
            <w:pPr>
              <w:spacing w:after="0"/>
              <w:rPr>
                <w:sz w:val="18"/>
                <w:szCs w:val="18"/>
                <w:color w:val="auto"/>
              </w:rPr>
            </w:pPr>
          </w:p>
        </w:tc>
        <w:tc>
          <w:tcPr>
            <w:tcW w:w="340" w:type="dxa"/>
            <w:vAlign w:val="bottom"/>
            <w:shd w:val="clear" w:color="auto" w:fill="BFE4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70"/>
        </w:trPr>
        <w:tc>
          <w:tcPr>
            <w:tcW w:w="5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BFE4FF"/>
          </w:tcPr>
          <w:p>
            <w:pPr>
              <w:ind w:left="20"/>
              <w:spacing w:after="0"/>
              <w:rPr>
                <w:sz w:val="20"/>
                <w:szCs w:val="20"/>
                <w:color w:val="auto"/>
              </w:rPr>
            </w:pPr>
            <w:r>
              <w:rPr>
                <w:rFonts w:ascii="Arial" w:cs="Arial" w:eastAsia="Arial" w:hAnsi="Arial"/>
                <w:sz w:val="16"/>
                <w:szCs w:val="16"/>
                <w:color w:val="auto"/>
              </w:rPr>
              <w:t>Pre-tax acquisition and transition expense</w:t>
            </w:r>
          </w:p>
        </w:tc>
        <w:tc>
          <w:tcPr>
            <w:tcW w:w="200" w:type="dxa"/>
            <w:vAlign w:val="bottom"/>
            <w:shd w:val="clear" w:color="auto" w:fill="BFE4FF"/>
          </w:tcPr>
          <w:p>
            <w:pPr>
              <w:spacing w:after="0"/>
              <w:rPr>
                <w:sz w:val="18"/>
                <w:szCs w:val="18"/>
                <w:color w:val="auto"/>
              </w:rPr>
            </w:pPr>
          </w:p>
        </w:tc>
        <w:tc>
          <w:tcPr>
            <w:tcW w:w="12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0.06</w:t>
            </w:r>
          </w:p>
        </w:tc>
        <w:tc>
          <w:tcPr>
            <w:tcW w:w="160" w:type="dxa"/>
            <w:vAlign w:val="bottom"/>
            <w:shd w:val="clear" w:color="auto" w:fill="BFE4FF"/>
          </w:tcPr>
          <w:p>
            <w:pPr>
              <w:spacing w:after="0"/>
              <w:rPr>
                <w:sz w:val="18"/>
                <w:szCs w:val="18"/>
                <w:color w:val="auto"/>
              </w:rPr>
            </w:pPr>
          </w:p>
        </w:tc>
        <w:tc>
          <w:tcPr>
            <w:tcW w:w="340" w:type="dxa"/>
            <w:vAlign w:val="bottom"/>
            <w:shd w:val="clear" w:color="auto" w:fill="BFE4FF"/>
          </w:tcPr>
          <w:p>
            <w:pPr>
              <w:spacing w:after="0"/>
              <w:rPr>
                <w:sz w:val="18"/>
                <w:szCs w:val="18"/>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13"/>
        </w:trPr>
        <w:tc>
          <w:tcPr>
            <w:tcW w:w="5740" w:type="dxa"/>
            <w:vAlign w:val="bottom"/>
          </w:tcPr>
          <w:p>
            <w:pPr>
              <w:ind w:left="20"/>
              <w:spacing w:after="0"/>
              <w:rPr>
                <w:sz w:val="20"/>
                <w:szCs w:val="20"/>
                <w:color w:val="auto"/>
              </w:rPr>
            </w:pPr>
            <w:r>
              <w:rPr>
                <w:rFonts w:ascii="Arial" w:cs="Arial" w:eastAsia="Arial" w:hAnsi="Arial"/>
                <w:sz w:val="16"/>
                <w:szCs w:val="16"/>
                <w:color w:val="auto"/>
              </w:rPr>
              <w:t>Pre-tax foreign exchange (gain) loss on inter-company loans</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(0.02)</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740" w:type="dxa"/>
            <w:vAlign w:val="bottom"/>
            <w:shd w:val="clear" w:color="auto" w:fill="BFE4FF"/>
          </w:tcPr>
          <w:p>
            <w:pPr>
              <w:ind w:left="20"/>
              <w:spacing w:after="0"/>
              <w:rPr>
                <w:sz w:val="20"/>
                <w:szCs w:val="20"/>
                <w:color w:val="auto"/>
              </w:rPr>
            </w:pPr>
            <w:r>
              <w:rPr>
                <w:rFonts w:ascii="Arial" w:cs="Arial" w:eastAsia="Arial" w:hAnsi="Arial"/>
                <w:sz w:val="16"/>
                <w:szCs w:val="16"/>
                <w:color w:val="auto"/>
              </w:rPr>
              <w:t>Pre-tax change in fair value of preferred stock derivatives and warrants</w:t>
            </w:r>
          </w:p>
        </w:tc>
        <w:tc>
          <w:tcPr>
            <w:tcW w:w="200" w:type="dxa"/>
            <w:vAlign w:val="bottom"/>
            <w:shd w:val="clear" w:color="auto" w:fill="BFE4FF"/>
          </w:tcPr>
          <w:p>
            <w:pPr>
              <w:spacing w:after="0"/>
              <w:rPr>
                <w:sz w:val="19"/>
                <w:szCs w:val="19"/>
                <w:color w:val="auto"/>
              </w:rPr>
            </w:pPr>
          </w:p>
        </w:tc>
        <w:tc>
          <w:tcPr>
            <w:tcW w:w="12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(0.01)</w:t>
            </w:r>
          </w:p>
        </w:tc>
        <w:tc>
          <w:tcPr>
            <w:tcW w:w="16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213"/>
        </w:trPr>
        <w:tc>
          <w:tcPr>
            <w:tcW w:w="5740" w:type="dxa"/>
            <w:vAlign w:val="bottom"/>
          </w:tcPr>
          <w:p>
            <w:pPr>
              <w:ind w:left="20"/>
              <w:spacing w:after="0"/>
              <w:rPr>
                <w:sz w:val="20"/>
                <w:szCs w:val="20"/>
                <w:color w:val="auto"/>
              </w:rPr>
            </w:pPr>
            <w:r>
              <w:rPr>
                <w:rFonts w:ascii="Arial" w:cs="Arial" w:eastAsia="Arial" w:hAnsi="Arial"/>
                <w:sz w:val="16"/>
                <w:szCs w:val="16"/>
                <w:color w:val="auto"/>
              </w:rPr>
              <w:t>Pre-tax amortization of intangibles and deferred financing costs</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0.12</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219"/>
        </w:trPr>
        <w:tc>
          <w:tcPr>
            <w:tcW w:w="5740" w:type="dxa"/>
            <w:vAlign w:val="bottom"/>
            <w:shd w:val="clear" w:color="auto" w:fill="BFE4FF"/>
          </w:tcPr>
          <w:p>
            <w:pPr>
              <w:ind w:left="20"/>
              <w:spacing w:after="0"/>
              <w:rPr>
                <w:sz w:val="20"/>
                <w:szCs w:val="20"/>
                <w:color w:val="auto"/>
              </w:rPr>
            </w:pPr>
            <w:r>
              <w:rPr>
                <w:rFonts w:ascii="Arial" w:cs="Arial" w:eastAsia="Arial" w:hAnsi="Arial"/>
                <w:sz w:val="16"/>
                <w:szCs w:val="16"/>
                <w:color w:val="auto"/>
              </w:rPr>
              <w:t>Tax effect of adjustments reflected above (c)</w:t>
            </w:r>
          </w:p>
        </w:tc>
        <w:tc>
          <w:tcPr>
            <w:tcW w:w="200" w:type="dxa"/>
            <w:vAlign w:val="bottom"/>
            <w:shd w:val="clear" w:color="auto" w:fill="BFE4FF"/>
          </w:tcPr>
          <w:p>
            <w:pPr>
              <w:spacing w:after="0"/>
              <w:rPr>
                <w:sz w:val="19"/>
                <w:szCs w:val="19"/>
                <w:color w:val="auto"/>
              </w:rPr>
            </w:pPr>
          </w:p>
        </w:tc>
        <w:tc>
          <w:tcPr>
            <w:tcW w:w="12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(0.03)</w:t>
            </w:r>
          </w:p>
        </w:tc>
        <w:tc>
          <w:tcPr>
            <w:tcW w:w="16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13"/>
        </w:trPr>
        <w:tc>
          <w:tcPr>
            <w:tcW w:w="5740" w:type="dxa"/>
            <w:vAlign w:val="bottom"/>
          </w:tcPr>
          <w:p>
            <w:pPr>
              <w:ind w:left="20"/>
              <w:spacing w:after="0"/>
              <w:rPr>
                <w:sz w:val="20"/>
                <w:szCs w:val="20"/>
                <w:color w:val="auto"/>
              </w:rPr>
            </w:pPr>
            <w:r>
              <w:rPr>
                <w:rFonts w:ascii="Arial" w:cs="Arial" w:eastAsia="Arial" w:hAnsi="Arial"/>
                <w:sz w:val="16"/>
                <w:szCs w:val="16"/>
                <w:color w:val="auto"/>
              </w:rPr>
              <w:t>Non-GAAP discrete tax adjustments</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0.02</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19"/>
        </w:trPr>
        <w:tc>
          <w:tcPr>
            <w:tcW w:w="5740" w:type="dxa"/>
            <w:vAlign w:val="bottom"/>
            <w:shd w:val="clear" w:color="auto" w:fill="BFE4FF"/>
          </w:tcPr>
          <w:p>
            <w:pPr>
              <w:ind w:left="20"/>
              <w:spacing w:after="0"/>
              <w:rPr>
                <w:sz w:val="20"/>
                <w:szCs w:val="20"/>
                <w:color w:val="auto"/>
              </w:rPr>
            </w:pPr>
            <w:r>
              <w:rPr>
                <w:rFonts w:ascii="Arial" w:cs="Arial" w:eastAsia="Arial" w:hAnsi="Arial"/>
                <w:sz w:val="16"/>
                <w:szCs w:val="16"/>
                <w:color w:val="auto"/>
              </w:rPr>
              <w:t>(Income) loss from discontinued operations, net of tax</w:t>
            </w:r>
          </w:p>
        </w:tc>
        <w:tc>
          <w:tcPr>
            <w:tcW w:w="200" w:type="dxa"/>
            <w:vAlign w:val="bottom"/>
            <w:shd w:val="clear" w:color="auto" w:fill="BFE4FF"/>
          </w:tcPr>
          <w:p>
            <w:pPr>
              <w:spacing w:after="0"/>
              <w:rPr>
                <w:sz w:val="19"/>
                <w:szCs w:val="19"/>
                <w:color w:val="auto"/>
              </w:rPr>
            </w:pPr>
          </w:p>
        </w:tc>
        <w:tc>
          <w:tcPr>
            <w:tcW w:w="1420" w:type="dxa"/>
            <w:vAlign w:val="bottom"/>
            <w:gridSpan w:val="2"/>
            <w:shd w:val="clear" w:color="auto" w:fill="BFE4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shd w:val="clear" w:color="auto" w:fill="BFE4FF"/>
          </w:tcPr>
          <w:p>
            <w:pPr>
              <w:spacing w:after="0"/>
              <w:rPr>
                <w:sz w:val="19"/>
                <w:szCs w:val="19"/>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13"/>
        </w:trPr>
        <w:tc>
          <w:tcPr>
            <w:tcW w:w="5740" w:type="dxa"/>
            <w:vAlign w:val="bottom"/>
            <w:tcBorders>
              <w:bottom w:val="single" w:sz="8" w:color="BFE4FF"/>
            </w:tcBorders>
          </w:tcPr>
          <w:p>
            <w:pPr>
              <w:ind w:left="20"/>
              <w:spacing w:after="0"/>
              <w:rPr>
                <w:sz w:val="20"/>
                <w:szCs w:val="20"/>
                <w:color w:val="auto"/>
              </w:rPr>
            </w:pPr>
            <w:r>
              <w:rPr>
                <w:rFonts w:ascii="Arial" w:cs="Arial" w:eastAsia="Arial" w:hAnsi="Arial"/>
                <w:sz w:val="16"/>
                <w:szCs w:val="16"/>
                <w:color w:val="auto"/>
              </w:rPr>
              <w:t>Preferred stock cumulative dividends and deemed dividends</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0.07</w:t>
            </w:r>
          </w:p>
        </w:tc>
        <w:tc>
          <w:tcPr>
            <w:tcW w:w="160" w:type="dxa"/>
            <w:vAlign w:val="bottom"/>
            <w:tcBorders>
              <w:bottom w:val="single" w:sz="8" w:color="BFE4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238"/>
        </w:trPr>
        <w:tc>
          <w:tcPr>
            <w:tcW w:w="574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Non-GAAP adjusted net income (loss) per diluted common share (d)</w:t>
            </w:r>
          </w:p>
        </w:tc>
        <w:tc>
          <w:tcPr>
            <w:tcW w:w="200" w:type="dxa"/>
            <w:vAlign w:val="bottom"/>
            <w:tcBorders>
              <w:bottom w:val="single" w:sz="8" w:color="auto"/>
            </w:tcBorders>
            <w:shd w:val="clear" w:color="auto" w:fill="BFE4FF"/>
          </w:tcPr>
          <w:p>
            <w:pPr>
              <w:spacing w:after="0"/>
              <w:rPr>
                <w:sz w:val="20"/>
                <w:szCs w:val="20"/>
                <w:color w:val="auto"/>
              </w:rPr>
            </w:pPr>
          </w:p>
        </w:tc>
        <w:tc>
          <w:tcPr>
            <w:tcW w:w="12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$(0.12)</w:t>
            </w:r>
          </w:p>
        </w:tc>
        <w:tc>
          <w:tcPr>
            <w:tcW w:w="160" w:type="dxa"/>
            <w:vAlign w:val="bottom"/>
            <w:tcBorders>
              <w:bottom w:val="single" w:sz="8" w:color="BFE4FF"/>
            </w:tcBorders>
            <w:shd w:val="clear" w:color="auto" w:fill="BFE4FF"/>
          </w:tcPr>
          <w:p>
            <w:pPr>
              <w:spacing w:after="0"/>
              <w:rPr>
                <w:sz w:val="20"/>
                <w:szCs w:val="20"/>
                <w:color w:val="auto"/>
              </w:rPr>
            </w:pPr>
          </w:p>
        </w:tc>
        <w:tc>
          <w:tcPr>
            <w:tcW w:w="340" w:type="dxa"/>
            <w:vAlign w:val="bottom"/>
            <w:tcBorders>
              <w:bottom w:val="single" w:sz="8" w:color="auto"/>
            </w:tcBorders>
            <w:shd w:val="clear" w:color="auto" w:fill="BFE4FF"/>
          </w:tcPr>
          <w:p>
            <w:pPr>
              <w:spacing w:after="0"/>
              <w:rPr>
                <w:sz w:val="20"/>
                <w:szCs w:val="20"/>
                <w:color w:val="auto"/>
              </w:rPr>
            </w:pPr>
          </w:p>
        </w:tc>
        <w:tc>
          <w:tcPr>
            <w:tcW w:w="11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0"/>
        </w:trPr>
        <w:tc>
          <w:tcPr>
            <w:tcW w:w="5740" w:type="dxa"/>
            <w:vAlign w:val="bottom"/>
            <w:tcBorders>
              <w:top w:val="single" w:sz="8" w:color="BFE4FF"/>
              <w:bottom w:val="single" w:sz="8" w:color="BFE4FF"/>
            </w:tcBorders>
            <w:vMerge w:val="restart"/>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200" w:type="dxa"/>
            <w:vAlign w:val="bottom"/>
            <w:tcBorders>
              <w:top w:val="single" w:sz="8" w:color="BFE4FF"/>
              <w:bottom w:val="single" w:sz="8" w:color="auto"/>
            </w:tcBorders>
          </w:tcPr>
          <w:p>
            <w:pPr>
              <w:spacing w:after="0" w:line="20" w:lineRule="exact"/>
              <w:rPr>
                <w:sz w:val="1"/>
                <w:szCs w:val="1"/>
                <w:color w:val="auto"/>
              </w:rPr>
            </w:pPr>
          </w:p>
        </w:tc>
        <w:tc>
          <w:tcPr>
            <w:tcW w:w="1260" w:type="dxa"/>
            <w:vAlign w:val="bottom"/>
            <w:tcBorders>
              <w:top w:val="single" w:sz="8" w:color="BFE4FF"/>
              <w:bottom w:val="single" w:sz="8" w:color="auto"/>
            </w:tcBorders>
          </w:tcPr>
          <w:p>
            <w:pPr>
              <w:spacing w:after="0" w:line="20" w:lineRule="exact"/>
              <w:rPr>
                <w:sz w:val="1"/>
                <w:szCs w:val="1"/>
                <w:color w:val="auto"/>
              </w:rPr>
            </w:pPr>
          </w:p>
        </w:tc>
        <w:tc>
          <w:tcPr>
            <w:tcW w:w="160" w:type="dxa"/>
            <w:vAlign w:val="bottom"/>
            <w:tcBorders>
              <w:top w:val="single" w:sz="8" w:color="BFE4FF"/>
            </w:tcBorders>
          </w:tcPr>
          <w:p>
            <w:pPr>
              <w:spacing w:after="0" w:line="20" w:lineRule="exact"/>
              <w:rPr>
                <w:sz w:val="1"/>
                <w:szCs w:val="1"/>
                <w:color w:val="auto"/>
              </w:rPr>
            </w:pPr>
          </w:p>
        </w:tc>
        <w:tc>
          <w:tcPr>
            <w:tcW w:w="340" w:type="dxa"/>
            <w:vAlign w:val="bottom"/>
            <w:tcBorders>
              <w:top w:val="single" w:sz="8" w:color="BFE4FF"/>
              <w:bottom w:val="single" w:sz="8" w:color="auto"/>
            </w:tcBorders>
          </w:tcPr>
          <w:p>
            <w:pPr>
              <w:spacing w:after="0" w:line="20" w:lineRule="exact"/>
              <w:rPr>
                <w:sz w:val="1"/>
                <w:szCs w:val="1"/>
                <w:color w:val="auto"/>
              </w:rPr>
            </w:pPr>
          </w:p>
        </w:tc>
        <w:tc>
          <w:tcPr>
            <w:tcW w:w="1140" w:type="dxa"/>
            <w:vAlign w:val="bottom"/>
            <w:tcBorders>
              <w:top w:val="single" w:sz="8" w:color="BFE4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7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44,708</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44,454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0120"/>
          </w:cols>
          <w:pgMar w:left="1440" w:top="1440" w:right="339" w:bottom="1440" w:gutter="0" w:footer="0" w:header="0"/>
        </w:sectPr>
      </w:pPr>
    </w:p>
    <w:bookmarkStart w:id="14" w:name="page15"/>
    <w:bookmarkEnd w:id="14"/>
    <w:p>
      <w:pPr>
        <w:spacing w:after="0" w:line="200" w:lineRule="exact"/>
        <w:rPr>
          <w:sz w:val="20"/>
          <w:szCs w:val="20"/>
          <w:color w:val="auto"/>
        </w:rPr>
      </w:pPr>
    </w:p>
    <w:p>
      <w:pPr>
        <w:spacing w:after="0" w:line="210"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Reconciliation of Net Income (Loss) to Non-GAAP Adjusted Net Income and Net Income (Loss) per</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Diluted Common Share to Non-GAAP Adjusted Net Income (Loss) per Diluted Common Share</w:t>
      </w:r>
    </w:p>
    <w:p>
      <w:pPr>
        <w:spacing w:after="0" w:line="200" w:lineRule="exact"/>
        <w:rPr>
          <w:sz w:val="20"/>
          <w:szCs w:val="20"/>
          <w:color w:val="auto"/>
        </w:rPr>
      </w:pPr>
    </w:p>
    <w:p>
      <w:pPr>
        <w:spacing w:after="0" w:line="380"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6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8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6"/>
              </w:rPr>
              <w:t>Twelve Months Ended December 31,</w:t>
            </w:r>
          </w:p>
        </w:tc>
        <w:tc>
          <w:tcPr>
            <w:tcW w:w="0" w:type="dxa"/>
            <w:vAlign w:val="bottom"/>
          </w:tcPr>
          <w:p>
            <w:pPr>
              <w:spacing w:after="0"/>
              <w:rPr>
                <w:sz w:val="1"/>
                <w:szCs w:val="1"/>
                <w:color w:val="auto"/>
              </w:rPr>
            </w:pPr>
          </w:p>
        </w:tc>
      </w:tr>
      <w:tr>
        <w:trPr>
          <w:trHeight w:val="26"/>
        </w:trPr>
        <w:tc>
          <w:tcPr>
            <w:tcW w:w="600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auto"/>
              </w:rPr>
              <w:t>(in thousands)</w:t>
            </w: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6000" w:type="dxa"/>
            <w:vAlign w:val="bottom"/>
            <w:tcBorders>
              <w:bottom w:val="single" w:sz="8" w:color="BFE4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BFE4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2"/>
        </w:trPr>
        <w:tc>
          <w:tcPr>
            <w:tcW w:w="6000" w:type="dxa"/>
            <w:vAlign w:val="bottom"/>
            <w:shd w:val="clear" w:color="auto" w:fill="BFE4FF"/>
          </w:tcPr>
          <w:p>
            <w:pPr>
              <w:ind w:left="20"/>
              <w:spacing w:after="0"/>
              <w:rPr>
                <w:sz w:val="20"/>
                <w:szCs w:val="20"/>
                <w:color w:val="auto"/>
              </w:rPr>
            </w:pPr>
            <w:r>
              <w:rPr>
                <w:rFonts w:ascii="Arial" w:cs="Arial" w:eastAsia="Arial" w:hAnsi="Arial"/>
                <w:sz w:val="16"/>
                <w:szCs w:val="16"/>
                <w:color w:val="auto"/>
              </w:rPr>
              <w:t>GAAP net income (loss)</w:t>
            </w:r>
          </w:p>
        </w:tc>
        <w:tc>
          <w:tcPr>
            <w:tcW w:w="220" w:type="dxa"/>
            <w:vAlign w:val="bottom"/>
            <w:shd w:val="clear" w:color="auto" w:fill="BFE4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(26,098)</w:t>
            </w:r>
          </w:p>
        </w:tc>
        <w:tc>
          <w:tcPr>
            <w:tcW w:w="100" w:type="dxa"/>
            <w:vAlign w:val="bottom"/>
            <w:shd w:val="clear" w:color="auto" w:fill="BFE4FF"/>
          </w:tcPr>
          <w:p>
            <w:pPr>
              <w:spacing w:after="0"/>
              <w:rPr>
                <w:sz w:val="18"/>
                <w:szCs w:val="18"/>
                <w:color w:val="auto"/>
              </w:rPr>
            </w:pPr>
          </w:p>
        </w:tc>
        <w:tc>
          <w:tcPr>
            <w:tcW w:w="320" w:type="dxa"/>
            <w:vAlign w:val="bottom"/>
            <w:shd w:val="clear" w:color="auto" w:fill="BFE4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(13,225)</w:t>
            </w:r>
          </w:p>
        </w:tc>
        <w:tc>
          <w:tcPr>
            <w:tcW w:w="0" w:type="dxa"/>
            <w:vAlign w:val="bottom"/>
          </w:tcPr>
          <w:p>
            <w:pPr>
              <w:spacing w:after="0"/>
              <w:rPr>
                <w:sz w:val="1"/>
                <w:szCs w:val="1"/>
                <w:color w:val="auto"/>
              </w:rPr>
            </w:pPr>
          </w:p>
        </w:tc>
      </w:tr>
      <w:tr>
        <w:trPr>
          <w:trHeight w:val="257"/>
        </w:trPr>
        <w:tc>
          <w:tcPr>
            <w:tcW w:w="6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BFE4FF"/>
          </w:tcPr>
          <w:p>
            <w:pPr>
              <w:ind w:left="20"/>
              <w:spacing w:after="0"/>
              <w:rPr>
                <w:sz w:val="20"/>
                <w:szCs w:val="20"/>
                <w:color w:val="auto"/>
              </w:rPr>
            </w:pPr>
            <w:r>
              <w:rPr>
                <w:rFonts w:ascii="Arial" w:cs="Arial" w:eastAsia="Arial" w:hAnsi="Arial"/>
                <w:sz w:val="16"/>
                <w:szCs w:val="16"/>
                <w:color w:val="auto"/>
              </w:rPr>
              <w:t>Pre-tax acquisition and transition expense</w:t>
            </w:r>
          </w:p>
        </w:tc>
        <w:tc>
          <w:tcPr>
            <w:tcW w:w="220" w:type="dxa"/>
            <w:vAlign w:val="bottom"/>
            <w:shd w:val="clear" w:color="auto" w:fill="BFE4FF"/>
          </w:tcPr>
          <w:p>
            <w:pPr>
              <w:spacing w:after="0"/>
              <w:rPr>
                <w:sz w:val="18"/>
                <w:szCs w:val="18"/>
                <w:color w:val="auto"/>
              </w:rPr>
            </w:pPr>
          </w:p>
        </w:tc>
        <w:tc>
          <w:tcPr>
            <w:tcW w:w="11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6,973</w:t>
            </w:r>
          </w:p>
        </w:tc>
        <w:tc>
          <w:tcPr>
            <w:tcW w:w="100" w:type="dxa"/>
            <w:vAlign w:val="bottom"/>
            <w:shd w:val="clear" w:color="auto" w:fill="BFE4FF"/>
          </w:tcPr>
          <w:p>
            <w:pPr>
              <w:spacing w:after="0"/>
              <w:rPr>
                <w:sz w:val="18"/>
                <w:szCs w:val="18"/>
                <w:color w:val="auto"/>
              </w:rPr>
            </w:pPr>
          </w:p>
        </w:tc>
        <w:tc>
          <w:tcPr>
            <w:tcW w:w="320" w:type="dxa"/>
            <w:vAlign w:val="bottom"/>
            <w:shd w:val="clear" w:color="auto" w:fill="BFE4FF"/>
          </w:tcPr>
          <w:p>
            <w:pPr>
              <w:spacing w:after="0"/>
              <w:rPr>
                <w:sz w:val="18"/>
                <w:szCs w:val="18"/>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4,802</w:t>
            </w:r>
          </w:p>
        </w:tc>
        <w:tc>
          <w:tcPr>
            <w:tcW w:w="0" w:type="dxa"/>
            <w:vAlign w:val="bottom"/>
          </w:tcPr>
          <w:p>
            <w:pPr>
              <w:spacing w:after="0"/>
              <w:rPr>
                <w:sz w:val="1"/>
                <w:szCs w:val="1"/>
                <w:color w:val="auto"/>
              </w:rPr>
            </w:pPr>
          </w:p>
        </w:tc>
      </w:tr>
      <w:tr>
        <w:trPr>
          <w:trHeight w:val="213"/>
        </w:trPr>
        <w:tc>
          <w:tcPr>
            <w:tcW w:w="6000" w:type="dxa"/>
            <w:vAlign w:val="bottom"/>
          </w:tcPr>
          <w:p>
            <w:pPr>
              <w:ind w:left="20"/>
              <w:spacing w:after="0"/>
              <w:rPr>
                <w:sz w:val="20"/>
                <w:szCs w:val="20"/>
                <w:color w:val="auto"/>
              </w:rPr>
            </w:pPr>
            <w:r>
              <w:rPr>
                <w:rFonts w:ascii="Arial" w:cs="Arial" w:eastAsia="Arial" w:hAnsi="Arial"/>
                <w:sz w:val="16"/>
                <w:szCs w:val="16"/>
                <w:color w:val="auto"/>
              </w:rPr>
              <w:t>Pre-tax foreign exchange (gain) loss on inter-company loans</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474</w:t>
            </w:r>
          </w:p>
        </w:tc>
        <w:tc>
          <w:tcPr>
            <w:tcW w:w="0" w:type="dxa"/>
            <w:vAlign w:val="bottom"/>
          </w:tcPr>
          <w:p>
            <w:pPr>
              <w:spacing w:after="0"/>
              <w:rPr>
                <w:sz w:val="1"/>
                <w:szCs w:val="1"/>
                <w:color w:val="auto"/>
              </w:rPr>
            </w:pPr>
          </w:p>
        </w:tc>
      </w:tr>
      <w:tr>
        <w:trPr>
          <w:trHeight w:val="219"/>
        </w:trPr>
        <w:tc>
          <w:tcPr>
            <w:tcW w:w="6000" w:type="dxa"/>
            <w:vAlign w:val="bottom"/>
            <w:shd w:val="clear" w:color="auto" w:fill="BFE4FF"/>
          </w:tcPr>
          <w:p>
            <w:pPr>
              <w:ind w:left="20"/>
              <w:spacing w:after="0"/>
              <w:rPr>
                <w:sz w:val="20"/>
                <w:szCs w:val="20"/>
                <w:color w:val="auto"/>
              </w:rPr>
            </w:pPr>
            <w:r>
              <w:rPr>
                <w:rFonts w:ascii="Arial" w:cs="Arial" w:eastAsia="Arial" w:hAnsi="Arial"/>
                <w:sz w:val="16"/>
                <w:szCs w:val="16"/>
                <w:color w:val="auto"/>
              </w:rPr>
              <w:t>Pre-tax write-off of unamortized debt issuance costs</w:t>
            </w:r>
          </w:p>
        </w:tc>
        <w:tc>
          <w:tcPr>
            <w:tcW w:w="220" w:type="dxa"/>
            <w:vAlign w:val="bottom"/>
            <w:shd w:val="clear" w:color="auto" w:fill="BFE4FF"/>
          </w:tcPr>
          <w:p>
            <w:pPr>
              <w:spacing w:after="0"/>
              <w:rPr>
                <w:sz w:val="19"/>
                <w:szCs w:val="19"/>
                <w:color w:val="auto"/>
              </w:rPr>
            </w:pPr>
          </w:p>
        </w:tc>
        <w:tc>
          <w:tcPr>
            <w:tcW w:w="1280" w:type="dxa"/>
            <w:vAlign w:val="bottom"/>
            <w:gridSpan w:val="2"/>
            <w:shd w:val="clear" w:color="auto" w:fill="BFE4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BFE4FF"/>
          </w:tcPr>
          <w:p>
            <w:pPr>
              <w:spacing w:after="0"/>
              <w:rPr>
                <w:sz w:val="19"/>
                <w:szCs w:val="19"/>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2,390</w:t>
            </w:r>
          </w:p>
        </w:tc>
        <w:tc>
          <w:tcPr>
            <w:tcW w:w="0" w:type="dxa"/>
            <w:vAlign w:val="bottom"/>
          </w:tcPr>
          <w:p>
            <w:pPr>
              <w:spacing w:after="0"/>
              <w:rPr>
                <w:sz w:val="1"/>
                <w:szCs w:val="1"/>
                <w:color w:val="auto"/>
              </w:rPr>
            </w:pPr>
          </w:p>
        </w:tc>
      </w:tr>
      <w:tr>
        <w:trPr>
          <w:trHeight w:val="213"/>
        </w:trPr>
        <w:tc>
          <w:tcPr>
            <w:tcW w:w="6000" w:type="dxa"/>
            <w:vAlign w:val="bottom"/>
          </w:tcPr>
          <w:p>
            <w:pPr>
              <w:ind w:left="20"/>
              <w:spacing w:after="0"/>
              <w:rPr>
                <w:sz w:val="20"/>
                <w:szCs w:val="20"/>
                <w:color w:val="auto"/>
              </w:rPr>
            </w:pPr>
            <w:r>
              <w:rPr>
                <w:rFonts w:ascii="Arial" w:cs="Arial" w:eastAsia="Arial" w:hAnsi="Arial"/>
                <w:sz w:val="16"/>
                <w:szCs w:val="16"/>
                <w:color w:val="auto"/>
              </w:rPr>
              <w:t>Pre-tax change in fair value of preferred stock derivatives and warrants</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(5,267)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(7,009)</w:t>
            </w:r>
          </w:p>
        </w:tc>
        <w:tc>
          <w:tcPr>
            <w:tcW w:w="0" w:type="dxa"/>
            <w:vAlign w:val="bottom"/>
          </w:tcPr>
          <w:p>
            <w:pPr>
              <w:spacing w:after="0"/>
              <w:rPr>
                <w:sz w:val="1"/>
                <w:szCs w:val="1"/>
                <w:color w:val="auto"/>
              </w:rPr>
            </w:pPr>
          </w:p>
        </w:tc>
      </w:tr>
      <w:tr>
        <w:trPr>
          <w:trHeight w:val="219"/>
        </w:trPr>
        <w:tc>
          <w:tcPr>
            <w:tcW w:w="6000" w:type="dxa"/>
            <w:vAlign w:val="bottom"/>
            <w:shd w:val="clear" w:color="auto" w:fill="BFE4FF"/>
          </w:tcPr>
          <w:p>
            <w:pPr>
              <w:ind w:left="20"/>
              <w:spacing w:after="0"/>
              <w:rPr>
                <w:sz w:val="20"/>
                <w:szCs w:val="20"/>
                <w:color w:val="auto"/>
              </w:rPr>
            </w:pPr>
            <w:r>
              <w:rPr>
                <w:rFonts w:ascii="Arial" w:cs="Arial" w:eastAsia="Arial" w:hAnsi="Arial"/>
                <w:sz w:val="16"/>
                <w:szCs w:val="16"/>
                <w:color w:val="auto"/>
              </w:rPr>
              <w:t>Pre-tax amortization of intangibles and deferred financing costs</w:t>
            </w:r>
          </w:p>
        </w:tc>
        <w:tc>
          <w:tcPr>
            <w:tcW w:w="220" w:type="dxa"/>
            <w:vAlign w:val="bottom"/>
            <w:shd w:val="clear" w:color="auto" w:fill="BFE4FF"/>
          </w:tcPr>
          <w:p>
            <w:pPr>
              <w:spacing w:after="0"/>
              <w:rPr>
                <w:sz w:val="19"/>
                <w:szCs w:val="19"/>
                <w:color w:val="auto"/>
              </w:rPr>
            </w:pPr>
          </w:p>
        </w:tc>
        <w:tc>
          <w:tcPr>
            <w:tcW w:w="11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17,188</w:t>
            </w:r>
          </w:p>
        </w:tc>
        <w:tc>
          <w:tcPr>
            <w:tcW w:w="100" w:type="dxa"/>
            <w:vAlign w:val="bottom"/>
            <w:shd w:val="clear" w:color="auto" w:fill="BFE4FF"/>
          </w:tcPr>
          <w:p>
            <w:pPr>
              <w:spacing w:after="0"/>
              <w:rPr>
                <w:sz w:val="19"/>
                <w:szCs w:val="19"/>
                <w:color w:val="auto"/>
              </w:rPr>
            </w:pPr>
          </w:p>
        </w:tc>
        <w:tc>
          <w:tcPr>
            <w:tcW w:w="320" w:type="dxa"/>
            <w:vAlign w:val="bottom"/>
            <w:shd w:val="clear" w:color="auto" w:fill="BFE4FF"/>
          </w:tcPr>
          <w:p>
            <w:pPr>
              <w:spacing w:after="0"/>
              <w:rPr>
                <w:sz w:val="19"/>
                <w:szCs w:val="19"/>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15,729</w:t>
            </w:r>
          </w:p>
        </w:tc>
        <w:tc>
          <w:tcPr>
            <w:tcW w:w="0" w:type="dxa"/>
            <w:vAlign w:val="bottom"/>
          </w:tcPr>
          <w:p>
            <w:pPr>
              <w:spacing w:after="0"/>
              <w:rPr>
                <w:sz w:val="1"/>
                <w:szCs w:val="1"/>
                <w:color w:val="auto"/>
              </w:rPr>
            </w:pPr>
          </w:p>
        </w:tc>
      </w:tr>
      <w:tr>
        <w:trPr>
          <w:trHeight w:val="213"/>
        </w:trPr>
        <w:tc>
          <w:tcPr>
            <w:tcW w:w="6000" w:type="dxa"/>
            <w:vAlign w:val="bottom"/>
          </w:tcPr>
          <w:p>
            <w:pPr>
              <w:ind w:left="20"/>
              <w:spacing w:after="0"/>
              <w:rPr>
                <w:sz w:val="20"/>
                <w:szCs w:val="20"/>
                <w:color w:val="auto"/>
              </w:rPr>
            </w:pPr>
            <w:r>
              <w:rPr>
                <w:rFonts w:ascii="Arial" w:cs="Arial" w:eastAsia="Arial" w:hAnsi="Arial"/>
                <w:sz w:val="16"/>
                <w:szCs w:val="16"/>
                <w:color w:val="auto"/>
              </w:rPr>
              <w:t>Pre-tax derivative loss, net of cash settlements</w:t>
            </w:r>
          </w:p>
        </w:tc>
        <w:tc>
          <w:tcPr>
            <w:tcW w:w="2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3,750</w:t>
            </w:r>
          </w:p>
        </w:tc>
        <w:tc>
          <w:tcPr>
            <w:tcW w:w="0" w:type="dxa"/>
            <w:vAlign w:val="bottom"/>
          </w:tcPr>
          <w:p>
            <w:pPr>
              <w:spacing w:after="0"/>
              <w:rPr>
                <w:sz w:val="1"/>
                <w:szCs w:val="1"/>
                <w:color w:val="auto"/>
              </w:rPr>
            </w:pPr>
          </w:p>
        </w:tc>
      </w:tr>
      <w:tr>
        <w:trPr>
          <w:trHeight w:val="219"/>
        </w:trPr>
        <w:tc>
          <w:tcPr>
            <w:tcW w:w="6000" w:type="dxa"/>
            <w:vAlign w:val="bottom"/>
            <w:shd w:val="clear" w:color="auto" w:fill="BFE4FF"/>
          </w:tcPr>
          <w:p>
            <w:pPr>
              <w:ind w:left="20"/>
              <w:spacing w:after="0"/>
              <w:rPr>
                <w:sz w:val="20"/>
                <w:szCs w:val="20"/>
                <w:color w:val="auto"/>
              </w:rPr>
            </w:pPr>
            <w:r>
              <w:rPr>
                <w:rFonts w:ascii="Arial" w:cs="Arial" w:eastAsia="Arial" w:hAnsi="Arial"/>
                <w:sz w:val="16"/>
                <w:szCs w:val="16"/>
                <w:color w:val="auto"/>
              </w:rPr>
              <w:t>Pre-tax impairments of fixed asset costs</w:t>
            </w:r>
          </w:p>
        </w:tc>
        <w:tc>
          <w:tcPr>
            <w:tcW w:w="220" w:type="dxa"/>
            <w:vAlign w:val="bottom"/>
            <w:shd w:val="clear" w:color="auto" w:fill="BFE4FF"/>
          </w:tcPr>
          <w:p>
            <w:pPr>
              <w:spacing w:after="0"/>
              <w:rPr>
                <w:sz w:val="19"/>
                <w:szCs w:val="19"/>
                <w:color w:val="auto"/>
              </w:rPr>
            </w:pPr>
          </w:p>
        </w:tc>
        <w:tc>
          <w:tcPr>
            <w:tcW w:w="11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219</w:t>
            </w:r>
          </w:p>
        </w:tc>
        <w:tc>
          <w:tcPr>
            <w:tcW w:w="100" w:type="dxa"/>
            <w:vAlign w:val="bottom"/>
            <w:shd w:val="clear" w:color="auto" w:fill="BFE4FF"/>
          </w:tcPr>
          <w:p>
            <w:pPr>
              <w:spacing w:after="0"/>
              <w:rPr>
                <w:sz w:val="19"/>
                <w:szCs w:val="19"/>
                <w:color w:val="auto"/>
              </w:rPr>
            </w:pPr>
          </w:p>
        </w:tc>
        <w:tc>
          <w:tcPr>
            <w:tcW w:w="320" w:type="dxa"/>
            <w:vAlign w:val="bottom"/>
            <w:shd w:val="clear" w:color="auto" w:fill="BFE4FF"/>
          </w:tcPr>
          <w:p>
            <w:pPr>
              <w:spacing w:after="0"/>
              <w:rPr>
                <w:sz w:val="19"/>
                <w:szCs w:val="19"/>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000" w:type="dxa"/>
            <w:vAlign w:val="bottom"/>
          </w:tcPr>
          <w:p>
            <w:pPr>
              <w:ind w:left="20"/>
              <w:spacing w:after="0"/>
              <w:rPr>
                <w:sz w:val="20"/>
                <w:szCs w:val="20"/>
                <w:color w:val="auto"/>
              </w:rPr>
            </w:pPr>
            <w:r>
              <w:rPr>
                <w:rFonts w:ascii="Arial" w:cs="Arial" w:eastAsia="Arial" w:hAnsi="Arial"/>
                <w:sz w:val="16"/>
                <w:szCs w:val="16"/>
                <w:color w:val="auto"/>
              </w:rPr>
              <w:t>Pre-tax costs related to divested businesses and litigation settlement</w:t>
            </w:r>
          </w:p>
        </w:tc>
        <w:tc>
          <w:tcPr>
            <w:tcW w:w="2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1,500</w:t>
            </w:r>
          </w:p>
        </w:tc>
        <w:tc>
          <w:tcPr>
            <w:tcW w:w="0" w:type="dxa"/>
            <w:vAlign w:val="bottom"/>
          </w:tcPr>
          <w:p>
            <w:pPr>
              <w:spacing w:after="0"/>
              <w:rPr>
                <w:sz w:val="1"/>
                <w:szCs w:val="1"/>
                <w:color w:val="auto"/>
              </w:rPr>
            </w:pPr>
          </w:p>
        </w:tc>
      </w:tr>
      <w:tr>
        <w:trPr>
          <w:trHeight w:val="219"/>
        </w:trPr>
        <w:tc>
          <w:tcPr>
            <w:tcW w:w="6000" w:type="dxa"/>
            <w:vAlign w:val="bottom"/>
            <w:shd w:val="clear" w:color="auto" w:fill="BFE4FF"/>
          </w:tcPr>
          <w:p>
            <w:pPr>
              <w:ind w:left="20"/>
              <w:spacing w:after="0"/>
              <w:rPr>
                <w:sz w:val="20"/>
                <w:szCs w:val="20"/>
                <w:color w:val="auto"/>
              </w:rPr>
            </w:pPr>
            <w:r>
              <w:rPr>
                <w:rFonts w:ascii="Arial" w:cs="Arial" w:eastAsia="Arial" w:hAnsi="Arial"/>
                <w:sz w:val="16"/>
                <w:szCs w:val="16"/>
                <w:color w:val="auto"/>
              </w:rPr>
              <w:t>Tax effect of adjustments reflected above (c)</w:t>
            </w:r>
          </w:p>
        </w:tc>
        <w:tc>
          <w:tcPr>
            <w:tcW w:w="220" w:type="dxa"/>
            <w:vAlign w:val="bottom"/>
            <w:shd w:val="clear" w:color="auto" w:fill="BFE4FF"/>
          </w:tcPr>
          <w:p>
            <w:pPr>
              <w:spacing w:after="0"/>
              <w:rPr>
                <w:sz w:val="19"/>
                <w:szCs w:val="19"/>
                <w:color w:val="auto"/>
              </w:rPr>
            </w:pPr>
          </w:p>
        </w:tc>
        <w:tc>
          <w:tcPr>
            <w:tcW w:w="11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(3,978)</w:t>
            </w:r>
          </w:p>
        </w:tc>
        <w:tc>
          <w:tcPr>
            <w:tcW w:w="100" w:type="dxa"/>
            <w:vAlign w:val="bottom"/>
            <w:shd w:val="clear" w:color="auto" w:fill="BFE4FF"/>
          </w:tcPr>
          <w:p>
            <w:pPr>
              <w:spacing w:after="0"/>
              <w:rPr>
                <w:sz w:val="19"/>
                <w:szCs w:val="19"/>
                <w:color w:val="auto"/>
              </w:rPr>
            </w:pPr>
          </w:p>
        </w:tc>
        <w:tc>
          <w:tcPr>
            <w:tcW w:w="320" w:type="dxa"/>
            <w:vAlign w:val="bottom"/>
            <w:shd w:val="clear" w:color="auto" w:fill="BFE4FF"/>
          </w:tcPr>
          <w:p>
            <w:pPr>
              <w:spacing w:after="0"/>
              <w:rPr>
                <w:sz w:val="19"/>
                <w:szCs w:val="19"/>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(4,569)</w:t>
            </w:r>
          </w:p>
        </w:tc>
        <w:tc>
          <w:tcPr>
            <w:tcW w:w="0" w:type="dxa"/>
            <w:vAlign w:val="bottom"/>
          </w:tcPr>
          <w:p>
            <w:pPr>
              <w:spacing w:after="0"/>
              <w:rPr>
                <w:sz w:val="1"/>
                <w:szCs w:val="1"/>
                <w:color w:val="auto"/>
              </w:rPr>
            </w:pPr>
          </w:p>
        </w:tc>
      </w:tr>
      <w:tr>
        <w:trPr>
          <w:trHeight w:val="213"/>
        </w:trPr>
        <w:tc>
          <w:tcPr>
            <w:tcW w:w="6000" w:type="dxa"/>
            <w:vAlign w:val="bottom"/>
          </w:tcPr>
          <w:p>
            <w:pPr>
              <w:ind w:left="20"/>
              <w:spacing w:after="0"/>
              <w:rPr>
                <w:sz w:val="20"/>
                <w:szCs w:val="20"/>
                <w:color w:val="auto"/>
              </w:rPr>
            </w:pPr>
            <w:r>
              <w:rPr>
                <w:rFonts w:ascii="Arial" w:cs="Arial" w:eastAsia="Arial" w:hAnsi="Arial"/>
                <w:sz w:val="16"/>
                <w:szCs w:val="16"/>
                <w:color w:val="auto"/>
              </w:rPr>
              <w:t>Non-GAAP discrete tax adjustments</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(913)</w:t>
            </w:r>
          </w:p>
        </w:tc>
        <w:tc>
          <w:tcPr>
            <w:tcW w:w="0" w:type="dxa"/>
            <w:vAlign w:val="bottom"/>
          </w:tcPr>
          <w:p>
            <w:pPr>
              <w:spacing w:after="0"/>
              <w:rPr>
                <w:sz w:val="1"/>
                <w:szCs w:val="1"/>
                <w:color w:val="auto"/>
              </w:rPr>
            </w:pPr>
          </w:p>
        </w:tc>
      </w:tr>
      <w:tr>
        <w:trPr>
          <w:trHeight w:val="216"/>
        </w:trPr>
        <w:tc>
          <w:tcPr>
            <w:tcW w:w="6000" w:type="dxa"/>
            <w:vAlign w:val="bottom"/>
            <w:shd w:val="clear" w:color="auto" w:fill="BFE4FF"/>
          </w:tcPr>
          <w:p>
            <w:pPr>
              <w:ind w:left="20"/>
              <w:spacing w:after="0"/>
              <w:rPr>
                <w:sz w:val="20"/>
                <w:szCs w:val="20"/>
                <w:color w:val="auto"/>
              </w:rPr>
            </w:pPr>
            <w:r>
              <w:rPr>
                <w:rFonts w:ascii="Arial" w:cs="Arial" w:eastAsia="Arial" w:hAnsi="Arial"/>
                <w:sz w:val="16"/>
                <w:szCs w:val="16"/>
                <w:color w:val="auto"/>
              </w:rPr>
              <w:t>(Income) loss from discontinued operations, net of tax</w:t>
            </w:r>
          </w:p>
        </w:tc>
        <w:tc>
          <w:tcPr>
            <w:tcW w:w="220" w:type="dxa"/>
            <w:vAlign w:val="bottom"/>
            <w:shd w:val="clear" w:color="auto" w:fill="BFE4FF"/>
          </w:tcPr>
          <w:p>
            <w:pPr>
              <w:spacing w:after="0"/>
              <w:rPr>
                <w:sz w:val="18"/>
                <w:szCs w:val="18"/>
                <w:color w:val="auto"/>
              </w:rPr>
            </w:pPr>
          </w:p>
        </w:tc>
        <w:tc>
          <w:tcPr>
            <w:tcW w:w="1280" w:type="dxa"/>
            <w:vAlign w:val="bottom"/>
            <w:gridSpan w:val="2"/>
            <w:shd w:val="clear" w:color="auto" w:fill="BFE4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BFE4FF"/>
          </w:tcPr>
          <w:p>
            <w:pPr>
              <w:spacing w:after="0"/>
              <w:rPr>
                <w:sz w:val="18"/>
                <w:szCs w:val="18"/>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(1,200)</w:t>
            </w:r>
          </w:p>
        </w:tc>
        <w:tc>
          <w:tcPr>
            <w:tcW w:w="0" w:type="dxa"/>
            <w:vAlign w:val="bottom"/>
          </w:tcPr>
          <w:p>
            <w:pPr>
              <w:spacing w:after="0"/>
              <w:rPr>
                <w:sz w:val="1"/>
                <w:szCs w:val="1"/>
                <w:color w:val="auto"/>
              </w:rPr>
            </w:pPr>
          </w:p>
        </w:tc>
      </w:tr>
      <w:tr>
        <w:trPr>
          <w:trHeight w:val="213"/>
        </w:trPr>
        <w:tc>
          <w:tcPr>
            <w:tcW w:w="6000" w:type="dxa"/>
            <w:vAlign w:val="bottom"/>
          </w:tcPr>
          <w:p>
            <w:pPr>
              <w:ind w:left="20"/>
              <w:spacing w:after="0"/>
              <w:rPr>
                <w:sz w:val="20"/>
                <w:szCs w:val="20"/>
                <w:color w:val="auto"/>
              </w:rPr>
            </w:pPr>
            <w:r>
              <w:rPr>
                <w:rFonts w:ascii="Arial" w:cs="Arial" w:eastAsia="Arial" w:hAnsi="Arial"/>
                <w:sz w:val="16"/>
                <w:szCs w:val="16"/>
                <w:color w:val="auto"/>
              </w:rPr>
              <w:t>Non-GAAP adjusted net income (loss) (d)</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(8,047)</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1,729</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0"/>
        </w:trPr>
        <w:tc>
          <w:tcPr>
            <w:tcW w:w="6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6"/>
              </w:rPr>
              <w:t>Twelve Months Ended December 31,</w:t>
            </w:r>
          </w:p>
        </w:tc>
        <w:tc>
          <w:tcPr>
            <w:tcW w:w="0" w:type="dxa"/>
            <w:vAlign w:val="bottom"/>
          </w:tcPr>
          <w:p>
            <w:pPr>
              <w:spacing w:after="0"/>
              <w:rPr>
                <w:sz w:val="1"/>
                <w:szCs w:val="1"/>
                <w:color w:val="auto"/>
              </w:rPr>
            </w:pPr>
          </w:p>
        </w:tc>
      </w:tr>
      <w:tr>
        <w:trPr>
          <w:trHeight w:val="25"/>
        </w:trPr>
        <w:tc>
          <w:tcPr>
            <w:tcW w:w="600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auto"/>
              </w:rPr>
              <w:t>(per diluted common share)</w:t>
            </w: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6000" w:type="dxa"/>
            <w:vAlign w:val="bottom"/>
            <w:tcBorders>
              <w:bottom w:val="single" w:sz="8" w:color="BFE4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BFE4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2"/>
        </w:trPr>
        <w:tc>
          <w:tcPr>
            <w:tcW w:w="6000" w:type="dxa"/>
            <w:vAlign w:val="bottom"/>
            <w:shd w:val="clear" w:color="auto" w:fill="BFE4FF"/>
          </w:tcPr>
          <w:p>
            <w:pPr>
              <w:ind w:left="20"/>
              <w:spacing w:after="0"/>
              <w:rPr>
                <w:sz w:val="20"/>
                <w:szCs w:val="20"/>
                <w:color w:val="auto"/>
              </w:rPr>
            </w:pPr>
            <w:r>
              <w:rPr>
                <w:rFonts w:ascii="Arial" w:cs="Arial" w:eastAsia="Arial" w:hAnsi="Arial"/>
                <w:sz w:val="16"/>
                <w:szCs w:val="16"/>
                <w:color w:val="auto"/>
              </w:rPr>
              <w:t>GAAP net income (loss) per diluted common share</w:t>
            </w:r>
          </w:p>
        </w:tc>
        <w:tc>
          <w:tcPr>
            <w:tcW w:w="220" w:type="dxa"/>
            <w:vAlign w:val="bottom"/>
            <w:shd w:val="clear" w:color="auto" w:fill="BFE4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(0.83)</w:t>
            </w:r>
          </w:p>
        </w:tc>
        <w:tc>
          <w:tcPr>
            <w:tcW w:w="100" w:type="dxa"/>
            <w:vAlign w:val="bottom"/>
            <w:shd w:val="clear" w:color="auto" w:fill="BFE4FF"/>
          </w:tcPr>
          <w:p>
            <w:pPr>
              <w:spacing w:after="0"/>
              <w:rPr>
                <w:sz w:val="18"/>
                <w:szCs w:val="18"/>
                <w:color w:val="auto"/>
              </w:rPr>
            </w:pPr>
          </w:p>
        </w:tc>
        <w:tc>
          <w:tcPr>
            <w:tcW w:w="320" w:type="dxa"/>
            <w:vAlign w:val="bottom"/>
            <w:shd w:val="clear" w:color="auto" w:fill="BFE4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(0.79)</w:t>
            </w:r>
          </w:p>
        </w:tc>
        <w:tc>
          <w:tcPr>
            <w:tcW w:w="0" w:type="dxa"/>
            <w:vAlign w:val="bottom"/>
          </w:tcPr>
          <w:p>
            <w:pPr>
              <w:spacing w:after="0"/>
              <w:rPr>
                <w:sz w:val="1"/>
                <w:szCs w:val="1"/>
                <w:color w:val="auto"/>
              </w:rPr>
            </w:pPr>
          </w:p>
        </w:tc>
      </w:tr>
      <w:tr>
        <w:trPr>
          <w:trHeight w:val="257"/>
        </w:trPr>
        <w:tc>
          <w:tcPr>
            <w:tcW w:w="6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BFE4FF"/>
          </w:tcPr>
          <w:p>
            <w:pPr>
              <w:ind w:left="20"/>
              <w:spacing w:after="0"/>
              <w:rPr>
                <w:sz w:val="20"/>
                <w:szCs w:val="20"/>
                <w:color w:val="auto"/>
              </w:rPr>
            </w:pPr>
            <w:r>
              <w:rPr>
                <w:rFonts w:ascii="Arial" w:cs="Arial" w:eastAsia="Arial" w:hAnsi="Arial"/>
                <w:sz w:val="16"/>
                <w:szCs w:val="16"/>
                <w:color w:val="auto"/>
              </w:rPr>
              <w:t>Pre-tax acquisition and transition expense</w:t>
            </w:r>
          </w:p>
        </w:tc>
        <w:tc>
          <w:tcPr>
            <w:tcW w:w="220" w:type="dxa"/>
            <w:vAlign w:val="bottom"/>
            <w:shd w:val="clear" w:color="auto" w:fill="BFE4FF"/>
          </w:tcPr>
          <w:p>
            <w:pPr>
              <w:spacing w:after="0"/>
              <w:rPr>
                <w:sz w:val="18"/>
                <w:szCs w:val="18"/>
                <w:color w:val="auto"/>
              </w:rPr>
            </w:pPr>
          </w:p>
        </w:tc>
        <w:tc>
          <w:tcPr>
            <w:tcW w:w="11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0.16</w:t>
            </w:r>
          </w:p>
        </w:tc>
        <w:tc>
          <w:tcPr>
            <w:tcW w:w="100" w:type="dxa"/>
            <w:vAlign w:val="bottom"/>
            <w:shd w:val="clear" w:color="auto" w:fill="BFE4FF"/>
          </w:tcPr>
          <w:p>
            <w:pPr>
              <w:spacing w:after="0"/>
              <w:rPr>
                <w:sz w:val="18"/>
                <w:szCs w:val="18"/>
                <w:color w:val="auto"/>
              </w:rPr>
            </w:pPr>
          </w:p>
        </w:tc>
        <w:tc>
          <w:tcPr>
            <w:tcW w:w="320" w:type="dxa"/>
            <w:vAlign w:val="bottom"/>
            <w:shd w:val="clear" w:color="auto" w:fill="BFE4FF"/>
          </w:tcPr>
          <w:p>
            <w:pPr>
              <w:spacing w:after="0"/>
              <w:rPr>
                <w:sz w:val="18"/>
                <w:szCs w:val="18"/>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0.11</w:t>
            </w:r>
          </w:p>
        </w:tc>
        <w:tc>
          <w:tcPr>
            <w:tcW w:w="0" w:type="dxa"/>
            <w:vAlign w:val="bottom"/>
          </w:tcPr>
          <w:p>
            <w:pPr>
              <w:spacing w:after="0"/>
              <w:rPr>
                <w:sz w:val="1"/>
                <w:szCs w:val="1"/>
                <w:color w:val="auto"/>
              </w:rPr>
            </w:pPr>
          </w:p>
        </w:tc>
      </w:tr>
      <w:tr>
        <w:trPr>
          <w:trHeight w:val="213"/>
        </w:trPr>
        <w:tc>
          <w:tcPr>
            <w:tcW w:w="6000" w:type="dxa"/>
            <w:vAlign w:val="bottom"/>
          </w:tcPr>
          <w:p>
            <w:pPr>
              <w:ind w:left="20"/>
              <w:spacing w:after="0"/>
              <w:rPr>
                <w:sz w:val="20"/>
                <w:szCs w:val="20"/>
                <w:color w:val="auto"/>
              </w:rPr>
            </w:pPr>
            <w:r>
              <w:rPr>
                <w:rFonts w:ascii="Arial" w:cs="Arial" w:eastAsia="Arial" w:hAnsi="Arial"/>
                <w:sz w:val="16"/>
                <w:szCs w:val="16"/>
                <w:color w:val="auto"/>
              </w:rPr>
              <w:t>Pre-tax foreign exchange (gain) loss on inter-company loans</w:t>
            </w:r>
          </w:p>
        </w:tc>
        <w:tc>
          <w:tcPr>
            <w:tcW w:w="2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19"/>
        </w:trPr>
        <w:tc>
          <w:tcPr>
            <w:tcW w:w="6000" w:type="dxa"/>
            <w:vAlign w:val="bottom"/>
            <w:shd w:val="clear" w:color="auto" w:fill="BFE4FF"/>
          </w:tcPr>
          <w:p>
            <w:pPr>
              <w:ind w:left="20"/>
              <w:spacing w:after="0"/>
              <w:rPr>
                <w:sz w:val="20"/>
                <w:szCs w:val="20"/>
                <w:color w:val="auto"/>
              </w:rPr>
            </w:pPr>
            <w:r>
              <w:rPr>
                <w:rFonts w:ascii="Arial" w:cs="Arial" w:eastAsia="Arial" w:hAnsi="Arial"/>
                <w:sz w:val="16"/>
                <w:szCs w:val="16"/>
                <w:color w:val="auto"/>
              </w:rPr>
              <w:t>Pre-tax write-off of unamortized debt issuance costs</w:t>
            </w:r>
          </w:p>
        </w:tc>
        <w:tc>
          <w:tcPr>
            <w:tcW w:w="220" w:type="dxa"/>
            <w:vAlign w:val="bottom"/>
            <w:shd w:val="clear" w:color="auto" w:fill="BFE4FF"/>
          </w:tcPr>
          <w:p>
            <w:pPr>
              <w:spacing w:after="0"/>
              <w:rPr>
                <w:sz w:val="19"/>
                <w:szCs w:val="19"/>
                <w:color w:val="auto"/>
              </w:rPr>
            </w:pPr>
          </w:p>
        </w:tc>
        <w:tc>
          <w:tcPr>
            <w:tcW w:w="1280" w:type="dxa"/>
            <w:vAlign w:val="bottom"/>
            <w:gridSpan w:val="2"/>
            <w:shd w:val="clear" w:color="auto" w:fill="BFE4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BFE4FF"/>
          </w:tcPr>
          <w:p>
            <w:pPr>
              <w:spacing w:after="0"/>
              <w:rPr>
                <w:sz w:val="19"/>
                <w:szCs w:val="19"/>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213"/>
        </w:trPr>
        <w:tc>
          <w:tcPr>
            <w:tcW w:w="6000" w:type="dxa"/>
            <w:vAlign w:val="bottom"/>
          </w:tcPr>
          <w:p>
            <w:pPr>
              <w:ind w:left="20"/>
              <w:spacing w:after="0"/>
              <w:rPr>
                <w:sz w:val="20"/>
                <w:szCs w:val="20"/>
                <w:color w:val="auto"/>
              </w:rPr>
            </w:pPr>
            <w:r>
              <w:rPr>
                <w:rFonts w:ascii="Arial" w:cs="Arial" w:eastAsia="Arial" w:hAnsi="Arial"/>
                <w:sz w:val="16"/>
                <w:szCs w:val="16"/>
                <w:color w:val="auto"/>
              </w:rPr>
              <w:t>Pre-tax change in fair value of preferred stock derivatives and warrants</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(0.16)</w:t>
            </w:r>
          </w:p>
        </w:tc>
        <w:tc>
          <w:tcPr>
            <w:tcW w:w="0" w:type="dxa"/>
            <w:vAlign w:val="bottom"/>
          </w:tcPr>
          <w:p>
            <w:pPr>
              <w:spacing w:after="0"/>
              <w:rPr>
                <w:sz w:val="1"/>
                <w:szCs w:val="1"/>
                <w:color w:val="auto"/>
              </w:rPr>
            </w:pPr>
          </w:p>
        </w:tc>
      </w:tr>
      <w:tr>
        <w:trPr>
          <w:trHeight w:val="219"/>
        </w:trPr>
        <w:tc>
          <w:tcPr>
            <w:tcW w:w="6000" w:type="dxa"/>
            <w:vAlign w:val="bottom"/>
            <w:shd w:val="clear" w:color="auto" w:fill="BFE4FF"/>
          </w:tcPr>
          <w:p>
            <w:pPr>
              <w:ind w:left="20"/>
              <w:spacing w:after="0"/>
              <w:rPr>
                <w:sz w:val="20"/>
                <w:szCs w:val="20"/>
                <w:color w:val="auto"/>
              </w:rPr>
            </w:pPr>
            <w:r>
              <w:rPr>
                <w:rFonts w:ascii="Arial" w:cs="Arial" w:eastAsia="Arial" w:hAnsi="Arial"/>
                <w:sz w:val="16"/>
                <w:szCs w:val="16"/>
                <w:color w:val="auto"/>
              </w:rPr>
              <w:t>Pre-tax amortization of intangibles and deferred financing costs</w:t>
            </w:r>
          </w:p>
        </w:tc>
        <w:tc>
          <w:tcPr>
            <w:tcW w:w="220" w:type="dxa"/>
            <w:vAlign w:val="bottom"/>
            <w:shd w:val="clear" w:color="auto" w:fill="BFE4FF"/>
          </w:tcPr>
          <w:p>
            <w:pPr>
              <w:spacing w:after="0"/>
              <w:rPr>
                <w:sz w:val="19"/>
                <w:szCs w:val="19"/>
                <w:color w:val="auto"/>
              </w:rPr>
            </w:pPr>
          </w:p>
        </w:tc>
        <w:tc>
          <w:tcPr>
            <w:tcW w:w="11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0.38</w:t>
            </w:r>
          </w:p>
        </w:tc>
        <w:tc>
          <w:tcPr>
            <w:tcW w:w="100" w:type="dxa"/>
            <w:vAlign w:val="bottom"/>
            <w:shd w:val="clear" w:color="auto" w:fill="BFE4FF"/>
          </w:tcPr>
          <w:p>
            <w:pPr>
              <w:spacing w:after="0"/>
              <w:rPr>
                <w:sz w:val="19"/>
                <w:szCs w:val="19"/>
                <w:color w:val="auto"/>
              </w:rPr>
            </w:pPr>
          </w:p>
        </w:tc>
        <w:tc>
          <w:tcPr>
            <w:tcW w:w="320" w:type="dxa"/>
            <w:vAlign w:val="bottom"/>
            <w:shd w:val="clear" w:color="auto" w:fill="BFE4FF"/>
          </w:tcPr>
          <w:p>
            <w:pPr>
              <w:spacing w:after="0"/>
              <w:rPr>
                <w:sz w:val="19"/>
                <w:szCs w:val="19"/>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0.36</w:t>
            </w:r>
          </w:p>
        </w:tc>
        <w:tc>
          <w:tcPr>
            <w:tcW w:w="0" w:type="dxa"/>
            <w:vAlign w:val="bottom"/>
          </w:tcPr>
          <w:p>
            <w:pPr>
              <w:spacing w:after="0"/>
              <w:rPr>
                <w:sz w:val="1"/>
                <w:szCs w:val="1"/>
                <w:color w:val="auto"/>
              </w:rPr>
            </w:pPr>
          </w:p>
        </w:tc>
      </w:tr>
      <w:tr>
        <w:trPr>
          <w:trHeight w:val="213"/>
        </w:trPr>
        <w:tc>
          <w:tcPr>
            <w:tcW w:w="6000" w:type="dxa"/>
            <w:vAlign w:val="bottom"/>
          </w:tcPr>
          <w:p>
            <w:pPr>
              <w:ind w:left="20"/>
              <w:spacing w:after="0"/>
              <w:rPr>
                <w:sz w:val="20"/>
                <w:szCs w:val="20"/>
                <w:color w:val="auto"/>
              </w:rPr>
            </w:pPr>
            <w:r>
              <w:rPr>
                <w:rFonts w:ascii="Arial" w:cs="Arial" w:eastAsia="Arial" w:hAnsi="Arial"/>
                <w:sz w:val="16"/>
                <w:szCs w:val="16"/>
                <w:color w:val="auto"/>
              </w:rPr>
              <w:t>Pre-tax interest rate swap payments and change in fair value</w:t>
            </w:r>
          </w:p>
        </w:tc>
        <w:tc>
          <w:tcPr>
            <w:tcW w:w="2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219"/>
        </w:trPr>
        <w:tc>
          <w:tcPr>
            <w:tcW w:w="6000" w:type="dxa"/>
            <w:vAlign w:val="bottom"/>
            <w:shd w:val="clear" w:color="auto" w:fill="BFE4FF"/>
          </w:tcPr>
          <w:p>
            <w:pPr>
              <w:ind w:left="20"/>
              <w:spacing w:after="0"/>
              <w:rPr>
                <w:sz w:val="20"/>
                <w:szCs w:val="20"/>
                <w:color w:val="auto"/>
              </w:rPr>
            </w:pPr>
            <w:r>
              <w:rPr>
                <w:rFonts w:ascii="Arial" w:cs="Arial" w:eastAsia="Arial" w:hAnsi="Arial"/>
                <w:sz w:val="16"/>
                <w:szCs w:val="16"/>
                <w:color w:val="auto"/>
              </w:rPr>
              <w:t>Pre-tax costs related to divested businesses and litigation settlement</w:t>
            </w:r>
          </w:p>
        </w:tc>
        <w:tc>
          <w:tcPr>
            <w:tcW w:w="220" w:type="dxa"/>
            <w:vAlign w:val="bottom"/>
            <w:shd w:val="clear" w:color="auto" w:fill="BFE4FF"/>
          </w:tcPr>
          <w:p>
            <w:pPr>
              <w:spacing w:after="0"/>
              <w:rPr>
                <w:sz w:val="19"/>
                <w:szCs w:val="19"/>
                <w:color w:val="auto"/>
              </w:rPr>
            </w:pPr>
          </w:p>
        </w:tc>
        <w:tc>
          <w:tcPr>
            <w:tcW w:w="1280" w:type="dxa"/>
            <w:vAlign w:val="bottom"/>
            <w:gridSpan w:val="2"/>
            <w:shd w:val="clear" w:color="auto" w:fill="BFE4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BFE4FF"/>
          </w:tcPr>
          <w:p>
            <w:pPr>
              <w:spacing w:after="0"/>
              <w:rPr>
                <w:sz w:val="19"/>
                <w:szCs w:val="19"/>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13"/>
        </w:trPr>
        <w:tc>
          <w:tcPr>
            <w:tcW w:w="6000" w:type="dxa"/>
            <w:vAlign w:val="bottom"/>
          </w:tcPr>
          <w:p>
            <w:pPr>
              <w:ind w:left="20"/>
              <w:spacing w:after="0"/>
              <w:rPr>
                <w:sz w:val="20"/>
                <w:szCs w:val="20"/>
                <w:color w:val="auto"/>
              </w:rPr>
            </w:pPr>
            <w:r>
              <w:rPr>
                <w:rFonts w:ascii="Arial" w:cs="Arial" w:eastAsia="Arial" w:hAnsi="Arial"/>
                <w:sz w:val="16"/>
                <w:szCs w:val="16"/>
                <w:color w:val="auto"/>
              </w:rPr>
              <w:t>Tax effect of adjustments reflected above (c)</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(0.09)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(0.10)</w:t>
            </w:r>
          </w:p>
        </w:tc>
        <w:tc>
          <w:tcPr>
            <w:tcW w:w="0" w:type="dxa"/>
            <w:vAlign w:val="bottom"/>
          </w:tcPr>
          <w:p>
            <w:pPr>
              <w:spacing w:after="0"/>
              <w:rPr>
                <w:sz w:val="1"/>
                <w:szCs w:val="1"/>
                <w:color w:val="auto"/>
              </w:rPr>
            </w:pPr>
          </w:p>
        </w:tc>
      </w:tr>
      <w:tr>
        <w:trPr>
          <w:trHeight w:val="219"/>
        </w:trPr>
        <w:tc>
          <w:tcPr>
            <w:tcW w:w="6000" w:type="dxa"/>
            <w:vAlign w:val="bottom"/>
            <w:shd w:val="clear" w:color="auto" w:fill="BFE4FF"/>
          </w:tcPr>
          <w:p>
            <w:pPr>
              <w:ind w:left="20"/>
              <w:spacing w:after="0"/>
              <w:rPr>
                <w:sz w:val="20"/>
                <w:szCs w:val="20"/>
                <w:color w:val="auto"/>
              </w:rPr>
            </w:pPr>
            <w:r>
              <w:rPr>
                <w:rFonts w:ascii="Arial" w:cs="Arial" w:eastAsia="Arial" w:hAnsi="Arial"/>
                <w:sz w:val="16"/>
                <w:szCs w:val="16"/>
                <w:color w:val="auto"/>
              </w:rPr>
              <w:t>Non-GAAP discrete tax adjustments</w:t>
            </w:r>
          </w:p>
        </w:tc>
        <w:tc>
          <w:tcPr>
            <w:tcW w:w="220" w:type="dxa"/>
            <w:vAlign w:val="bottom"/>
            <w:shd w:val="clear" w:color="auto" w:fill="BFE4FF"/>
          </w:tcPr>
          <w:p>
            <w:pPr>
              <w:spacing w:after="0"/>
              <w:rPr>
                <w:sz w:val="19"/>
                <w:szCs w:val="19"/>
                <w:color w:val="auto"/>
              </w:rPr>
            </w:pPr>
          </w:p>
        </w:tc>
        <w:tc>
          <w:tcPr>
            <w:tcW w:w="11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0.07</w:t>
            </w:r>
          </w:p>
        </w:tc>
        <w:tc>
          <w:tcPr>
            <w:tcW w:w="100" w:type="dxa"/>
            <w:vAlign w:val="bottom"/>
            <w:shd w:val="clear" w:color="auto" w:fill="BFE4FF"/>
          </w:tcPr>
          <w:p>
            <w:pPr>
              <w:spacing w:after="0"/>
              <w:rPr>
                <w:sz w:val="19"/>
                <w:szCs w:val="19"/>
                <w:color w:val="auto"/>
              </w:rPr>
            </w:pPr>
          </w:p>
        </w:tc>
        <w:tc>
          <w:tcPr>
            <w:tcW w:w="320" w:type="dxa"/>
            <w:vAlign w:val="bottom"/>
            <w:shd w:val="clear" w:color="auto" w:fill="BFE4FF"/>
          </w:tcPr>
          <w:p>
            <w:pPr>
              <w:spacing w:after="0"/>
              <w:rPr>
                <w:sz w:val="19"/>
                <w:szCs w:val="19"/>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13"/>
        </w:trPr>
        <w:tc>
          <w:tcPr>
            <w:tcW w:w="6000" w:type="dxa"/>
            <w:vAlign w:val="bottom"/>
          </w:tcPr>
          <w:p>
            <w:pPr>
              <w:ind w:left="20"/>
              <w:spacing w:after="0"/>
              <w:rPr>
                <w:sz w:val="20"/>
                <w:szCs w:val="20"/>
                <w:color w:val="auto"/>
              </w:rPr>
            </w:pPr>
            <w:r>
              <w:rPr>
                <w:rFonts w:ascii="Arial" w:cs="Arial" w:eastAsia="Arial" w:hAnsi="Arial"/>
                <w:sz w:val="16"/>
                <w:szCs w:val="16"/>
                <w:color w:val="auto"/>
              </w:rPr>
              <w:t>(Income) loss from discontinued operations, net of tax</w:t>
            </w:r>
          </w:p>
        </w:tc>
        <w:tc>
          <w:tcPr>
            <w:tcW w:w="2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16"/>
        </w:trPr>
        <w:tc>
          <w:tcPr>
            <w:tcW w:w="6000" w:type="dxa"/>
            <w:vAlign w:val="bottom"/>
            <w:shd w:val="clear" w:color="auto" w:fill="BFE4FF"/>
          </w:tcPr>
          <w:p>
            <w:pPr>
              <w:ind w:left="20"/>
              <w:spacing w:after="0"/>
              <w:rPr>
                <w:sz w:val="20"/>
                <w:szCs w:val="20"/>
                <w:color w:val="auto"/>
              </w:rPr>
            </w:pPr>
            <w:r>
              <w:rPr>
                <w:rFonts w:ascii="Arial" w:cs="Arial" w:eastAsia="Arial" w:hAnsi="Arial"/>
                <w:sz w:val="16"/>
                <w:szCs w:val="16"/>
                <w:color w:val="auto"/>
              </w:rPr>
              <w:t>Preferred stock cumulative dividends and deemed dividends</w:t>
            </w:r>
          </w:p>
        </w:tc>
        <w:tc>
          <w:tcPr>
            <w:tcW w:w="220" w:type="dxa"/>
            <w:vAlign w:val="bottom"/>
            <w:tcBorders>
              <w:bottom w:val="single" w:sz="8" w:color="auto"/>
            </w:tcBorders>
            <w:shd w:val="clear" w:color="auto" w:fill="BFE4FF"/>
          </w:tcPr>
          <w:p>
            <w:pPr>
              <w:spacing w:after="0"/>
              <w:rPr>
                <w:sz w:val="18"/>
                <w:szCs w:val="18"/>
                <w:color w:val="auto"/>
              </w:rPr>
            </w:pPr>
          </w:p>
        </w:tc>
        <w:tc>
          <w:tcPr>
            <w:tcW w:w="11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0.24</w:t>
            </w:r>
          </w:p>
        </w:tc>
        <w:tc>
          <w:tcPr>
            <w:tcW w:w="100" w:type="dxa"/>
            <w:vAlign w:val="bottom"/>
            <w:shd w:val="clear" w:color="auto" w:fill="BFE4FF"/>
          </w:tcPr>
          <w:p>
            <w:pPr>
              <w:spacing w:after="0"/>
              <w:rPr>
                <w:sz w:val="18"/>
                <w:szCs w:val="18"/>
                <w:color w:val="auto"/>
              </w:rPr>
            </w:pPr>
          </w:p>
        </w:tc>
        <w:tc>
          <w:tcPr>
            <w:tcW w:w="320" w:type="dxa"/>
            <w:vAlign w:val="bottom"/>
            <w:tcBorders>
              <w:bottom w:val="single" w:sz="8" w:color="auto"/>
            </w:tcBorders>
            <w:shd w:val="clear" w:color="auto" w:fill="BFE4FF"/>
          </w:tcPr>
          <w:p>
            <w:pPr>
              <w:spacing w:after="0"/>
              <w:rPr>
                <w:sz w:val="18"/>
                <w:szCs w:val="18"/>
                <w:color w:val="auto"/>
              </w:rPr>
            </w:pPr>
          </w:p>
        </w:tc>
        <w:tc>
          <w:tcPr>
            <w:tcW w:w="10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0.49</w:t>
            </w:r>
          </w:p>
        </w:tc>
        <w:tc>
          <w:tcPr>
            <w:tcW w:w="0" w:type="dxa"/>
            <w:vAlign w:val="bottom"/>
          </w:tcPr>
          <w:p>
            <w:pPr>
              <w:spacing w:after="0"/>
              <w:rPr>
                <w:sz w:val="1"/>
                <w:szCs w:val="1"/>
                <w:color w:val="auto"/>
              </w:rPr>
            </w:pPr>
          </w:p>
        </w:tc>
      </w:tr>
      <w:tr>
        <w:trPr>
          <w:trHeight w:val="213"/>
        </w:trPr>
        <w:tc>
          <w:tcPr>
            <w:tcW w:w="6000" w:type="dxa"/>
            <w:vAlign w:val="bottom"/>
          </w:tcPr>
          <w:p>
            <w:pPr>
              <w:ind w:left="20"/>
              <w:spacing w:after="0"/>
              <w:rPr>
                <w:sz w:val="20"/>
                <w:szCs w:val="20"/>
                <w:color w:val="auto"/>
              </w:rPr>
            </w:pPr>
            <w:r>
              <w:rPr>
                <w:rFonts w:ascii="Arial" w:cs="Arial" w:eastAsia="Arial" w:hAnsi="Arial"/>
                <w:sz w:val="16"/>
                <w:szCs w:val="16"/>
                <w:color w:val="auto"/>
              </w:rPr>
              <w:t>Non-GAAP adjusted net income (loss) per diluted common share (d)</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$(0.19)</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0"/>
        </w:trPr>
        <w:tc>
          <w:tcPr>
            <w:tcW w:w="6000" w:type="dxa"/>
            <w:vAlign w:val="bottom"/>
            <w:tcBorders>
              <w:bottom w:val="single" w:sz="8" w:color="BFE4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FE4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0" w:type="dxa"/>
            <w:vAlign w:val="bottom"/>
            <w:shd w:val="clear" w:color="auto" w:fill="BFE4FF"/>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220" w:type="dxa"/>
            <w:vAlign w:val="bottom"/>
            <w:shd w:val="clear" w:color="auto" w:fill="BFE4FF"/>
          </w:tcPr>
          <w:p>
            <w:pPr>
              <w:spacing w:after="0"/>
              <w:rPr>
                <w:sz w:val="18"/>
                <w:szCs w:val="18"/>
                <w:color w:val="auto"/>
              </w:rPr>
            </w:pPr>
          </w:p>
        </w:tc>
        <w:tc>
          <w:tcPr>
            <w:tcW w:w="11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44,680</w:t>
            </w:r>
          </w:p>
        </w:tc>
        <w:tc>
          <w:tcPr>
            <w:tcW w:w="100" w:type="dxa"/>
            <w:vAlign w:val="bottom"/>
            <w:shd w:val="clear" w:color="auto" w:fill="BFE4FF"/>
          </w:tcPr>
          <w:p>
            <w:pPr>
              <w:spacing w:after="0"/>
              <w:rPr>
                <w:sz w:val="18"/>
                <w:szCs w:val="18"/>
                <w:color w:val="auto"/>
              </w:rPr>
            </w:pPr>
          </w:p>
        </w:tc>
        <w:tc>
          <w:tcPr>
            <w:tcW w:w="320" w:type="dxa"/>
            <w:vAlign w:val="bottom"/>
            <w:shd w:val="clear" w:color="auto" w:fill="BFE4FF"/>
          </w:tcPr>
          <w:p>
            <w:pPr>
              <w:spacing w:after="0"/>
              <w:rPr>
                <w:sz w:val="18"/>
                <w:szCs w:val="18"/>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44,011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0120"/>
          </w:cols>
          <w:pgMar w:left="1440" w:top="1440" w:right="339" w:bottom="1440" w:gutter="0" w:footer="0" w:header="0"/>
        </w:sectPr>
      </w:pPr>
    </w:p>
    <w:bookmarkStart w:id="15" w:name="page16"/>
    <w:bookmarkEnd w:id="15"/>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Operating Cash Flow to Free Cash Flow</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6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rPr>
              <w:t>Three Months Ended</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Year Ended</w:t>
            </w:r>
          </w:p>
        </w:tc>
        <w:tc>
          <w:tcPr>
            <w:tcW w:w="860" w:type="dxa"/>
            <w:vAlign w:val="bottom"/>
          </w:tcPr>
          <w:p>
            <w:pPr>
              <w:spacing w:after="0"/>
              <w:rPr>
                <w:sz w:val="16"/>
                <w:szCs w:val="16"/>
                <w:color w:val="auto"/>
              </w:rPr>
            </w:pPr>
          </w:p>
        </w:tc>
      </w:tr>
      <w:tr>
        <w:trPr>
          <w:trHeight w:val="210"/>
        </w:trPr>
        <w:tc>
          <w:tcPr>
            <w:tcW w:w="4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right"/>
              <w:ind w:right="319"/>
              <w:spacing w:after="0"/>
              <w:rPr>
                <w:sz w:val="20"/>
                <w:szCs w:val="20"/>
                <w:color w:val="auto"/>
              </w:rPr>
            </w:pPr>
            <w:r>
              <w:rPr>
                <w:rFonts w:ascii="Arial" w:cs="Arial" w:eastAsia="Arial" w:hAnsi="Arial"/>
                <w:sz w:val="16"/>
                <w:szCs w:val="16"/>
                <w:b w:val="1"/>
                <w:bCs w:val="1"/>
                <w:color w:val="auto"/>
              </w:rPr>
              <w:t>December 31,</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Borders>
              <w:bottom w:val="single" w:sz="8" w:color="auto"/>
            </w:tcBorders>
          </w:tcPr>
          <w:p>
            <w:pPr>
              <w:spacing w:after="0"/>
              <w:rPr>
                <w:sz w:val="18"/>
                <w:szCs w:val="18"/>
                <w:color w:val="auto"/>
              </w:rPr>
            </w:pPr>
          </w:p>
        </w:tc>
      </w:tr>
      <w:tr>
        <w:trPr>
          <w:trHeight w:val="212"/>
        </w:trPr>
        <w:tc>
          <w:tcPr>
            <w:tcW w:w="4280" w:type="dxa"/>
            <w:vAlign w:val="bottom"/>
            <w:tcBorders>
              <w:bottom w:val="single" w:sz="8" w:color="BFE4FF"/>
            </w:tcBorders>
          </w:tcPr>
          <w:p>
            <w:pPr>
              <w:ind w:left="20"/>
              <w:spacing w:after="0"/>
              <w:rPr>
                <w:sz w:val="20"/>
                <w:szCs w:val="20"/>
                <w:color w:val="auto"/>
              </w:rPr>
            </w:pPr>
            <w:r>
              <w:rPr>
                <w:rFonts w:ascii="Arial" w:cs="Arial" w:eastAsia="Arial" w:hAnsi="Arial"/>
                <w:sz w:val="16"/>
                <w:szCs w:val="16"/>
                <w:b w:val="1"/>
                <w:bCs w:val="1"/>
                <w:i w:val="1"/>
                <w:iCs w:val="1"/>
                <w:color w:val="auto"/>
              </w:rPr>
              <w:t>(in thousands)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BFE4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BFE4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BFE4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w w:val="95"/>
              </w:rPr>
              <w:t>2021</w:t>
            </w:r>
          </w:p>
        </w:tc>
      </w:tr>
      <w:tr>
        <w:trPr>
          <w:trHeight w:val="212"/>
        </w:trPr>
        <w:tc>
          <w:tcPr>
            <w:tcW w:w="4280" w:type="dxa"/>
            <w:vAlign w:val="bottom"/>
            <w:shd w:val="clear" w:color="auto" w:fill="BFE4FF"/>
          </w:tcPr>
          <w:p>
            <w:pPr>
              <w:ind w:left="20"/>
              <w:spacing w:after="0"/>
              <w:rPr>
                <w:sz w:val="20"/>
                <w:szCs w:val="20"/>
                <w:color w:val="auto"/>
              </w:rPr>
            </w:pPr>
            <w:r>
              <w:rPr>
                <w:rFonts w:ascii="Arial" w:cs="Arial" w:eastAsia="Arial" w:hAnsi="Arial"/>
                <w:sz w:val="16"/>
                <w:szCs w:val="16"/>
                <w:color w:val="auto"/>
              </w:rPr>
              <w:t>Net cash provided (used) by operating activities</w:t>
            </w:r>
          </w:p>
        </w:tc>
        <w:tc>
          <w:tcPr>
            <w:tcW w:w="30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10,388</w:t>
            </w:r>
          </w:p>
        </w:tc>
        <w:tc>
          <w:tcPr>
            <w:tcW w:w="100" w:type="dxa"/>
            <w:vAlign w:val="bottom"/>
            <w:shd w:val="clear" w:color="auto" w:fill="BFE4FF"/>
          </w:tcPr>
          <w:p>
            <w:pPr>
              <w:spacing w:after="0"/>
              <w:rPr>
                <w:sz w:val="18"/>
                <w:szCs w:val="18"/>
                <w:color w:val="auto"/>
              </w:rPr>
            </w:pPr>
          </w:p>
        </w:tc>
        <w:tc>
          <w:tcPr>
            <w:tcW w:w="820" w:type="dxa"/>
            <w:vAlign w:val="bottom"/>
            <w:shd w:val="clear" w:color="auto" w:fill="BFE4FF"/>
          </w:tcPr>
          <w:p>
            <w:pPr>
              <w:jc w:val="right"/>
              <w:ind w:right="63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9,895</w:t>
            </w:r>
          </w:p>
        </w:tc>
        <w:tc>
          <w:tcPr>
            <w:tcW w:w="100" w:type="dxa"/>
            <w:vAlign w:val="bottom"/>
            <w:shd w:val="clear" w:color="auto" w:fill="BFE4FF"/>
          </w:tcPr>
          <w:p>
            <w:pPr>
              <w:spacing w:after="0"/>
              <w:rPr>
                <w:sz w:val="18"/>
                <w:szCs w:val="18"/>
                <w:color w:val="auto"/>
              </w:rPr>
            </w:pPr>
          </w:p>
        </w:tc>
        <w:tc>
          <w:tcPr>
            <w:tcW w:w="30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7,717</w:t>
            </w:r>
          </w:p>
        </w:tc>
        <w:tc>
          <w:tcPr>
            <w:tcW w:w="100" w:type="dxa"/>
            <w:vAlign w:val="bottom"/>
            <w:shd w:val="clear" w:color="auto" w:fill="BFE4FF"/>
          </w:tcPr>
          <w:p>
            <w:pPr>
              <w:spacing w:after="0"/>
              <w:rPr>
                <w:sz w:val="18"/>
                <w:szCs w:val="18"/>
                <w:color w:val="auto"/>
              </w:rPr>
            </w:pPr>
          </w:p>
        </w:tc>
        <w:tc>
          <w:tcPr>
            <w:tcW w:w="460" w:type="dxa"/>
            <w:vAlign w:val="bottom"/>
            <w:shd w:val="clear" w:color="auto" w:fill="BFE4FF"/>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15,586</w:t>
            </w:r>
          </w:p>
        </w:tc>
      </w:tr>
      <w:tr>
        <w:trPr>
          <w:trHeight w:val="213"/>
        </w:trPr>
        <w:tc>
          <w:tcPr>
            <w:tcW w:w="4280" w:type="dxa"/>
            <w:vAlign w:val="bottom"/>
          </w:tcPr>
          <w:p>
            <w:pPr>
              <w:ind w:left="20"/>
              <w:spacing w:after="0"/>
              <w:rPr>
                <w:sz w:val="20"/>
                <w:szCs w:val="20"/>
                <w:color w:val="auto"/>
              </w:rPr>
            </w:pPr>
            <w:r>
              <w:rPr>
                <w:rFonts w:ascii="Arial" w:cs="Arial" w:eastAsia="Arial" w:hAnsi="Arial"/>
                <w:sz w:val="16"/>
                <w:szCs w:val="16"/>
                <w:color w:val="auto"/>
              </w:rPr>
              <w:t>Acquisition of property, plant, and equipment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(3,941)</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0"/>
              </w:rPr>
              <w:t>(3,665)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(17,952)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(18,221)</w:t>
            </w:r>
          </w:p>
        </w:tc>
      </w:tr>
      <w:tr>
        <w:trPr>
          <w:trHeight w:val="216"/>
        </w:trPr>
        <w:tc>
          <w:tcPr>
            <w:tcW w:w="4280" w:type="dxa"/>
            <w:vAlign w:val="bottom"/>
            <w:shd w:val="clear" w:color="auto" w:fill="BFE4FF"/>
          </w:tcPr>
          <w:p>
            <w:pPr>
              <w:ind w:left="20"/>
              <w:spacing w:after="0"/>
              <w:rPr>
                <w:sz w:val="20"/>
                <w:szCs w:val="20"/>
                <w:color w:val="auto"/>
              </w:rPr>
            </w:pPr>
            <w:r>
              <w:rPr>
                <w:rFonts w:ascii="Arial" w:cs="Arial" w:eastAsia="Arial" w:hAnsi="Arial"/>
                <w:sz w:val="16"/>
                <w:szCs w:val="16"/>
                <w:color w:val="auto"/>
              </w:rPr>
              <w:t>Proceeds from sale of property, plant, and equipment</w:t>
            </w:r>
          </w:p>
        </w:tc>
        <w:tc>
          <w:tcPr>
            <w:tcW w:w="300" w:type="dxa"/>
            <w:vAlign w:val="bottom"/>
            <w:shd w:val="clear" w:color="auto" w:fill="BFE4FF"/>
          </w:tcPr>
          <w:p>
            <w:pPr>
              <w:spacing w:after="0"/>
              <w:rPr>
                <w:sz w:val="18"/>
                <w:szCs w:val="18"/>
                <w:color w:val="auto"/>
              </w:rPr>
            </w:pPr>
          </w:p>
        </w:tc>
        <w:tc>
          <w:tcPr>
            <w:tcW w:w="1140" w:type="dxa"/>
            <w:vAlign w:val="bottom"/>
            <w:gridSpan w:val="2"/>
            <w:shd w:val="clear" w:color="auto" w:fill="BFE4FF"/>
          </w:tcPr>
          <w:p>
            <w:pPr>
              <w:jc w:val="right"/>
              <w:ind w:right="180"/>
              <w:spacing w:after="0"/>
              <w:rPr>
                <w:sz w:val="20"/>
                <w:szCs w:val="20"/>
                <w:color w:val="auto"/>
              </w:rPr>
            </w:pPr>
            <w:r>
              <w:rPr>
                <w:rFonts w:ascii="Arial" w:cs="Arial" w:eastAsia="Arial" w:hAnsi="Arial"/>
                <w:sz w:val="16"/>
                <w:szCs w:val="16"/>
                <w:color w:val="auto"/>
              </w:rPr>
              <w:t>—</w:t>
            </w:r>
          </w:p>
        </w:tc>
        <w:tc>
          <w:tcPr>
            <w:tcW w:w="820" w:type="dxa"/>
            <w:vAlign w:val="bottom"/>
            <w:shd w:val="clear" w:color="auto" w:fill="BFE4FF"/>
          </w:tcPr>
          <w:p>
            <w:pPr>
              <w:spacing w:after="0"/>
              <w:rPr>
                <w:sz w:val="18"/>
                <w:szCs w:val="18"/>
                <w:color w:val="auto"/>
              </w:rPr>
            </w:pPr>
          </w:p>
        </w:tc>
        <w:tc>
          <w:tcPr>
            <w:tcW w:w="5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241</w:t>
            </w:r>
          </w:p>
        </w:tc>
        <w:tc>
          <w:tcPr>
            <w:tcW w:w="100" w:type="dxa"/>
            <w:vAlign w:val="bottom"/>
            <w:shd w:val="clear" w:color="auto" w:fill="BFE4FF"/>
          </w:tcPr>
          <w:p>
            <w:pPr>
              <w:spacing w:after="0"/>
              <w:rPr>
                <w:sz w:val="18"/>
                <w:szCs w:val="18"/>
                <w:color w:val="auto"/>
              </w:rPr>
            </w:pPr>
          </w:p>
        </w:tc>
        <w:tc>
          <w:tcPr>
            <w:tcW w:w="300" w:type="dxa"/>
            <w:vAlign w:val="bottom"/>
            <w:shd w:val="clear" w:color="auto" w:fill="BFE4FF"/>
          </w:tcPr>
          <w:p>
            <w:pPr>
              <w:spacing w:after="0"/>
              <w:rPr>
                <w:sz w:val="18"/>
                <w:szCs w:val="18"/>
                <w:color w:val="auto"/>
              </w:rPr>
            </w:pPr>
          </w:p>
        </w:tc>
        <w:tc>
          <w:tcPr>
            <w:tcW w:w="10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460</w:t>
            </w:r>
          </w:p>
        </w:tc>
        <w:tc>
          <w:tcPr>
            <w:tcW w:w="100" w:type="dxa"/>
            <w:vAlign w:val="bottom"/>
            <w:shd w:val="clear" w:color="auto" w:fill="BFE4FF"/>
          </w:tcPr>
          <w:p>
            <w:pPr>
              <w:spacing w:after="0"/>
              <w:rPr>
                <w:sz w:val="18"/>
                <w:szCs w:val="18"/>
                <w:color w:val="auto"/>
              </w:rPr>
            </w:pPr>
          </w:p>
        </w:tc>
        <w:tc>
          <w:tcPr>
            <w:tcW w:w="460" w:type="dxa"/>
            <w:vAlign w:val="bottom"/>
            <w:shd w:val="clear" w:color="auto" w:fill="BFE4FF"/>
          </w:tcPr>
          <w:p>
            <w:pPr>
              <w:spacing w:after="0"/>
              <w:rPr>
                <w:sz w:val="18"/>
                <w:szCs w:val="18"/>
                <w:color w:val="auto"/>
              </w:rPr>
            </w:pPr>
          </w:p>
        </w:tc>
        <w:tc>
          <w:tcPr>
            <w:tcW w:w="8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1,418</w:t>
            </w:r>
          </w:p>
        </w:tc>
      </w:tr>
      <w:tr>
        <w:trPr>
          <w:trHeight w:val="212"/>
        </w:trPr>
        <w:tc>
          <w:tcPr>
            <w:tcW w:w="4280" w:type="dxa"/>
            <w:vAlign w:val="bottom"/>
          </w:tcPr>
          <w:p>
            <w:pPr>
              <w:ind w:left="20"/>
              <w:spacing w:after="0"/>
              <w:rPr>
                <w:sz w:val="20"/>
                <w:szCs w:val="20"/>
                <w:color w:val="auto"/>
              </w:rPr>
            </w:pPr>
            <w:r>
              <w:rPr>
                <w:rFonts w:ascii="Arial" w:cs="Arial" w:eastAsia="Arial" w:hAnsi="Arial"/>
                <w:sz w:val="16"/>
                <w:szCs w:val="16"/>
                <w:color w:val="auto"/>
              </w:rPr>
              <w:t>Free cash flow</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6,447</w:t>
            </w:r>
          </w:p>
        </w:tc>
        <w:tc>
          <w:tcPr>
            <w:tcW w:w="1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6,471</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(9,775)</w:t>
            </w:r>
          </w:p>
        </w:tc>
        <w:tc>
          <w:tcPr>
            <w:tcW w:w="10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(1,217)</w:t>
            </w:r>
          </w:p>
        </w:tc>
      </w:tr>
      <w:tr>
        <w:trPr>
          <w:trHeight w:val="21"/>
        </w:trPr>
        <w:tc>
          <w:tcPr>
            <w:tcW w:w="4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40"/>
          </w:cols>
          <w:pgMar w:left="320" w:top="1440" w:right="339" w:bottom="1440" w:gutter="0" w:footer="0" w:header="0"/>
        </w:sectPr>
      </w:pPr>
    </w:p>
    <w:bookmarkStart w:id="16" w:name="page17"/>
    <w:bookmarkEnd w:id="16"/>
    <w:p>
      <w:pPr>
        <w:spacing w:after="0" w:line="267" w:lineRule="auto"/>
        <w:rPr>
          <w:sz w:val="20"/>
          <w:szCs w:val="20"/>
          <w:color w:val="auto"/>
        </w:rPr>
      </w:pPr>
      <w:r>
        <w:rPr>
          <w:rFonts w:ascii="Arial" w:cs="Arial" w:eastAsia="Arial" w:hAnsi="Arial"/>
          <w:sz w:val="16"/>
          <w:szCs w:val="16"/>
          <w:i w:val="1"/>
          <w:iCs w:val="1"/>
          <w:color w:val="auto"/>
        </w:rPr>
        <w:t>The Company discloses in this presentation the non-GAAP financial measures of adjusted income (loss) from operations, adjusted EBITDA, adjusted net income (loss), adjusted net income (loss) per diluted common share, and free cash flow. Each of these non-GAAP financial measures provides supplementary information about the impacts of acquisition, divestiture and integration related expenses, foreign-exchange impacts on inter-company loans, reorganizational and impairment charges. Over the past five years, we have completed several acquisitions, one of which was transformative for the Company, and sold two of our businesses. The costs we incurred in completing such acquisitions, including the amortization of intangibles and deferred financing costs, and these divestitures have been excluded from these measures because their size and inconsistent frequency are unrelated to our commercial performance during the period, and which we believe are not indicative of our ongoing operating costs. We exclude the impact of currency translation from these measures because foreign exchange rates are not under management’s control and are subject to volatility. Other non-operating charges are excluded as the charges are not indicative of our ongoing operating cost. We believe the presentation of adjusted income (loss) from operations, adjusted EBITDA, adjusted net income (loss), adjusted net income (loss) per diluted common share, and free cash flow provides useful information in assessing our underlying business trends and facilitates comparison of our long-term performance over given periods.</w:t>
      </w:r>
    </w:p>
    <w:p>
      <w:pPr>
        <w:spacing w:after="0" w:line="151" w:lineRule="exact"/>
        <w:rPr>
          <w:sz w:val="20"/>
          <w:szCs w:val="20"/>
          <w:color w:val="auto"/>
        </w:rPr>
      </w:pPr>
    </w:p>
    <w:p>
      <w:pPr>
        <w:ind w:right="240"/>
        <w:spacing w:after="0" w:line="272" w:lineRule="auto"/>
        <w:rPr>
          <w:sz w:val="20"/>
          <w:szCs w:val="20"/>
          <w:color w:val="auto"/>
        </w:rPr>
      </w:pPr>
      <w:r>
        <w:rPr>
          <w:rFonts w:ascii="Arial" w:cs="Arial" w:eastAsia="Arial" w:hAnsi="Arial"/>
          <w:sz w:val="16"/>
          <w:szCs w:val="16"/>
          <w:i w:val="1"/>
          <w:iCs w:val="1"/>
          <w:color w:val="auto"/>
        </w:rPr>
        <w:t>The non-GAAP financial measures provided herein may not provide information that is directly comparable to that provided by other companies in the Company's industry, as other companies may calculate such financial results differently. The Company's non-GAAP financial measures are not measurements of financial performance under GAAP and should not be considered as alternatives to actual income growth derived from income amounts presented in accordance with GAAP. The Company does not consider these non-GAAP financial measures to be a substitute for, or superior to, the information provided by GAAP financial results.</w:t>
      </w:r>
    </w:p>
    <w:p>
      <w:pPr>
        <w:spacing w:after="0" w:line="159" w:lineRule="exact"/>
        <w:rPr>
          <w:sz w:val="20"/>
          <w:szCs w:val="20"/>
          <w:color w:val="auto"/>
        </w:rPr>
      </w:pPr>
    </w:p>
    <w:p>
      <w:pPr>
        <w:ind w:right="140" w:firstLine="8"/>
        <w:spacing w:after="0" w:line="269" w:lineRule="auto"/>
        <w:tabs>
          <w:tab w:leader="none" w:pos="243"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Non-GAAP Adjusted income (loss) from operations represents GAAP income (loss) from operations, adjusted to exclude the effects of restructuring and integration expense; non-operational charges related to acquisition and transition expense, intangible amortization costs for fair value step-up in values related to acquisitions, non-cash impairment charges, and when applicable, our share of income from joint venture operations. We believe this presentation is commonly used by investors and professional research analysts in the valuation, comparison, rating, and investment recommendations of companies in the industrial industry. We use this information for comparative purposes within the industry. Non-GAAP adjusted income (loss) from operations is not a measure of financial performance under GAAP and should not be considered as a measure of liquidity or as an alternative to GAAP income (loss) from operations.</w:t>
      </w:r>
    </w:p>
    <w:p>
      <w:pPr>
        <w:spacing w:after="0" w:line="149" w:lineRule="exact"/>
        <w:rPr>
          <w:rFonts w:ascii="Arial" w:cs="Arial" w:eastAsia="Arial" w:hAnsi="Arial"/>
          <w:sz w:val="16"/>
          <w:szCs w:val="16"/>
          <w:i w:val="1"/>
          <w:iCs w:val="1"/>
          <w:color w:val="auto"/>
        </w:rPr>
      </w:pPr>
    </w:p>
    <w:p>
      <w:pPr>
        <w:ind w:right="40" w:firstLine="8"/>
        <w:spacing w:after="0" w:line="269" w:lineRule="auto"/>
        <w:tabs>
          <w:tab w:leader="none" w:pos="243"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Non-GAAP adjusted EBITDA represents GAAP net income (loss), adjusted to include income taxes, interest expense, write-off of unamortized debt issuance costs, interest rate swap payments and change in fair value that was recognized in earnings, change in fair value of preferred stock derivatives and warrants, depreciation and amortization, charges related to acquisition and transition costs, non-cash stock compensation expense, foreign exchange gain (loss) on inter-company loans, restructuring and integration expense, costs related to divested businesses and litigation settlements, income from discontinued operations, and non-cash impairment charges, to the extent applicable. We believe this presentation is commonly used by investors and professional research analysts in the valuation, comparison, rating, and investment recommendations of companies in the industrial industry. We use this information for comparative purposes within the industry. Non-GAAP adjusted EBITDA is not a measure of financial performance under GAAP and should not be considered as a measure of liquidity or as an alternative to GAAP income (loss) from continuing operations.</w:t>
      </w:r>
    </w:p>
    <w:p>
      <w:pPr>
        <w:spacing w:after="0" w:line="145" w:lineRule="exact"/>
        <w:rPr>
          <w:rFonts w:ascii="Arial" w:cs="Arial" w:eastAsia="Arial" w:hAnsi="Arial"/>
          <w:sz w:val="16"/>
          <w:szCs w:val="16"/>
          <w:i w:val="1"/>
          <w:iCs w:val="1"/>
          <w:color w:val="auto"/>
        </w:rPr>
      </w:pPr>
    </w:p>
    <w:p>
      <w:pPr>
        <w:ind w:right="340" w:firstLine="8"/>
        <w:spacing w:after="0" w:line="281" w:lineRule="auto"/>
        <w:tabs>
          <w:tab w:leader="none" w:pos="234"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This line item reflects the aggregate tax effect of all non-tax adjustments reflected in the respective table. NN, Inc. estimates the tax effect of the adjustment items identified in the reconciliation schedule above by applying the applicable statutory rates by tax jurisdiction unless the nature of the item and/or the tax jurisdiction in which the item has been recorded requires application of a specific tax rate or tax treatment.</w:t>
      </w:r>
    </w:p>
    <w:p>
      <w:pPr>
        <w:spacing w:after="0" w:line="150" w:lineRule="exact"/>
        <w:rPr>
          <w:rFonts w:ascii="Arial" w:cs="Arial" w:eastAsia="Arial" w:hAnsi="Arial"/>
          <w:sz w:val="16"/>
          <w:szCs w:val="16"/>
          <w:i w:val="1"/>
          <w:iCs w:val="1"/>
          <w:color w:val="auto"/>
        </w:rPr>
      </w:pPr>
    </w:p>
    <w:p>
      <w:pPr>
        <w:ind w:right="20" w:firstLine="8"/>
        <w:spacing w:after="0" w:line="269" w:lineRule="auto"/>
        <w:tabs>
          <w:tab w:leader="none" w:pos="243"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Non-GAAP adjusted net income (loss) represents GAAP net income (loss) adjusted to exclude the tax-affected effects of charges related to acquisition and transition costs, foreign exchange gain (loss) on inter-company loans, restructuring and integration charges, amortization of intangibles costs for fair value step-up in values related to acquisitions and amortization of deferred financing costs, non-cash impairment charges, write-off of unamortized debt issuance costs, interest rate swap payments and change in fair value, change in fair value of preferred stock derivatives and warrants, costs related to divested businesses and litigation settlements, income (loss) from discontinued operations, and preferred stock cumulative dividends and deemed dividends. We believe this presentation is commonly used by investors and professional research analysts in the valuation, comparison, rating, and investment recommendations of companies in the industrial industry. We use this information for comparative purposes within the industry.</w:t>
      </w:r>
    </w:p>
    <w:p>
      <w:pPr>
        <w:spacing w:after="0" w:line="38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14</w:t>
      </w:r>
    </w:p>
    <w:sectPr>
      <w:pgSz w:w="11900" w:h="16838" w:orient="portrait"/>
      <w:cols w:equalWidth="0" w:num="1">
        <w:col w:w="11240"/>
      </w:cols>
      <w:pgMar w:left="320" w:top="139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upperLetter"/>
      <w:start w:val="40"/>
    </w:lvl>
  </w:abstractNum>
  <w:abstractNum w:abstractNumId="4">
    <w:nsid w:val="2EB141F2"/>
    <w:multiLevelType w:val="hybridMultilevel"/>
    <w:lvl w:ilvl="0">
      <w:lvlJc w:val="left"/>
      <w:lvlText w:val="%1"/>
      <w:numFmt w:val="upperLetter"/>
      <w:start w:val="40"/>
    </w:lvl>
  </w:abstractNum>
  <w:abstractNum w:abstractNumId="5">
    <w:nsid w:val="41B71EFB"/>
    <w:multiLevelType w:val="hybridMultilevel"/>
    <w:lvl w:ilvl="0">
      <w:lvlJc w:val="left"/>
      <w:lvlText w:val="(%1)"/>
      <w:numFmt w:val="decimal"/>
      <w:start w:val="2"/>
    </w:lvl>
  </w:abstractNum>
  <w:abstractNum w:abstractNumId="6">
    <w:nsid w:val="79E2A9E3"/>
    <w:multiLevelType w:val="hybridMultilevel"/>
    <w:lvl w:ilvl="0">
      <w:lvlJc w:val="left"/>
      <w:lvlText w:val="(%1)"/>
      <w:numFmt w:val="decimal"/>
      <w:start w:val="2"/>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2023-03-09T21:10:04Z</dcterms:created>
  <dcterms:modified xsi:type="dcterms:W3CDTF">2023-03-09T21:10:04Z</dcterms:modified>
</cp:coreProperties>
</file>