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Carroll Christina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12/27/2019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12/31/2019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A. Veltman, Thomas D. DeByle, Matthew S. Heiter, Christopher Qualters, Richard F. Mattern, Kristin C. Dunavant and Whitney Robinson, with full power of substitution, the undersigned's true and lawful attorney-in-fact to:</w:t>
      </w:r>
    </w:p>
    <w:p>
      <w:pPr>
        <w:spacing w:after="0" w:line="209" w:lineRule="exact"/>
        <w:rPr>
          <w:sz w:val="20"/>
          <w:szCs w:val="20"/>
          <w:color w:val="auto"/>
        </w:rPr>
      </w:pPr>
    </w:p>
    <w:p>
      <w:pPr>
        <w:ind w:left="1160" w:right="1999" w:hanging="625"/>
        <w:spacing w:after="0" w:line="271" w:lineRule="auto"/>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28th day of December, 2019.</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Christina E. Carroll</w:t>
      </w:r>
    </w:p>
    <w:p>
      <w:pPr>
        <w:ind w:left="29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1636"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2019-12-31T08:12:05Z</dcterms:created>
  <dcterms:modified xsi:type="dcterms:W3CDTF">2019-12-31T08:12:05Z</dcterms:modified>
</cp:coreProperties>
</file>