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422275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NN, INC.</w:t>
      </w:r>
    </w:p>
    <w:p>
      <w:pPr>
        <w:spacing w:after="0" w:line="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2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62-1096725</w:t>
            </w:r>
          </w:p>
        </w:tc>
      </w:tr>
      <w:tr>
        <w:trPr>
          <w:trHeight w:val="148"/>
        </w:trPr>
        <w:tc>
          <w:tcPr>
            <w:tcW w:w="4020" w:type="dxa"/>
            <w:vAlign w:val="bottom"/>
          </w:tcPr>
          <w:p>
            <w:pPr>
              <w:jc w:val="center"/>
              <w:ind w:right="22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20" w:type="dxa"/>
            <w:vAlign w:val="bottom"/>
          </w:tcPr>
          <w:p>
            <w:pPr>
              <w:jc w:val="center"/>
              <w:ind w:right="223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2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20" w:type="dxa"/>
            <w:vAlign w:val="bottom"/>
          </w:tcPr>
          <w:p>
            <w:pPr>
              <w:jc w:val="center"/>
              <w:ind w:left="1239"/>
              <w:spacing w:after="0"/>
              <w:rPr>
                <w:sz w:val="20"/>
                <w:szCs w:val="20"/>
                <w:color w:val="auto"/>
              </w:rPr>
            </w:pPr>
            <w:r>
              <w:rPr>
                <w:rFonts w:ascii="Arial" w:cs="Arial" w:eastAsia="Arial" w:hAnsi="Arial"/>
                <w:sz w:val="18"/>
                <w:szCs w:val="18"/>
                <w:b w:val="1"/>
                <w:bCs w:val="1"/>
                <w:color w:val="auto"/>
                <w:w w:val="94"/>
              </w:rPr>
              <w:t>Charlotte, North Carolina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2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tab/>
        <w:t>RESULTS OF OPERATIONS AND FINANCIAL CONDITION.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6, 2020, NN, Inc. (the “Company”) issued a press release announcing the Company’s financial results for the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The full text of the press release is furnished as Exhibit 99.1 and is incorporated herein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 of this Current Report on Form 8-K (including Exhibit 99.1) is deemed to have been furnished and shall not be deemed to be “filed”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18 of the Securities Exchange Act of 1934, as amended, or otherwise subject to the liabilities of that section. Such information shall not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into any filing of the Company, whether made before or after the date hereof, regardless of any general incorporation language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such filing.</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4000" w:type="dxa"/>
            <w:vAlign w:val="bottom"/>
            <w:gridSpan w:val="2"/>
          </w:tcPr>
          <w:p>
            <w:pPr>
              <w:spacing w:after="0"/>
              <w:rPr>
                <w:rFonts w:ascii="Arial" w:cs="Arial" w:eastAsia="Arial" w:hAnsi="Arial"/>
                <w:sz w:val="18"/>
                <w:szCs w:val="18"/>
                <w:u w:val="single" w:color="auto"/>
                <w:color w:val="0000EE"/>
                <w:w w:val="88"/>
              </w:rPr>
            </w:pPr>
            <w:hyperlink w:anchor="page4">
              <w:r>
                <w:rPr>
                  <w:rFonts w:ascii="Arial" w:cs="Arial" w:eastAsia="Arial" w:hAnsi="Arial"/>
                  <w:sz w:val="18"/>
                  <w:szCs w:val="18"/>
                  <w:u w:val="single" w:color="auto"/>
                  <w:color w:val="0000EE"/>
                  <w:w w:val="88"/>
                </w:rPr>
                <w:t>Press Release issued by NN, Inc., dated August 6, 2020</w:t>
              </w:r>
            </w:hyperlink>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171450</wp:posOffset>
            </wp:positionV>
            <wp:extent cx="184340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883285</wp:posOffset>
            </wp:positionV>
            <wp:extent cx="822960" cy="796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SECOND QUARTER 2020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Free cash flow improved by $9.1 million compared to prior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Amended debt agreement enhances financial flexibility</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Charlotte, N.C., August 6, 2020 – </w:t>
      </w:r>
      <w:r>
        <w:rPr>
          <w:rFonts w:ascii="Arial" w:cs="Arial" w:eastAsia="Arial" w:hAnsi="Arial"/>
          <w:sz w:val="18"/>
          <w:szCs w:val="18"/>
          <w:color w:val="auto"/>
        </w:rPr>
        <w:t>NN, Inc., (NASDAQ: NNBR), a diversified industrial company, today reported its financial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sales for the second quarter of 2020 decreased $71.2 million, or 32.1%, to $150.4 million, compared to $221.7 million for the second quarter of 2019, driven by a decline in organic volume of $69.9 million, as a result of lower demand due to the COVID-19 pandemic within the orthopaedic, global automotive, electrical products, and oil and gas end markets, along with unfavorable foreign exchange effects of $1.3 million.</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a GAAP basis, loss from operations for the second quarter of 2020 was $8.2 million, compared to income from operations of $7.5 million for the same period in 2019. In the second quarter of 2020, the loss from operations was primarily driven by the above-referenced sales volume decline, which was partially offset by cost reduction initiatives that resulted in lower personnel and travel costs.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loss on a GAAP basis for the second quarter of 2020 was $21.7 million, compared to net loss on a GAAP basis of $7.3 million in the second quarter of 2019.</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 GAAP basis, income from operations for second quarter 2020 in the Life Sciences segment was $4.3 million, compared to income from operations of $9.3 million for the same period in 2019.</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 GAAP basis, loss from operations for second quarter 2020 in the Mobile Solutions segment was $4.6 million, compared to income from operations of $3.5 million for the same period in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 GAAP basis, income from operations for second quarter 2020 in the Power Solutions segment was $1.5 million, compared to income from operations of $5.7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Adjusted income from operations for the second quarter of 2020 was $8.0 million, compared to $27.3 million for the same period in 2019. Adjusted EBITDA for the second quarter of 2020 was $22.9 million, or 15.3% of sales, versus $39.3 million, or 17.7% of sales, for the same period in 2019. Adjusted net loss was $4.8 million, or $0.11 per diluted share, compared to adjusted net income of $10.0 million, or $0.24 per diluted share, for the same period in 2019. Free cash flow improved significantly by $9.1 million and net debt decreased by $94.3 million when compared to the same period in 2019.</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Warren Veltman, President and Chief Executive Officer, said, “As expected, our second quarter was significantly impacted across the globe due to the COVID-19 pandemic. In light of these unprecedented challenges, we ramped up cost savings measures that were initially implemented in the fall to best align our cost structure to the current environment and preserve cash. These initiatives along with reductions in working capital have resulted in increased cash flow of $9.1 million year over year and positive cash flow year to date. We also recently amended our credit facility and obtained covenant relief for the second and third quarter, which provides us with near-term enhanced financial flexibility to manage through the impact of the pandemic through the end of the year. As we move into the second half of the year, we will continue to be disciplined in managing our working capital and look for additional ways to save costs and improve our liquidity.”</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Veltman continued: “I am proud of our team for their outstanding efforts in the face of enormous challenges. Our top priorities for the second quarter were to keep our employees safe and satisfy all our customer requirements, and we accomplished this through implementing increased cleaning and safety practices in our facilities. The health and safety of our employees will continue to be our priority as we navigate the COVID-19 pandemic in the second half of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second quarter of 2020 were $72.4 million, compared to $91.3 million in the second quarter of 2019, a decrease of 20.7% or</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$18.9 million. Adjusted income from operations for the second quarter of 2020 was $13.9 million, compared to $20.4 million in the second quarter of 2019. Lost variable margin on lower sales and higher depreciation expense attributable to the capital investments made during 2019 to support expected business growth contributed to the decrease in adjusted income from operations. These unfavorable impacts were partially offset by savings from continuous improvement initiatives and overall reductions in manufacturing and SG&amp;A costs resulting from significant cost savings initiatives implemented to respond to the unfavorable impacts of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second quarter of 2020 were $41.0 million, compared to $79.4 million in the second quarter of 2019, a decrease of 48.3% or</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$38.4 million. Adjusted loss from operations for the second quarter of 2020 was $3.4 million, compared to $5.6 million of adjusted operating income in the second quarter of 2019. The reduction in adjusted operating income was due to lost variable margin on the sales volume decline, which was partially offset by fixed cost reduction actions taken in response to the decline in sales volume.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Power Solutions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Net sales for the second quarter of 2020 were $37.5 million, compared to $51.4 million in the second quarter of 2019, a decrease of $13.9 million or 27.0%. Adjusted income from operations for the quarter was $4.7 million, compared to $10.1 million in the second quarter of 2019. The reduction in adjusted operating income was due to lost variable margin on the sales volume decline, which was partially offset by fixed cost reduction actions taken in response to the decline in sales volume.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left="4" w:right="20" w:hanging="4"/>
        <w:spacing w:after="0" w:line="286" w:lineRule="auto"/>
        <w:tabs>
          <w:tab w:leader="none" w:pos="309"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on August 7, 2020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1-888-220-8474 or 1-323-794-2591 Conference ID: 7729601. For those who are unavailable to listen to the live broadcast, a replay will be available shortly after the call for 30 days.</w:t>
      </w:r>
    </w:p>
    <w:p>
      <w:pPr>
        <w:spacing w:after="0" w:line="165" w:lineRule="exact"/>
        <w:rPr>
          <w:sz w:val="20"/>
          <w:szCs w:val="20"/>
          <w:color w:val="auto"/>
        </w:rPr>
      </w:pPr>
    </w:p>
    <w:p>
      <w:pPr>
        <w:ind w:left="4" w:hanging="4"/>
        <w:spacing w:after="0" w:line="275" w:lineRule="auto"/>
        <w:tabs>
          <w:tab w:leader="none" w:pos="309"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discloses in this press release the non-GAAP financial measures of adjusted income from operations, adjusted EBITDA, adjusted net income (loss), adjusted net income per diluted share, free cash flow and net debt. Each of adjusted income from operations, adjusted EBITDA, adjusted net income (loss), adjusted net income per diluted share and free cash flow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Net debt is defined as debt and finance leases less cash.</w:t>
      </w:r>
    </w:p>
    <w:p>
      <w:pPr>
        <w:spacing w:after="0" w:line="176" w:lineRule="exact"/>
        <w:rPr>
          <w:sz w:val="20"/>
          <w:szCs w:val="20"/>
          <w:color w:val="auto"/>
        </w:rPr>
      </w:pPr>
    </w:p>
    <w:p>
      <w:pPr>
        <w:ind w:left="4" w:right="320"/>
        <w:spacing w:after="0" w:line="259"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operating margin, adjusted EBITDA, adjusted EBITDA margin, adjusted net income (loss), adjusted net income (loss) per diluted share and free cash flow to the U.S. GAAP financial measures of income from operations, net income (loss), net income (loss) per diluted share and net cash provided by (used in) operating activities.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48 facilities in North America, Europe, South America, and China.</w:t>
      </w:r>
    </w:p>
    <w:p>
      <w:pPr>
        <w:spacing w:after="0" w:line="184" w:lineRule="exact"/>
        <w:rPr>
          <w:sz w:val="20"/>
          <w:szCs w:val="20"/>
          <w:color w:val="auto"/>
        </w:rPr>
      </w:pPr>
    </w:p>
    <w:p>
      <w:pPr>
        <w:ind w:left="4" w:right="80"/>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right="8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and when filed, the Company’s Quarterly Report on Form 10-Q for the three months ended June 30, 2020. Except as required by law, we undertake no obligation to update or revise any forward-looking statements we make in our press releases, whether as a result of new information, future events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Financial Tables Follow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4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4"/>
                <w:szCs w:val="14"/>
                <w:color w:val="auto"/>
              </w:rPr>
            </w:pPr>
          </w:p>
        </w:tc>
        <w:tc>
          <w:tcPr>
            <w:tcW w:w="172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6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150,420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221,666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350,165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434,922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115,389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164,099</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267,630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326,286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20,991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26,743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54,868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23,201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22,924</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46,385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46,349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239,699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(253,538)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35,773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27,759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w w:val="96"/>
              </w:rPr>
              <w:t>Loss before benefit (provision) for income taxes and share of net income (loss) from joint venture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(289,550)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(24,049)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Share of net income (loss) from joint venture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(21,748)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(269,939)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(26,801)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(13,348)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interest rate swap, net of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(10,818)</w:t>
            </w:r>
          </w:p>
        </w:tc>
        <w:tc>
          <w:tcPr>
            <w:tcW w:w="0" w:type="dxa"/>
            <w:vAlign w:val="bottom"/>
          </w:tcPr>
          <w:p>
            <w:pPr>
              <w:spacing w:after="0"/>
              <w:rPr>
                <w:sz w:val="1"/>
                <w:szCs w:val="1"/>
                <w:color w:val="auto"/>
              </w:rPr>
            </w:pPr>
          </w:p>
        </w:tc>
      </w:tr>
      <w:tr>
        <w:trPr>
          <w:trHeight w:val="223"/>
        </w:trPr>
        <w:tc>
          <w:tcPr>
            <w:tcW w:w="7440" w:type="dxa"/>
            <w:vAlign w:val="bottom"/>
          </w:tcPr>
          <w:p>
            <w:pPr>
              <w:ind w:left="720"/>
              <w:spacing w:after="0"/>
              <w:rPr>
                <w:sz w:val="20"/>
                <w:szCs w:val="20"/>
                <w:color w:val="auto"/>
              </w:rPr>
            </w:pPr>
            <w:r>
              <w:rPr>
                <w:rFonts w:ascii="Arial" w:cs="Arial" w:eastAsia="Arial" w:hAnsi="Arial"/>
                <w:sz w:val="18"/>
                <w:szCs w:val="18"/>
                <w:color w:val="auto"/>
              </w:rPr>
              <w:t>Less: reclassification adjustment for losses included in net loss, net of tax</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(22,122)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(10,994)</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(19,371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(292,061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(37,795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(0.59)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(6.55)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42,197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42,028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Diluted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4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105,661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131,558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121,031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118,722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17,458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342,322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344,073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374,513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77,121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65,496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196,467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439,095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306,577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329,260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1,296,014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1,541,984</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43,751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57,340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wages and benefits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20,567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32,266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137,854</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85,799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Non-current income tax payable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816,956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757,440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79,712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66,980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44,723</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1,139,408</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1,095,695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w w:val="89"/>
              </w:rPr>
              <w:t>Series B convertible preferred stock - $0.01 par value per share, 100 shares authorized, 100 shares issued and outstanding at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December 31, 2019, and June 30, 2020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98,707</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93,012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360"/>
              <w:spacing w:after="0" w:line="201" w:lineRule="exact"/>
              <w:rPr>
                <w:sz w:val="20"/>
                <w:szCs w:val="20"/>
                <w:color w:val="auto"/>
              </w:rPr>
            </w:pPr>
            <w:r>
              <w:rPr>
                <w:rFonts w:ascii="Arial" w:cs="Arial" w:eastAsia="Arial" w:hAnsi="Arial"/>
                <w:sz w:val="18"/>
                <w:szCs w:val="18"/>
                <w:color w:val="auto"/>
                <w:w w:val="89"/>
              </w:rPr>
              <w:t>Common stock - $0.01 par value per share, 90,000 shares authorized, 42,313 and 42,747 shares issued and outstanding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540"/>
              <w:spacing w:after="0"/>
              <w:rPr>
                <w:sz w:val="20"/>
                <w:szCs w:val="20"/>
                <w:color w:val="auto"/>
              </w:rPr>
            </w:pPr>
            <w:r>
              <w:rPr>
                <w:rFonts w:ascii="Arial" w:cs="Arial" w:eastAsia="Arial" w:hAnsi="Arial"/>
                <w:sz w:val="18"/>
                <w:szCs w:val="18"/>
                <w:color w:val="auto"/>
              </w:rPr>
              <w:t>at December 31, 2019, and June 30, 2020, respectively</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498,294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501,615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(375,222)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(105,283)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(66,676)</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353,277</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1,296,014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1,541,984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(269,939)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46,385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46,349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239,699</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from issuance of share-based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(8,889)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(8,093)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23,485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(4,327)</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(12,391)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Income taxes receivable and payable,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(12,897)</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11,544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(15,624)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(28,994)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liquidation of short-term investment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3,112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(12,512)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Cash paid for debt issuance or prepayment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64,716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46,630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(repayments of) short-term debt,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50,992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31,703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(8,206)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4,843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7,546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11,341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87"/>
              </w:rPr>
              <w:t>11,811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Non-GAAP adjusted 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7,977</w:t>
            </w:r>
          </w:p>
        </w:tc>
        <w:tc>
          <w:tcPr>
            <w:tcW w:w="16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87"/>
              </w:rPr>
              <w:t>27,268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Non-GAAP adjusted operating margin (1)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28"/>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0"/>
              </w:rPr>
              <w:t>$150,420</w:t>
            </w:r>
          </w:p>
        </w:tc>
        <w:tc>
          <w:tcPr>
            <w:tcW w:w="16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
              <w:spacing w:after="0"/>
              <w:rPr>
                <w:sz w:val="20"/>
                <w:szCs w:val="20"/>
                <w:color w:val="auto"/>
              </w:rPr>
            </w:pPr>
            <w:r>
              <w:rPr>
                <w:rFonts w:ascii="Arial" w:cs="Arial" w:eastAsia="Arial" w:hAnsi="Arial"/>
                <w:sz w:val="18"/>
                <w:szCs w:val="18"/>
                <w:color w:val="auto"/>
                <w:w w:val="90"/>
              </w:rPr>
              <w:t>$221,666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10"/>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20"/>
                <w:szCs w:val="20"/>
                <w:color w:val="auto"/>
              </w:rPr>
            </w:pPr>
            <w:r>
              <w:rPr>
                <w:rFonts w:ascii="Arial" w:cs="Arial" w:eastAsia="Arial" w:hAnsi="Arial"/>
                <w:sz w:val="14"/>
                <w:szCs w:val="14"/>
                <w:b w:val="1"/>
                <w:bCs w:val="1"/>
                <w:color w:val="auto"/>
              </w:rPr>
              <w:t>Mobile Solutions</w:t>
            </w:r>
          </w:p>
        </w:tc>
        <w:tc>
          <w:tcPr>
            <w:tcW w:w="1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0"/>
              </w:rPr>
              <w:t>$ (4,592)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20" w:type="dxa"/>
            <w:vAlign w:val="bottom"/>
          </w:tcPr>
          <w:p>
            <w:pPr>
              <w:spacing w:after="0"/>
              <w:rPr>
                <w:sz w:val="18"/>
                <w:szCs w:val="18"/>
                <w:color w:val="auto"/>
              </w:rPr>
            </w:pPr>
          </w:p>
        </w:tc>
        <w:tc>
          <w:tcPr>
            <w:tcW w:w="820" w:type="dxa"/>
            <w:vAlign w:val="bottom"/>
            <w:gridSpan w:val="5"/>
          </w:tcPr>
          <w:p>
            <w:pPr>
              <w:jc w:val="right"/>
              <w:ind w:right="88"/>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Non-GAAP adjusted income from operations (a)</w:t>
            </w:r>
          </w:p>
        </w:tc>
        <w:tc>
          <w:tcPr>
            <w:tcW w:w="82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w w:val="97"/>
              </w:rPr>
              <w:t>$ (3,410)</w:t>
            </w:r>
          </w:p>
        </w:tc>
        <w:tc>
          <w:tcPr>
            <w:tcW w:w="2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Non-GAAP adjusted income from operations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JV</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(2,483)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5,429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Non-GAAP adjusted operating margin (1)</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w w:val="98"/>
              </w:rPr>
              <w:t>$41,037</w:t>
            </w:r>
          </w:p>
        </w:tc>
        <w:tc>
          <w:tcPr>
            <w:tcW w:w="780" w:type="dxa"/>
            <w:vAlign w:val="bottom"/>
            <w:gridSpan w:val="6"/>
            <w:shd w:val="clear" w:color="auto" w:fill="CCEEFF"/>
          </w:tcPr>
          <w:p>
            <w:pPr>
              <w:jc w:val="right"/>
              <w:ind w:right="1"/>
              <w:spacing w:after="0"/>
              <w:rPr>
                <w:sz w:val="20"/>
                <w:szCs w:val="20"/>
                <w:color w:val="auto"/>
              </w:rPr>
            </w:pPr>
            <w:r>
              <w:rPr>
                <w:rFonts w:ascii="Arial" w:cs="Arial" w:eastAsia="Arial" w:hAnsi="Arial"/>
                <w:sz w:val="18"/>
                <w:szCs w:val="18"/>
                <w:color w:val="auto"/>
              </w:rPr>
              <w:t>$79,444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4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8"/>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82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left="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3"/>
              </w:rPr>
              <w:t>$  (507)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  (503)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315"/>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Power Solutions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3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10,071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w w:val="98"/>
              </w:rPr>
              <w:t>Non-GAAP adjusted operating margin (1)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37,491</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315"/>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Life Sciences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Impairments (Goodwill and fixed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Non-GAAP adjusted income from</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13,910</w:t>
            </w:r>
          </w:p>
        </w:tc>
        <w:tc>
          <w:tcPr>
            <w:tcW w:w="3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20,418</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w w:val="98"/>
              </w:rPr>
              <w:t>Non-GAAP adjusted operating margin (1)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72,399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91,332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03"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17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8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2020 Includes Capacity &amp; Capabilities Dev—$0.7 / Prof Fees—$2.0 / Integration &amp; Transformation—$3.0 / Acq Transaction Costs—$0.0 / Asset Write-Downs/Inventory Step-Up—($0.9)</w:t>
      </w:r>
    </w:p>
    <w:p>
      <w:pPr>
        <w:ind w:left="424" w:right="8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2019 Includes Capacity &amp; Capabilities Dev—$2.4 / Prof Fees—$0.1 / Integration &amp; Transformation—$5.0 / Acq Transaction Costs—$0.0 / Asset Write-Downs/Inventory Step-Up—$0.0</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type w:val="continuous"/>
        </w:sectPr>
      </w:pPr>
    </w:p>
    <w:bookmarkStart w:id="10" w:name="page11"/>
    <w:bookmarkEnd w:id="10"/>
    <w:p>
      <w:pPr>
        <w:ind w:left="28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June 30,</w:t>
            </w: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13,958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Change in fair value of preferred stock tax withholding</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22,924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divested businesses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Impairments (Goodwill, JV and fixed assets)</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39,292</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Non-GAAP adjusted EBITDA margin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150,420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221,666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64" w:right="3139" w:hanging="5464"/>
        <w:spacing w:after="0" w:line="449" w:lineRule="auto"/>
        <w:tabs>
          <w:tab w:leader="none" w:pos="433"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adjusted EBITDA margin = Non-GAAP adjusted EBITDA / GAAP net sales 8</w:t>
      </w:r>
    </w:p>
    <w:p>
      <w:pPr>
        <w:sectPr>
          <w:pgSz w:w="11900" w:h="16838" w:orient="portrait"/>
          <w:cols w:equalWidth="0" w:num="1">
            <w:col w:w="10023"/>
          </w:cols>
          <w:pgMar w:left="436" w:top="270" w:right="1440" w:bottom="1440" w:gutter="0" w:footer="0" w:header="0"/>
        </w:sectPr>
      </w:pPr>
    </w:p>
    <w:bookmarkStart w:id="11" w:name="page12"/>
    <w:bookmarkEnd w:id="11"/>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(21,748)</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Pre-tax change in fair value of preferred stock tax withholding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8"/>
              </w:rPr>
              <w:t>13,039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12,973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 costs related to divested businesses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effect of adjustments reflected above (c)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(3,839)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discrete tax adjustments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Non-GAAP adjusted net income (loss) (d)</w:t>
            </w:r>
          </w:p>
        </w:tc>
        <w:tc>
          <w:tcPr>
            <w:tcW w:w="10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Pre-tax change in fair value of preferred stock tax withholding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 costs related to divested businesses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effect of adjustments reflected above (c)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discrete tax adjustments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Preferred stock cumulative dividends and deemed dividends</w:t>
            </w:r>
          </w:p>
        </w:tc>
        <w:tc>
          <w:tcPr>
            <w:tcW w:w="1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per diluted share (d)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42,197</w:t>
            </w:r>
          </w:p>
        </w:tc>
        <w:tc>
          <w:tcPr>
            <w:tcW w:w="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620" w:type="dxa"/>
            <w:vAlign w:val="bottom"/>
          </w:tcPr>
          <w:p>
            <w:pPr>
              <w:ind w:left="4140"/>
              <w:spacing w:after="0"/>
              <w:rPr>
                <w:sz w:val="20"/>
                <w:szCs w:val="20"/>
                <w:color w:val="auto"/>
              </w:rPr>
            </w:pPr>
            <w:r>
              <w:rPr>
                <w:rFonts w:ascii="Arial" w:cs="Arial" w:eastAsia="Arial" w:hAnsi="Arial"/>
                <w:sz w:val="18"/>
                <w:szCs w:val="18"/>
                <w:color w:val="auto"/>
              </w:rPr>
              <w:t>9</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760" w:top="270" w:right="77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Operating Cash Flow to Free Cash Flow</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4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8"/>
          </w:tcPr>
          <w:p>
            <w:pPr>
              <w:jc w:val="right"/>
              <w:ind w:right="64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546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48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4900" w:type="dxa"/>
            <w:vAlign w:val="bottom"/>
            <w:gridSpan w:val="2"/>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(14,921)</w:t>
            </w:r>
          </w:p>
        </w:tc>
      </w:tr>
      <w:tr>
        <w:trPr>
          <w:trHeight w:val="27"/>
        </w:trPr>
        <w:tc>
          <w:tcPr>
            <w:tcW w:w="44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5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$ 1,274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(7,842)</w:t>
            </w:r>
          </w:p>
        </w:tc>
      </w:tr>
      <w:tr>
        <w:trPr>
          <w:trHeight w:val="20"/>
        </w:trPr>
        <w:tc>
          <w:tcPr>
            <w:tcW w:w="44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5660" w:type="dxa"/>
            <w:vAlign w:val="bottom"/>
            <w:gridSpan w:val="5"/>
          </w:tcPr>
          <w:p>
            <w:pPr>
              <w:ind w:left="40"/>
              <w:spacing w:after="0"/>
              <w:rPr>
                <w:sz w:val="20"/>
                <w:szCs w:val="20"/>
                <w:color w:val="auto"/>
              </w:rPr>
            </w:pPr>
            <w:r>
              <w:rPr>
                <w:rFonts w:ascii="Arial" w:cs="Arial" w:eastAsia="Arial" w:hAnsi="Arial"/>
                <w:sz w:val="18"/>
                <w:szCs w:val="18"/>
                <w:b w:val="1"/>
                <w:bCs w:val="1"/>
                <w:color w:val="auto"/>
              </w:rPr>
              <w:t>Reconciliation of Net Debt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4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June 30,</w:t>
            </w:r>
          </w:p>
        </w:tc>
      </w:tr>
      <w:tr>
        <w:trPr>
          <w:trHeight w:val="171"/>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54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debt &amp; finance lease liability</w:t>
            </w:r>
          </w:p>
        </w:tc>
        <w:tc>
          <w:tcPr>
            <w:tcW w:w="4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$ 24,178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w w:val="90"/>
              </w:rPr>
              <w:t>Long term debt and finance lease liability (ex- issuance costs)</w:t>
            </w:r>
          </w:p>
        </w:tc>
        <w:tc>
          <w:tcPr>
            <w:tcW w:w="486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826,368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856,753</w:t>
            </w:r>
          </w:p>
        </w:tc>
        <w:tc>
          <w:tcPr>
            <w:tcW w:w="6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Funded debt</w:t>
            </w:r>
          </w:p>
        </w:tc>
        <w:tc>
          <w:tcPr>
            <w:tcW w:w="5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850,546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884,199</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6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22,077</w:t>
            </w:r>
          </w:p>
        </w:tc>
        <w:tc>
          <w:tcPr>
            <w:tcW w:w="6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debt</w:t>
            </w:r>
          </w:p>
        </w:tc>
        <w:tc>
          <w:tcPr>
            <w:tcW w:w="5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767,851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862,122</w:t>
            </w:r>
          </w:p>
        </w:tc>
      </w:tr>
      <w:tr>
        <w:trPr>
          <w:trHeight w:val="20"/>
        </w:trPr>
        <w:tc>
          <w:tcPr>
            <w:tcW w:w="44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72"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80" w:lineRule="exact"/>
        <w:rPr>
          <w:sz w:val="20"/>
          <w:szCs w:val="20"/>
          <w:color w:val="auto"/>
        </w:rPr>
      </w:pPr>
    </w:p>
    <w:p>
      <w:pPr>
        <w:ind w:left="4" w:right="20" w:hanging="4"/>
        <w:spacing w:after="0" w:line="254" w:lineRule="auto"/>
        <w:tabs>
          <w:tab w:leader="none" w:pos="259"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86" w:lineRule="exact"/>
        <w:rPr>
          <w:rFonts w:ascii="Arial" w:cs="Arial" w:eastAsia="Arial" w:hAnsi="Arial"/>
          <w:sz w:val="18"/>
          <w:szCs w:val="18"/>
          <w:i w:val="1"/>
          <w:iCs w:val="1"/>
          <w:color w:val="auto"/>
        </w:rPr>
      </w:pPr>
    </w:p>
    <w:p>
      <w:pPr>
        <w:ind w:left="4" w:right="160" w:hanging="4"/>
        <w:spacing w:after="0" w:line="272" w:lineRule="auto"/>
        <w:tabs>
          <w:tab w:leader="none" w:pos="259"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EBITDA represents GAAP net income (loss), adjusted to include income taxes, interest expense, Interest rate swaps and write-offs, depreciation and amortization, charges related to acquisition and transition costs, non-cash stock compensation expense, foreign exchange gain (loss) on inter-company loans, restructuring and integration expense,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0" w:right="439" w:bottom="1440" w:gutter="0" w:footer="0" w:header="0"/>
        </w:sectPr>
      </w:pPr>
    </w:p>
    <w:bookmarkStart w:id="13" w:name="page14"/>
    <w:bookmarkEnd w:id="13"/>
    <w:p>
      <w:pPr>
        <w:ind w:left="4" w:right="300" w:hanging="4"/>
        <w:spacing w:after="0" w:line="286" w:lineRule="auto"/>
        <w:tabs>
          <w:tab w:leader="none" w:pos="249"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57" w:lineRule="exact"/>
        <w:rPr>
          <w:rFonts w:ascii="Arial" w:cs="Arial" w:eastAsia="Arial" w:hAnsi="Arial"/>
          <w:sz w:val="17"/>
          <w:szCs w:val="17"/>
          <w:i w:val="1"/>
          <w:iCs w:val="1"/>
          <w:color w:val="auto"/>
        </w:rPr>
      </w:pPr>
    </w:p>
    <w:p>
      <w:pPr>
        <w:ind w:left="4" w:hanging="4"/>
        <w:spacing w:after="0" w:line="270" w:lineRule="auto"/>
        <w:tabs>
          <w:tab w:leader="none" w:pos="259"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40"/>
    </w:lvl>
  </w:abstractNum>
  <w:abstractNum w:abstractNumId="2">
    <w:nsid w:val="3D1B58BA"/>
    <w:multiLevelType w:val="hybridMultilevel"/>
    <w:lvl w:ilvl="0">
      <w:lvlJc w:val="left"/>
      <w:lvlText w:val="%1"/>
      <w:numFmt w:val="upperLetter"/>
      <w:start w:val="40"/>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2020-08-06T16:24:58Z</dcterms:created>
  <dcterms:modified xsi:type="dcterms:W3CDTF">2020-08-06T16:24:58Z</dcterms:modified>
</cp:coreProperties>
</file>