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216535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259715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250825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ind w:left="460" w:right="460" w:hanging="452"/>
        <w:spacing w:after="0" w:line="262" w:lineRule="auto"/>
        <w:tabs>
          <w:tab w:leader="none" w:pos="4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2016</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43" w:lineRule="exact"/>
        <w:rPr>
          <w:sz w:val="24"/>
          <w:szCs w:val="24"/>
          <w:color w:val="auto"/>
        </w:rPr>
      </w:pPr>
    </w:p>
    <w:p>
      <w:pPr>
        <w:ind w:left="460" w:right="460" w:hanging="452"/>
        <w:spacing w:after="0" w:line="262" w:lineRule="auto"/>
        <w:tabs>
          <w:tab w:leader="none" w:pos="46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59" w:lineRule="exact"/>
        <w:rPr>
          <w:sz w:val="24"/>
          <w:szCs w:val="24"/>
          <w:color w:val="auto"/>
        </w:rPr>
      </w:pPr>
    </w:p>
    <w:p>
      <w:pPr>
        <w:ind w:left="3480"/>
        <w:spacing w:after="0"/>
        <w:tabs>
          <w:tab w:leader="none" w:pos="678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3719195</wp:posOffset>
            </wp:positionH>
            <wp:positionV relativeFrom="paragraph">
              <wp:posOffset>-5080</wp:posOffset>
            </wp:positionV>
            <wp:extent cx="13239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23975" cy="8890"/>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0-23486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243205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NN,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62-1096725</w:t>
      </w:r>
    </w:p>
    <w:p>
      <w:pPr>
        <w:spacing w:after="0" w:line="23" w:lineRule="exact"/>
        <w:rPr>
          <w:sz w:val="24"/>
          <w:szCs w:val="24"/>
          <w:color w:val="auto"/>
        </w:rPr>
      </w:pPr>
    </w:p>
    <w:p>
      <w:pPr>
        <w:sectPr>
          <w:pgSz w:w="11900" w:h="16838" w:orient="portrait"/>
          <w:cols w:equalWidth="0" w:num="2">
            <w:col w:w="7500" w:space="720"/>
            <w:col w:w="3200"/>
          </w:cols>
          <w:pgMar w:left="240" w:top="226" w:right="239" w:bottom="1440" w:gutter="0" w:footer="0" w:header="0"/>
          <w:type w:val="continuous"/>
        </w:sectPr>
      </w:pPr>
    </w:p>
    <w:p>
      <w:pPr>
        <w:ind w:left="200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196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06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2060"/>
        <w:spacing w:after="0"/>
        <w:rPr>
          <w:sz w:val="20"/>
          <w:szCs w:val="20"/>
          <w:color w:val="auto"/>
        </w:rPr>
      </w:pPr>
      <w:r>
        <w:rPr>
          <w:rFonts w:ascii="Times New Roman" w:cs="Times New Roman" w:eastAsia="Times New Roman" w:hAnsi="Times New Roman"/>
          <w:sz w:val="14"/>
          <w:szCs w:val="14"/>
          <w:b w:val="1"/>
          <w:bCs w:val="1"/>
          <w:color w:val="auto"/>
        </w:rPr>
        <w:t>Identification Number)</w:t>
      </w:r>
    </w:p>
    <w:p>
      <w:pPr>
        <w:spacing w:after="0" w:line="200" w:lineRule="exact"/>
        <w:rPr>
          <w:sz w:val="24"/>
          <w:szCs w:val="24"/>
          <w:color w:val="auto"/>
        </w:rPr>
      </w:pPr>
    </w:p>
    <w:p>
      <w:pPr>
        <w:sectPr>
          <w:pgSz w:w="11900" w:h="16838" w:orient="portrait"/>
          <w:cols w:equalWidth="0" w:num="2">
            <w:col w:w="7220" w:space="720"/>
            <w:col w:w="3480"/>
          </w:cols>
          <w:pgMar w:left="240" w:top="226" w:right="239" w:bottom="1440" w:gutter="0" w:footer="0" w:header="0"/>
          <w:type w:val="continuous"/>
        </w:sectPr>
      </w:pP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207 Mockingbird Lane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Johnson City, Tennessee 37604</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18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(423) 434-8310</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p>
      <w:pPr>
        <w:spacing w:after="0" w:line="200" w:lineRule="exact"/>
        <w:rPr>
          <w:sz w:val="24"/>
          <w:szCs w:val="24"/>
          <w:color w:val="auto"/>
        </w:rPr>
      </w:pPr>
    </w:p>
    <w:p>
      <w:pPr>
        <w:spacing w:after="0" w:line="357" w:lineRule="exact"/>
        <w:rPr>
          <w:sz w:val="24"/>
          <w:szCs w:val="24"/>
          <w:color w:val="auto"/>
        </w:rPr>
      </w:pPr>
    </w:p>
    <w:p>
      <w:pPr>
        <w:ind w:right="48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9"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9" w:lineRule="exact"/>
        <w:rPr>
          <w:sz w:val="24"/>
          <w:szCs w:val="24"/>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420"/>
          </w:cols>
          <w:pgMar w:left="240" w:top="226" w:right="239" w:bottom="1440" w:gutter="0" w:footer="0" w:header="0"/>
          <w:type w:val="continuous"/>
        </w:sectPr>
      </w:pPr>
    </w:p>
    <w:p>
      <w:pPr>
        <w:spacing w:after="0" w:line="18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0" w:lineRule="exact"/>
        <w:rPr>
          <w:sz w:val="24"/>
          <w:szCs w:val="24"/>
          <w:color w:val="auto"/>
        </w:rPr>
      </w:pPr>
      <w:r>
        <w:rPr>
          <w:sz w:val="24"/>
          <w:szCs w:val="24"/>
          <w:color w:val="auto"/>
        </w:rPr>
        <w:br w:type="column"/>
      </w:r>
    </w:p>
    <w:p>
      <w:pPr>
        <w:spacing w:after="0" w:line="14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Accelerated filer</w:t>
      </w:r>
    </w:p>
    <w:p>
      <w:pPr>
        <w:spacing w:after="0" w:line="20" w:lineRule="exact"/>
        <w:rPr>
          <w:sz w:val="24"/>
          <w:szCs w:val="24"/>
          <w:color w:val="auto"/>
        </w:rPr>
      </w:pPr>
      <w:r>
        <w:rPr>
          <w:sz w:val="24"/>
          <w:szCs w:val="24"/>
          <w:color w:val="auto"/>
        </w:rPr>
        <w:br w:type="column"/>
      </w:r>
    </w:p>
    <w:p>
      <w:pPr>
        <w:spacing w:after="0" w:line="14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3" w:lineRule="exact"/>
        <w:rPr>
          <w:sz w:val="24"/>
          <w:szCs w:val="24"/>
          <w:color w:val="auto"/>
        </w:rPr>
      </w:pPr>
    </w:p>
    <w:p>
      <w:pPr>
        <w:sectPr>
          <w:pgSz w:w="11900" w:h="16838" w:orient="portrait"/>
          <w:cols w:equalWidth="0" w:num="4">
            <w:col w:w="1620" w:space="300"/>
            <w:col w:w="6220" w:space="720"/>
            <w:col w:w="1680" w:space="720"/>
            <w:col w:w="160"/>
          </w:cols>
          <w:pgMar w:left="240" w:top="226" w:right="239" w:bottom="1440" w:gutter="0" w:footer="0" w:header="0"/>
          <w:type w:val="continuous"/>
        </w:sectPr>
      </w:pP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72" w:lineRule="exact"/>
        <w:rPr>
          <w:sz w:val="24"/>
          <w:szCs w:val="24"/>
          <w:color w:val="auto"/>
        </w:rPr>
      </w:pPr>
    </w:p>
    <w:p>
      <w:pPr>
        <w:sectPr>
          <w:pgSz w:w="11900" w:h="16838" w:orient="portrait"/>
          <w:cols w:equalWidth="0" w:num="5">
            <w:col w:w="1540" w:space="380"/>
            <w:col w:w="160" w:space="100"/>
            <w:col w:w="5960" w:space="720"/>
            <w:col w:w="1980" w:space="420"/>
            <w:col w:w="160"/>
          </w:cols>
          <w:pgMar w:left="240" w:top="226" w:right="239" w:bottom="1440" w:gutter="0" w:footer="0" w:header="0"/>
          <w:type w:val="continuous"/>
        </w:sectPr>
      </w:pPr>
    </w:p>
    <w:p>
      <w:pPr>
        <w:spacing w:after="0" w:line="2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8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p>
      <w:pPr>
        <w:spacing w:after="0" w:line="228" w:lineRule="exact"/>
        <w:rPr>
          <w:sz w:val="24"/>
          <w:szCs w:val="24"/>
          <w:color w:val="auto"/>
        </w:rPr>
      </w:pPr>
    </w:p>
    <w:p>
      <w:pPr>
        <w:sectPr>
          <w:pgSz w:w="11900" w:h="16838" w:orient="portrait"/>
          <w:cols w:equalWidth="0" w:num="4">
            <w:col w:w="8180" w:space="160"/>
            <w:col w:w="280" w:space="80"/>
            <w:col w:w="160" w:space="180"/>
            <w:col w:w="2380"/>
          </w:cols>
          <w:pgMar w:left="240" w:top="226" w:right="239" w:bottom="1440" w:gutter="0" w:footer="0" w:header="0"/>
          <w:type w:val="continuous"/>
        </w:sectPr>
      </w:pPr>
    </w:p>
    <w:p>
      <w:pPr>
        <w:spacing w:after="0" w:line="2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As of July 27, 2016, there were 27,125,168 shares of the registrant’s common stock, par value $0.01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170815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213360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31"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80" w:type="dxa"/>
            <w:vAlign w:val="bottom"/>
          </w:tcPr>
          <w:p>
            <w:pPr>
              <w:spacing w:after="0"/>
              <w:rPr>
                <w:sz w:val="14"/>
                <w:szCs w:val="14"/>
                <w:color w:val="auto"/>
              </w:rPr>
            </w:pPr>
          </w:p>
        </w:tc>
        <w:tc>
          <w:tcPr>
            <w:tcW w:w="2260" w:type="dxa"/>
            <w:vAlign w:val="bottom"/>
            <w:gridSpan w:val="8"/>
            <w:vMerge w:val="restart"/>
          </w:tcPr>
          <w:p>
            <w:pPr>
              <w:spacing w:after="0"/>
              <w:rPr>
                <w:rFonts w:ascii="Times New Roman" w:cs="Times New Roman" w:eastAsia="Times New Roman" w:hAnsi="Times New Roman"/>
                <w:sz w:val="18"/>
                <w:szCs w:val="18"/>
                <w:b w:val="1"/>
                <w:bCs w:val="1"/>
                <w:color w:val="0000EE"/>
                <w:w w:val="99"/>
              </w:rPr>
            </w:pPr>
            <w:hyperlink w:anchor="page3">
              <w:r>
                <w:rPr>
                  <w:rFonts w:ascii="Times New Roman" w:cs="Times New Roman" w:eastAsia="Times New Roman" w:hAnsi="Times New Roman"/>
                  <w:sz w:val="18"/>
                  <w:szCs w:val="18"/>
                  <w:b w:val="1"/>
                  <w:bCs w:val="1"/>
                  <w:color w:val="0000EE"/>
                  <w:w w:val="99"/>
                </w:rPr>
                <w:t>Part I. Financial Information</w:t>
              </w:r>
            </w:hyperlink>
          </w:p>
        </w:tc>
        <w:tc>
          <w:tcPr>
            <w:tcW w:w="8340" w:type="dxa"/>
            <w:vAlign w:val="bottom"/>
            <w:gridSpan w:val="7"/>
            <w:vMerge w:val="restart"/>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Page No.</w:t>
            </w:r>
          </w:p>
        </w:tc>
        <w:tc>
          <w:tcPr>
            <w:tcW w:w="0" w:type="dxa"/>
            <w:vAlign w:val="bottom"/>
          </w:tcPr>
          <w:p>
            <w:pPr>
              <w:spacing w:after="0"/>
              <w:rPr>
                <w:sz w:val="1"/>
                <w:szCs w:val="1"/>
                <w:color w:val="auto"/>
              </w:rPr>
            </w:pPr>
          </w:p>
        </w:tc>
      </w:tr>
      <w:tr>
        <w:trPr>
          <w:trHeight w:val="161"/>
        </w:trPr>
        <w:tc>
          <w:tcPr>
            <w:tcW w:w="180" w:type="dxa"/>
            <w:vAlign w:val="bottom"/>
          </w:tcPr>
          <w:p>
            <w:pPr>
              <w:spacing w:after="0"/>
              <w:rPr>
                <w:sz w:val="13"/>
                <w:szCs w:val="13"/>
                <w:color w:val="auto"/>
              </w:rPr>
            </w:pPr>
          </w:p>
        </w:tc>
        <w:tc>
          <w:tcPr>
            <w:tcW w:w="2260" w:type="dxa"/>
            <w:vAlign w:val="bottom"/>
            <w:tcBorders>
              <w:bottom w:val="single" w:sz="8" w:color="0000EE"/>
            </w:tcBorders>
            <w:gridSpan w:val="8"/>
            <w:vMerge w:val="continue"/>
          </w:tcPr>
          <w:p>
            <w:pPr>
              <w:spacing w:after="0"/>
              <w:rPr>
                <w:sz w:val="13"/>
                <w:szCs w:val="13"/>
                <w:color w:val="auto"/>
              </w:rPr>
            </w:pPr>
          </w:p>
        </w:tc>
        <w:tc>
          <w:tcPr>
            <w:tcW w:w="8340" w:type="dxa"/>
            <w:vAlign w:val="bottom"/>
            <w:gridSpan w:val="7"/>
            <w:vMerge w:val="continue"/>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0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150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8"/>
              </w:rPr>
            </w:pPr>
            <w:hyperlink w:anchor="page3">
              <w:r>
                <w:rPr>
                  <w:rFonts w:ascii="Times New Roman" w:cs="Times New Roman" w:eastAsia="Times New Roman" w:hAnsi="Times New Roman"/>
                  <w:sz w:val="18"/>
                  <w:szCs w:val="18"/>
                  <w:color w:val="0000EE"/>
                  <w:w w:val="98"/>
                </w:rPr>
                <w:t>Financial Statements</w:t>
              </w:r>
            </w:hyperlink>
          </w:p>
        </w:tc>
        <w:tc>
          <w:tcPr>
            <w:tcW w:w="8280" w:type="dxa"/>
            <w:vAlign w:val="bottom"/>
            <w:gridSpan w:val="6"/>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10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w:anchor="page17">
              <w:r>
                <w:rPr>
                  <w:rFonts w:ascii="Times New Roman" w:cs="Times New Roman" w:eastAsia="Times New Roman" w:hAnsi="Times New Roman"/>
                  <w:sz w:val="18"/>
                  <w:szCs w:val="18"/>
                  <w:color w:val="0000EE"/>
                  <w:w w:val="99"/>
                </w:rPr>
                <w:t>Management’s Discussion and Analysis of Financial Condition and Results of Operations</w:t>
              </w:r>
            </w:hyperlink>
          </w:p>
        </w:tc>
        <w:tc>
          <w:tcPr>
            <w:tcW w:w="3320" w:type="dxa"/>
            <w:vAlign w:val="bottom"/>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96"/>
        </w:trPr>
        <w:tc>
          <w:tcPr>
            <w:tcW w:w="10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780" w:type="dxa"/>
            <w:vAlign w:val="bottom"/>
            <w:gridSpan w:val="13"/>
          </w:tcPr>
          <w:p>
            <w:pPr>
              <w:spacing w:after="0" w:line="196" w:lineRule="exact"/>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Quantitative and Qualitative Disclosures about Market Risk</w:t>
              </w:r>
            </w:hyperlink>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196"/>
        </w:trPr>
        <w:tc>
          <w:tcPr>
            <w:tcW w:w="10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4300" w:type="dxa"/>
            <w:vAlign w:val="bottom"/>
            <w:tcBorders>
              <w:top w:val="single" w:sz="8" w:color="0000EE"/>
            </w:tcBorders>
            <w:gridSpan w:val="10"/>
          </w:tcPr>
          <w:p>
            <w:pPr>
              <w:spacing w:after="0" w:line="196" w:lineRule="exact"/>
              <w:rPr>
                <w:rFonts w:ascii="Times New Roman" w:cs="Times New Roman" w:eastAsia="Times New Roman" w:hAnsi="Times New Roman"/>
                <w:sz w:val="18"/>
                <w:szCs w:val="18"/>
                <w:color w:val="0000EE"/>
              </w:rPr>
            </w:pPr>
            <w:hyperlink w:anchor="page26">
              <w:r>
                <w:rPr>
                  <w:rFonts w:ascii="Times New Roman" w:cs="Times New Roman" w:eastAsia="Times New Roman" w:hAnsi="Times New Roman"/>
                  <w:sz w:val="18"/>
                  <w:szCs w:val="18"/>
                  <w:color w:val="0000EE"/>
                </w:rPr>
                <w:t>Controls and Procedures</w:t>
              </w:r>
            </w:hyperlink>
          </w:p>
        </w:tc>
        <w:tc>
          <w:tcPr>
            <w:tcW w:w="5480" w:type="dxa"/>
            <w:vAlign w:val="bottom"/>
            <w:gridSpan w:val="3"/>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4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0600" w:type="dxa"/>
            <w:vAlign w:val="bottom"/>
            <w:gridSpan w:val="15"/>
          </w:tcPr>
          <w:p>
            <w:pPr>
              <w:spacing w:after="0" w:line="196" w:lineRule="exact"/>
              <w:rPr>
                <w:rFonts w:ascii="Times New Roman" w:cs="Times New Roman" w:eastAsia="Times New Roman" w:hAnsi="Times New Roman"/>
                <w:sz w:val="18"/>
                <w:szCs w:val="18"/>
                <w:b w:val="1"/>
                <w:bCs w:val="1"/>
                <w:color w:val="0000EE"/>
              </w:rPr>
            </w:pPr>
            <w:hyperlink w:anchor="page26">
              <w:r>
                <w:rPr>
                  <w:rFonts w:ascii="Times New Roman" w:cs="Times New Roman" w:eastAsia="Times New Roman" w:hAnsi="Times New Roman"/>
                  <w:sz w:val="18"/>
                  <w:szCs w:val="18"/>
                  <w:b w:val="1"/>
                  <w:bCs w:val="1"/>
                  <w:color w:val="0000EE"/>
                </w:rPr>
                <w:t>Part II. Other Information</w:t>
              </w:r>
            </w:hyperlink>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4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9780" w:type="dxa"/>
            <w:vAlign w:val="bottom"/>
            <w:gridSpan w:val="13"/>
          </w:tcPr>
          <w:p>
            <w:pPr>
              <w:spacing w:after="0" w:line="196" w:lineRule="exact"/>
              <w:rPr>
                <w:rFonts w:ascii="Times New Roman" w:cs="Times New Roman" w:eastAsia="Times New Roman" w:hAnsi="Times New Roman"/>
                <w:sz w:val="18"/>
                <w:szCs w:val="18"/>
                <w:color w:val="0000EE"/>
              </w:rPr>
            </w:pPr>
            <w:hyperlink w:anchor="page26">
              <w:r>
                <w:rPr>
                  <w:rFonts w:ascii="Times New Roman" w:cs="Times New Roman" w:eastAsia="Times New Roman" w:hAnsi="Times New Roman"/>
                  <w:sz w:val="18"/>
                  <w:szCs w:val="18"/>
                  <w:color w:val="0000EE"/>
                </w:rPr>
                <w:t>Legal Proceedings</w:t>
              </w:r>
            </w:hyperlink>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196"/>
        </w:trPr>
        <w:tc>
          <w:tcPr>
            <w:tcW w:w="10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7"/>
              </w:rPr>
            </w:pPr>
            <w:hyperlink w:anchor="page26">
              <w:r>
                <w:rPr>
                  <w:rFonts w:ascii="Times New Roman" w:cs="Times New Roman" w:eastAsia="Times New Roman" w:hAnsi="Times New Roman"/>
                  <w:sz w:val="18"/>
                  <w:szCs w:val="18"/>
                  <w:color w:val="0000EE"/>
                  <w:w w:val="97"/>
                </w:rPr>
                <w:t>Risk Factors</w:t>
              </w:r>
            </w:hyperlink>
          </w:p>
        </w:tc>
        <w:tc>
          <w:tcPr>
            <w:tcW w:w="420" w:type="dxa"/>
            <w:vAlign w:val="bottom"/>
            <w:tcBorders>
              <w:top w:val="single" w:sz="8" w:color="0000EE"/>
            </w:tcBorders>
            <w:gridSpan w:val="3"/>
          </w:tcPr>
          <w:p>
            <w:pPr>
              <w:spacing w:after="0"/>
              <w:rPr>
                <w:sz w:val="17"/>
                <w:szCs w:val="17"/>
                <w:color w:val="auto"/>
              </w:rPr>
            </w:pPr>
          </w:p>
        </w:tc>
        <w:tc>
          <w:tcPr>
            <w:tcW w:w="8460" w:type="dxa"/>
            <w:vAlign w:val="bottom"/>
            <w:gridSpan w:val="8"/>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196"/>
        </w:trPr>
        <w:tc>
          <w:tcPr>
            <w:tcW w:w="10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780" w:type="dxa"/>
            <w:vAlign w:val="bottom"/>
            <w:gridSpan w:val="13"/>
          </w:tcPr>
          <w:p>
            <w:pPr>
              <w:spacing w:after="0" w:line="196" w:lineRule="exact"/>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Unregistered Sales of Equity Securities and Use of Proceeds</w:t>
              </w:r>
            </w:hyperlink>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196"/>
        </w:trPr>
        <w:tc>
          <w:tcPr>
            <w:tcW w:w="10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232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8"/>
              </w:rPr>
            </w:pPr>
            <w:hyperlink w:anchor="page27">
              <w:r>
                <w:rPr>
                  <w:rFonts w:ascii="Times New Roman" w:cs="Times New Roman" w:eastAsia="Times New Roman" w:hAnsi="Times New Roman"/>
                  <w:sz w:val="18"/>
                  <w:szCs w:val="18"/>
                  <w:color w:val="0000EE"/>
                  <w:w w:val="98"/>
                </w:rPr>
                <w:t>Defaults Upon Senior Securities</w:t>
              </w:r>
            </w:hyperlink>
          </w:p>
        </w:tc>
        <w:tc>
          <w:tcPr>
            <w:tcW w:w="2020" w:type="dxa"/>
            <w:vAlign w:val="bottom"/>
            <w:tcBorders>
              <w:top w:val="single" w:sz="8" w:color="0000EE"/>
            </w:tcBorders>
            <w:gridSpan w:val="2"/>
          </w:tcPr>
          <w:p>
            <w:pPr>
              <w:spacing w:after="0"/>
              <w:rPr>
                <w:sz w:val="17"/>
                <w:szCs w:val="17"/>
                <w:color w:val="auto"/>
              </w:rPr>
            </w:pPr>
          </w:p>
        </w:tc>
        <w:tc>
          <w:tcPr>
            <w:tcW w:w="5440" w:type="dxa"/>
            <w:vAlign w:val="bottom"/>
            <w:gridSpan w:val="2"/>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196"/>
        </w:trPr>
        <w:tc>
          <w:tcPr>
            <w:tcW w:w="10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780" w:type="dxa"/>
            <w:vAlign w:val="bottom"/>
            <w:gridSpan w:val="13"/>
          </w:tcPr>
          <w:p>
            <w:pPr>
              <w:spacing w:after="0" w:line="196" w:lineRule="exact"/>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Mine Safety Disclosures</w:t>
              </w:r>
            </w:hyperlink>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196"/>
        </w:trPr>
        <w:tc>
          <w:tcPr>
            <w:tcW w:w="10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1760" w:type="dxa"/>
            <w:vAlign w:val="bottom"/>
            <w:tcBorders>
              <w:top w:val="single" w:sz="8" w:color="0000EE"/>
            </w:tcBorders>
            <w:gridSpan w:val="8"/>
          </w:tcPr>
          <w:p>
            <w:pPr>
              <w:spacing w:after="0" w:line="196" w:lineRule="exact"/>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Other Information</w:t>
              </w:r>
            </w:hyperlink>
          </w:p>
        </w:tc>
        <w:tc>
          <w:tcPr>
            <w:tcW w:w="8020" w:type="dxa"/>
            <w:vAlign w:val="bottom"/>
            <w:gridSpan w:val="5"/>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196"/>
        </w:trPr>
        <w:tc>
          <w:tcPr>
            <w:tcW w:w="10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1300" w:type="dxa"/>
            <w:vAlign w:val="bottom"/>
            <w:tcBorders>
              <w:top w:val="single" w:sz="8" w:color="0000EE"/>
            </w:tcBorders>
            <w:gridSpan w:val="4"/>
          </w:tcPr>
          <w:p>
            <w:pPr>
              <w:spacing w:after="0" w:line="196" w:lineRule="exact"/>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Exhibits</w:t>
              </w:r>
            </w:hyperlink>
          </w:p>
        </w:tc>
        <w:tc>
          <w:tcPr>
            <w:tcW w:w="8480" w:type="dxa"/>
            <w:vAlign w:val="bottom"/>
            <w:gridSpan w:val="9"/>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820" w:type="dxa"/>
            <w:vAlign w:val="bottom"/>
            <w:gridSpan w:val="2"/>
          </w:tcPr>
          <w:p>
            <w:pPr>
              <w:spacing w:after="0" w:line="196" w:lineRule="exact"/>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Signatures</w:t>
              </w:r>
            </w:hyperlink>
          </w:p>
        </w:tc>
        <w:tc>
          <w:tcPr>
            <w:tcW w:w="60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385"/>
        </w:trPr>
        <w:tc>
          <w:tcPr>
            <w:tcW w:w="180" w:type="dxa"/>
            <w:vAlign w:val="bottom"/>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6460" w:type="dxa"/>
            <w:vAlign w:val="bottom"/>
            <w:gridSpan w:val="12"/>
          </w:tcPr>
          <w:p>
            <w:pPr>
              <w:ind w:left="4660"/>
              <w:spacing w:after="0"/>
              <w:rPr>
                <w:sz w:val="20"/>
                <w:szCs w:val="20"/>
                <w:color w:val="auto"/>
              </w:rPr>
            </w:pPr>
            <w:r>
              <w:rPr>
                <w:rFonts w:ascii="Times New Roman" w:cs="Times New Roman" w:eastAsia="Times New Roman" w:hAnsi="Times New Roman"/>
                <w:sz w:val="18"/>
                <w:szCs w:val="18"/>
                <w:color w:val="auto"/>
              </w:rPr>
              <w:t>2</w:t>
            </w:r>
          </w:p>
        </w:tc>
        <w:tc>
          <w:tcPr>
            <w:tcW w:w="3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5" w:right="33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52"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Net Income and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5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0" w:type="dxa"/>
            <w:vAlign w:val="bottom"/>
            <w:gridSpan w:val="6"/>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20" w:type="dxa"/>
            <w:vAlign w:val="bottom"/>
            <w:gridSpan w:val="5"/>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62"/>
        </w:trPr>
        <w:tc>
          <w:tcPr>
            <w:tcW w:w="75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(in thousands, except per share data)</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758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2016</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2015</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2016</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2100" w:type="dxa"/>
            <w:vAlign w:val="bottom"/>
            <w:tcBorders>
              <w:top w:val="single" w:sz="8" w:color="auto"/>
            </w:tcBorders>
          </w:tcPr>
          <w:p>
            <w:pPr>
              <w:spacing w:after="0"/>
              <w:rPr>
                <w:sz w:val="7"/>
                <w:szCs w:val="7"/>
                <w:color w:val="auto"/>
              </w:rPr>
            </w:pPr>
          </w:p>
        </w:tc>
        <w:tc>
          <w:tcPr>
            <w:tcW w:w="54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9"/>
              </w:rPr>
              <w:t>214,272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5"/>
              </w:rPr>
              <w:t>164,856</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426,498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328,601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products sold (exclusive of depreciation and amortization shown separately below)</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9"/>
              </w:rPr>
              <w:t>156,794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5"/>
              </w:rPr>
              <w:t>128,708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316,548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258,025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21,592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13,962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42,304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25,961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15,136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8,597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32,484</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and impairment charges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4,047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7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16,703</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13,589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28,577</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20" w:type="dxa"/>
            <w:vAlign w:val="bottom"/>
            <w:vMerge w:val="restart"/>
          </w:tcPr>
          <w:p>
            <w:pPr>
              <w:spacing w:after="0"/>
              <w:rPr>
                <w:sz w:val="8"/>
                <w:szCs w:val="8"/>
                <w:color w:val="auto"/>
              </w:rPr>
            </w:pPr>
          </w:p>
        </w:tc>
        <w:tc>
          <w:tcPr>
            <w:tcW w:w="2100" w:type="dxa"/>
            <w:vAlign w:val="bottom"/>
          </w:tcPr>
          <w:p>
            <w:pPr>
              <w:spacing w:after="0"/>
              <w:rPr>
                <w:sz w:val="8"/>
                <w:szCs w:val="8"/>
                <w:color w:val="auto"/>
              </w:rPr>
            </w:pPr>
          </w:p>
        </w:tc>
        <w:tc>
          <w:tcPr>
            <w:tcW w:w="54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16,165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6,021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32,587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(824)</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(1,953)</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1,419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10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provision (benefit) for income taxes and share of net income from joint venture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7,549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(2,057)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 (benefit) expense for income taxes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1,617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of net income from joint venture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1,343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1,021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1,882</w:t>
            </w:r>
          </w:p>
        </w:tc>
        <w:tc>
          <w:tcPr>
            <w:tcW w:w="0" w:type="dxa"/>
            <w:vAlign w:val="bottom"/>
          </w:tcPr>
          <w:p>
            <w:pPr>
              <w:spacing w:after="0"/>
              <w:rPr>
                <w:sz w:val="1"/>
                <w:szCs w:val="1"/>
                <w:color w:val="auto"/>
              </w:rPr>
            </w:pPr>
          </w:p>
        </w:tc>
      </w:tr>
      <w:tr>
        <w:trPr>
          <w:trHeight w:val="223"/>
        </w:trPr>
        <w:tc>
          <w:tcPr>
            <w:tcW w:w="7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income</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2,031</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2100" w:type="dxa"/>
            <w:vAlign w:val="bottom"/>
          </w:tcPr>
          <w:p>
            <w:pPr>
              <w:spacing w:after="0"/>
              <w:rPr>
                <w:sz w:val="10"/>
                <w:szCs w:val="10"/>
                <w:color w:val="auto"/>
              </w:rPr>
            </w:pPr>
          </w:p>
        </w:tc>
        <w:tc>
          <w:tcPr>
            <w:tcW w:w="5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75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Change in fair value of interest rate hedge</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24"/>
                <w:szCs w:val="2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(61)</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(1,081)</w:t>
            </w:r>
          </w:p>
        </w:tc>
        <w:tc>
          <w:tcPr>
            <w:tcW w:w="100" w:type="dxa"/>
            <w:vAlign w:val="bottom"/>
          </w:tcPr>
          <w:p>
            <w:pPr>
              <w:spacing w:after="0"/>
              <w:rPr>
                <w:sz w:val="24"/>
                <w:szCs w:val="24"/>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currency translation gain (loss)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(2,925)</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4,065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(12,231)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(3,004)</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4,004</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2,713</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(13,856)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(973)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10,957</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(901)</w:t>
            </w:r>
          </w:p>
        </w:tc>
        <w:tc>
          <w:tcPr>
            <w:tcW w:w="0" w:type="dxa"/>
            <w:vAlign w:val="bottom"/>
          </w:tcPr>
          <w:p>
            <w:pPr>
              <w:spacing w:after="0"/>
              <w:rPr>
                <w:sz w:val="1"/>
                <w:szCs w:val="1"/>
                <w:color w:val="auto"/>
              </w:rPr>
            </w:pPr>
          </w:p>
        </w:tc>
      </w:tr>
      <w:tr>
        <w:trPr>
          <w:trHeight w:val="20"/>
        </w:trPr>
        <w:tc>
          <w:tcPr>
            <w:tcW w:w="75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Basic income per share:</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580" w:type="dxa"/>
            <w:vAlign w:val="bottom"/>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0.36</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0.68</w:t>
            </w:r>
          </w:p>
        </w:tc>
        <w:tc>
          <w:tcPr>
            <w:tcW w:w="0" w:type="dxa"/>
            <w:vAlign w:val="bottom"/>
          </w:tcPr>
          <w:p>
            <w:pPr>
              <w:spacing w:after="0"/>
              <w:rPr>
                <w:sz w:val="1"/>
                <w:szCs w:val="1"/>
                <w:color w:val="auto"/>
              </w:rPr>
            </w:pPr>
          </w:p>
        </w:tc>
      </w:tr>
      <w:tr>
        <w:trPr>
          <w:trHeight w:val="20"/>
        </w:trPr>
        <w:tc>
          <w:tcPr>
            <w:tcW w:w="75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8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27,024</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19,215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26,923</w:t>
            </w: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2100" w:type="dxa"/>
            <w:vAlign w:val="bottom"/>
          </w:tcPr>
          <w:p>
            <w:pPr>
              <w:spacing w:after="0"/>
              <w:rPr>
                <w:sz w:val="8"/>
                <w:szCs w:val="8"/>
                <w:color w:val="auto"/>
              </w:rPr>
            </w:pPr>
          </w:p>
        </w:tc>
        <w:tc>
          <w:tcPr>
            <w:tcW w:w="54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income per share: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0.07</w:t>
            </w:r>
          </w:p>
        </w:tc>
        <w:tc>
          <w:tcPr>
            <w:tcW w:w="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0.36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27,187</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19,582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27,050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19,416</w:t>
            </w:r>
          </w:p>
        </w:tc>
        <w:tc>
          <w:tcPr>
            <w:tcW w:w="0" w:type="dxa"/>
            <w:vAlign w:val="bottom"/>
          </w:tcPr>
          <w:p>
            <w:pPr>
              <w:spacing w:after="0"/>
              <w:rPr>
                <w:sz w:val="1"/>
                <w:szCs w:val="1"/>
                <w:color w:val="auto"/>
              </w:rPr>
            </w:pPr>
          </w:p>
        </w:tc>
      </w:tr>
      <w:tr>
        <w:trPr>
          <w:trHeight w:val="20"/>
        </w:trPr>
        <w:tc>
          <w:tcPr>
            <w:tcW w:w="75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Cash dividends per common share</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0.07</w:t>
            </w:r>
          </w:p>
        </w:tc>
        <w:tc>
          <w:tcPr>
            <w:tcW w:w="3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0.07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Condensed Consolidated Financial Statements.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455" w:right="23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(in thousands, except per share data)</w:t>
            </w:r>
          </w:p>
        </w:tc>
        <w:tc>
          <w:tcPr>
            <w:tcW w:w="2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40" w:type="dxa"/>
            <w:vAlign w:val="bottom"/>
          </w:tcPr>
          <w:p>
            <w:pPr>
              <w:spacing w:after="0"/>
              <w:rPr>
                <w:sz w:val="13"/>
                <w:szCs w:val="13"/>
                <w:color w:val="auto"/>
              </w:rPr>
            </w:pP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6600" w:type="dxa"/>
            <w:vAlign w:val="bottom"/>
            <w:gridSpan w:val="3"/>
            <w:vMerge w:val="continue"/>
          </w:tcPr>
          <w:p>
            <w:pPr>
              <w:spacing w:after="0"/>
              <w:rPr>
                <w:sz w:val="15"/>
                <w:szCs w:val="15"/>
                <w:color w:val="auto"/>
              </w:rPr>
            </w:pPr>
          </w:p>
        </w:tc>
        <w:tc>
          <w:tcPr>
            <w:tcW w:w="2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2016</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100" w:type="dxa"/>
            <w:vAlign w:val="bottom"/>
            <w:tcBorders>
              <w:top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4480" w:type="dxa"/>
            <w:vAlign w:val="bottom"/>
            <w:tcBorders>
              <w:top w:val="single" w:sz="8" w:color="CCEEFF"/>
            </w:tcBorders>
            <w:shd w:val="clear" w:color="auto" w:fill="CCEEFF"/>
          </w:tcPr>
          <w:p>
            <w:pPr>
              <w:spacing w:after="0"/>
              <w:rPr>
                <w:sz w:val="17"/>
                <w:szCs w:val="17"/>
                <w:color w:val="auto"/>
              </w:rPr>
            </w:pPr>
          </w:p>
        </w:tc>
        <w:tc>
          <w:tcPr>
            <w:tcW w:w="27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w:t>
            </w:r>
          </w:p>
        </w:tc>
        <w:tc>
          <w:tcPr>
            <w:tcW w:w="2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15,080</w:t>
            </w:r>
          </w:p>
        </w:tc>
        <w:tc>
          <w:tcPr>
            <w:tcW w:w="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147,053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2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118,784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119,836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Income tax receivable</w:t>
            </w: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4,046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Current deferred tax assets</w:t>
            </w:r>
          </w:p>
        </w:tc>
        <w:tc>
          <w:tcPr>
            <w:tcW w:w="2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Other current assets</w:t>
            </w:r>
          </w:p>
        </w:tc>
        <w:tc>
          <w:tcPr>
            <w:tcW w:w="27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12,920</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current assets</w:t>
            </w:r>
          </w:p>
        </w:tc>
        <w:tc>
          <w:tcPr>
            <w:tcW w:w="2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297,883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280,181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6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323,244</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318,968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net</w:t>
            </w:r>
          </w:p>
        </w:tc>
        <w:tc>
          <w:tcPr>
            <w:tcW w:w="2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448,690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449,898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267,769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282,169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deferred tax assets</w:t>
            </w:r>
          </w:p>
        </w:tc>
        <w:tc>
          <w:tcPr>
            <w:tcW w:w="2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 in joint venture</w:t>
            </w: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41,205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2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10,950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Total assets</w:t>
            </w:r>
          </w:p>
        </w:tc>
        <w:tc>
          <w:tcPr>
            <w:tcW w:w="27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1,389,741</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1,380,567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2100" w:type="dxa"/>
            <w:vAlign w:val="bottom"/>
          </w:tcPr>
          <w:p>
            <w:pPr>
              <w:spacing w:after="0"/>
              <w:rPr>
                <w:sz w:val="8"/>
                <w:szCs w:val="8"/>
                <w:color w:val="auto"/>
              </w:rPr>
            </w:pPr>
          </w:p>
        </w:tc>
        <w:tc>
          <w:tcPr>
            <w:tcW w:w="4480" w:type="dxa"/>
            <w:vAlign w:val="bottom"/>
          </w:tcPr>
          <w:p>
            <w:pPr>
              <w:spacing w:after="0"/>
              <w:rPr>
                <w:sz w:val="8"/>
                <w:szCs w:val="8"/>
                <w:color w:val="auto"/>
              </w:rPr>
            </w:pPr>
          </w:p>
        </w:tc>
        <w:tc>
          <w:tcPr>
            <w:tcW w:w="2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2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65,862</w:t>
            </w:r>
          </w:p>
        </w:tc>
        <w:tc>
          <w:tcPr>
            <w:tcW w:w="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Accrued salaries, wages and benefits</w:t>
            </w: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23,392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taxes payable</w:t>
            </w:r>
          </w:p>
        </w:tc>
        <w:tc>
          <w:tcPr>
            <w:tcW w:w="2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2,042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19,537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Current portion of obligation under capital lease</w:t>
            </w:r>
          </w:p>
        </w:tc>
        <w:tc>
          <w:tcPr>
            <w:tcW w:w="2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4,101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23,941</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7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138,875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6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Non-current deferred tax liabilities</w:t>
            </w:r>
          </w:p>
        </w:tc>
        <w:tc>
          <w:tcPr>
            <w:tcW w:w="2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112,256</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net of current portion</w:t>
            </w:r>
          </w:p>
        </w:tc>
        <w:tc>
          <w:tcPr>
            <w:tcW w:w="2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801,213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795,400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post-employment benefits</w:t>
            </w: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6,045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Obligation under capital lease, net of current portion</w:t>
            </w:r>
          </w:p>
        </w:tc>
        <w:tc>
          <w:tcPr>
            <w:tcW w:w="2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7,656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2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6,290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Total liabilities</w:t>
            </w:r>
          </w:p>
        </w:tc>
        <w:tc>
          <w:tcPr>
            <w:tcW w:w="27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1,072,335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1,066,686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7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317,406</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313,881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1,389,741</w:t>
            </w: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1,380,567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Condensed Consolidated Financial Statements.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455" w:right="23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122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980" w:type="dxa"/>
            <w:vAlign w:val="bottom"/>
          </w:tcPr>
          <w:p>
            <w:pPr>
              <w:spacing w:after="0"/>
              <w:rPr>
                <w:sz w:val="10"/>
                <w:szCs w:val="10"/>
                <w:color w:val="auto"/>
              </w:rPr>
            </w:pPr>
          </w:p>
        </w:tc>
        <w:tc>
          <w:tcPr>
            <w:tcW w:w="740" w:type="dxa"/>
            <w:vAlign w:val="bottom"/>
            <w:gridSpan w:val="2"/>
          </w:tcPr>
          <w:p>
            <w:pPr>
              <w:jc w:val="center"/>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Number</w:t>
            </w:r>
          </w:p>
        </w:tc>
        <w:tc>
          <w:tcPr>
            <w:tcW w:w="120" w:type="dxa"/>
            <w:vAlign w:val="bottom"/>
          </w:tcPr>
          <w:p>
            <w:pPr>
              <w:spacing w:after="0"/>
              <w:rPr>
                <w:sz w:val="10"/>
                <w:szCs w:val="10"/>
                <w:color w:val="auto"/>
              </w:rPr>
            </w:pPr>
          </w:p>
        </w:tc>
        <w:tc>
          <w:tcPr>
            <w:tcW w:w="66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Par</w:t>
            </w:r>
          </w:p>
        </w:tc>
        <w:tc>
          <w:tcPr>
            <w:tcW w:w="1000" w:type="dxa"/>
            <w:vAlign w:val="bottom"/>
            <w:gridSpan w:val="2"/>
          </w:tcPr>
          <w:p>
            <w:pPr>
              <w:jc w:val="right"/>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60" w:type="dxa"/>
            <w:vAlign w:val="bottom"/>
          </w:tcPr>
          <w:p>
            <w:pPr>
              <w:spacing w:after="0"/>
              <w:rPr>
                <w:sz w:val="10"/>
                <w:szCs w:val="10"/>
                <w:color w:val="auto"/>
              </w:rPr>
            </w:pPr>
          </w:p>
        </w:tc>
        <w:tc>
          <w:tcPr>
            <w:tcW w:w="1080" w:type="dxa"/>
            <w:vAlign w:val="bottom"/>
            <w:gridSpan w:val="2"/>
          </w:tcPr>
          <w:p>
            <w:pPr>
              <w:jc w:val="center"/>
              <w:ind w:right="480"/>
              <w:spacing w:after="0" w:line="118" w:lineRule="exact"/>
              <w:rPr>
                <w:sz w:val="20"/>
                <w:szCs w:val="20"/>
                <w:color w:val="auto"/>
              </w:rPr>
            </w:pPr>
            <w:r>
              <w:rPr>
                <w:rFonts w:ascii="Times New Roman" w:cs="Times New Roman" w:eastAsia="Times New Roman" w:hAnsi="Times New Roman"/>
                <w:sz w:val="13"/>
                <w:szCs w:val="13"/>
                <w:b w:val="1"/>
                <w:bCs w:val="1"/>
                <w:color w:val="auto"/>
              </w:rPr>
              <w:t>other</w:t>
            </w:r>
          </w:p>
        </w:tc>
        <w:tc>
          <w:tcPr>
            <w:tcW w:w="80" w:type="dxa"/>
            <w:vAlign w:val="bottom"/>
          </w:tcPr>
          <w:p>
            <w:pPr>
              <w:spacing w:after="0"/>
              <w:rPr>
                <w:sz w:val="10"/>
                <w:szCs w:val="10"/>
                <w:color w:val="auto"/>
              </w:rPr>
            </w:pPr>
          </w:p>
        </w:tc>
        <w:tc>
          <w:tcPr>
            <w:tcW w:w="580" w:type="dxa"/>
            <w:vAlign w:val="bottom"/>
          </w:tcPr>
          <w:p>
            <w:pPr>
              <w:ind w:left="100"/>
              <w:spacing w:after="0" w:line="118" w:lineRule="exact"/>
              <w:rPr>
                <w:sz w:val="20"/>
                <w:szCs w:val="20"/>
                <w:color w:val="auto"/>
              </w:rPr>
            </w:pPr>
            <w:r>
              <w:rPr>
                <w:rFonts w:ascii="Times New Roman" w:cs="Times New Roman" w:eastAsia="Times New Roman" w:hAnsi="Times New Roman"/>
                <w:sz w:val="13"/>
                <w:szCs w:val="13"/>
                <w:b w:val="1"/>
                <w:bCs w:val="1"/>
                <w:color w:val="auto"/>
              </w:rPr>
              <w:t>Non-</w:t>
            </w:r>
          </w:p>
        </w:tc>
        <w:tc>
          <w:tcPr>
            <w:tcW w:w="3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0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thousands of dollars and shares)</w:t>
            </w:r>
          </w:p>
        </w:tc>
        <w:tc>
          <w:tcPr>
            <w:tcW w:w="7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12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000" w:type="dxa"/>
            <w:vAlign w:val="bottom"/>
            <w:gridSpan w:val="2"/>
          </w:tcPr>
          <w:p>
            <w:pPr>
              <w:jc w:val="right"/>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paid in</w:t>
            </w:r>
          </w:p>
        </w:tc>
        <w:tc>
          <w:tcPr>
            <w:tcW w:w="900" w:type="dxa"/>
            <w:vAlign w:val="bottom"/>
            <w:gridSpan w:val="2"/>
            <w:vMerge w:val="continue"/>
          </w:tcPr>
          <w:p>
            <w:pPr>
              <w:spacing w:after="0"/>
              <w:rPr>
                <w:sz w:val="12"/>
                <w:szCs w:val="12"/>
                <w:color w:val="auto"/>
              </w:rPr>
            </w:pPr>
          </w:p>
        </w:tc>
        <w:tc>
          <w:tcPr>
            <w:tcW w:w="1240" w:type="dxa"/>
            <w:vAlign w:val="bottom"/>
            <w:gridSpan w:val="3"/>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6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w w:val="97"/>
              </w:rPr>
              <w:t>controlling</w:t>
            </w:r>
          </w:p>
        </w:tc>
        <w:tc>
          <w:tcPr>
            <w:tcW w:w="300" w:type="dxa"/>
            <w:vAlign w:val="bottom"/>
          </w:tcPr>
          <w:p>
            <w:pPr>
              <w:spacing w:after="0"/>
              <w:rPr>
                <w:sz w:val="12"/>
                <w:szCs w:val="12"/>
                <w:color w:val="auto"/>
              </w:rPr>
            </w:pPr>
          </w:p>
        </w:tc>
        <w:tc>
          <w:tcPr>
            <w:tcW w:w="80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000" w:type="dxa"/>
            <w:vAlign w:val="bottom"/>
            <w:gridSpan w:val="2"/>
            <w:vMerge w:val="continue"/>
          </w:tcPr>
          <w:p>
            <w:pPr>
              <w:spacing w:after="0"/>
              <w:rPr>
                <w:sz w:val="15"/>
                <w:szCs w:val="15"/>
                <w:color w:val="auto"/>
              </w:rPr>
            </w:pPr>
          </w:p>
        </w:tc>
        <w:tc>
          <w:tcPr>
            <w:tcW w:w="7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5"/>
                <w:szCs w:val="15"/>
                <w:color w:val="auto"/>
              </w:rPr>
            </w:pPr>
          </w:p>
        </w:tc>
        <w:tc>
          <w:tcPr>
            <w:tcW w:w="6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60" w:type="dxa"/>
            <w:vAlign w:val="bottom"/>
          </w:tcPr>
          <w:p>
            <w:pPr>
              <w:spacing w:after="0"/>
              <w:rPr>
                <w:sz w:val="15"/>
                <w:szCs w:val="15"/>
                <w:color w:val="auto"/>
              </w:rPr>
            </w:pPr>
          </w:p>
        </w:tc>
        <w:tc>
          <w:tcPr>
            <w:tcW w:w="108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80" w:type="dxa"/>
            <w:vAlign w:val="bottom"/>
          </w:tcPr>
          <w:p>
            <w:pPr>
              <w:spacing w:after="0"/>
              <w:rPr>
                <w:sz w:val="15"/>
                <w:szCs w:val="15"/>
                <w:color w:val="auto"/>
              </w:rPr>
            </w:pPr>
          </w:p>
        </w:tc>
        <w:tc>
          <w:tcPr>
            <w:tcW w:w="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30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4980" w:type="dxa"/>
            <w:vAlign w:val="bottom"/>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60" w:type="dxa"/>
            <w:vAlign w:val="bottom"/>
            <w:tcBorders>
              <w:top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2015</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26,849</w:t>
            </w:r>
          </w:p>
        </w:tc>
        <w:tc>
          <w:tcPr>
            <w:tcW w:w="1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9"/>
              </w:rPr>
              <w:t>$269</w:t>
            </w:r>
          </w:p>
        </w:tc>
        <w:tc>
          <w:tcPr>
            <w:tcW w:w="1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7"/>
              </w:rPr>
              <w:t>$277,582</w:t>
            </w: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9"/>
              </w:rPr>
              <w:t>$55,151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(19,153)</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88"/>
              </w:rPr>
              <w:t>32</w:t>
            </w: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$313,881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income (loss)</w:t>
            </w:r>
          </w:p>
        </w:tc>
        <w:tc>
          <w:tcPr>
            <w:tcW w:w="7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w:t>
            </w: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732</w:t>
            </w:r>
          </w:p>
        </w:tc>
        <w:tc>
          <w:tcPr>
            <w:tcW w:w="16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Dividends paid</w:t>
            </w:r>
          </w:p>
        </w:tc>
        <w:tc>
          <w:tcPr>
            <w:tcW w:w="7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8"/>
                <w:szCs w:val="18"/>
                <w:color w:val="auto"/>
                <w:w w:val="99"/>
              </w:rPr>
              <w:t>—</w:t>
            </w:r>
          </w:p>
        </w:tc>
        <w:tc>
          <w:tcPr>
            <w:tcW w:w="10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(3,773)</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 option expense</w:t>
            </w:r>
          </w:p>
        </w:tc>
        <w:tc>
          <w:tcPr>
            <w:tcW w:w="7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w:t>
            </w: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494</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Shares issued for option exercises</w:t>
            </w:r>
          </w:p>
        </w:tc>
        <w:tc>
          <w:tcPr>
            <w:tcW w:w="5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96"/>
              </w:rPr>
              <w:t>145</w:t>
            </w:r>
          </w:p>
        </w:tc>
        <w:tc>
          <w:tcPr>
            <w:tcW w:w="1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w:t>
            </w:r>
          </w:p>
        </w:tc>
        <w:tc>
          <w:tcPr>
            <w:tcW w:w="1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1,524</w:t>
            </w:r>
          </w:p>
        </w:tc>
        <w:tc>
          <w:tcPr>
            <w:tcW w:w="9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1,525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98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Restricted and performance based stock compensation</w:t>
            </w: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9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expense</w:t>
            </w:r>
          </w:p>
        </w:tc>
        <w:tc>
          <w:tcPr>
            <w:tcW w:w="56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6"/>
              </w:rPr>
              <w:t>152</w:t>
            </w:r>
          </w:p>
        </w:tc>
        <w:tc>
          <w:tcPr>
            <w:tcW w:w="180" w:type="dxa"/>
            <w:vAlign w:val="bottom"/>
          </w:tcPr>
          <w:p>
            <w:pPr>
              <w:spacing w:after="0"/>
              <w:rPr>
                <w:sz w:val="20"/>
                <w:szCs w:val="20"/>
                <w:color w:val="auto"/>
              </w:rPr>
            </w:pPr>
          </w:p>
        </w:tc>
        <w:tc>
          <w:tcPr>
            <w:tcW w:w="7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1</w:t>
            </w: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1,990</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5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1,991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Restricted shares forgiven for taxes and forfeited</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8"/>
                <w:szCs w:val="18"/>
                <w:color w:val="auto"/>
                <w:w w:val="99"/>
              </w:rPr>
              <w:t>—</w:t>
            </w: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(157)</w:t>
            </w:r>
          </w:p>
        </w:tc>
        <w:tc>
          <w:tcPr>
            <w:tcW w:w="9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Foreign currency translation gain</w:t>
            </w:r>
          </w:p>
        </w:tc>
        <w:tc>
          <w:tcPr>
            <w:tcW w:w="7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w:t>
            </w: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3,794</w:t>
            </w:r>
          </w:p>
        </w:tc>
        <w:tc>
          <w:tcPr>
            <w:tcW w:w="8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3,794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 in fair value of interest rate hedge</w:t>
            </w:r>
          </w:p>
        </w:tc>
        <w:tc>
          <w:tcPr>
            <w:tcW w:w="5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(1,081)</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(1,081)</w:t>
            </w:r>
          </w:p>
        </w:tc>
        <w:tc>
          <w:tcPr>
            <w:tcW w:w="0" w:type="dxa"/>
            <w:vAlign w:val="bottom"/>
          </w:tcPr>
          <w:p>
            <w:pPr>
              <w:spacing w:after="0"/>
              <w:rPr>
                <w:sz w:val="1"/>
                <w:szCs w:val="1"/>
                <w:color w:val="auto"/>
              </w:rPr>
            </w:pPr>
          </w:p>
        </w:tc>
      </w:tr>
      <w:tr>
        <w:trPr>
          <w:trHeight w:val="20"/>
        </w:trPr>
        <w:tc>
          <w:tcPr>
            <w:tcW w:w="5000" w:type="dxa"/>
            <w:vAlign w:val="bottom"/>
            <w:gridSpan w:val="2"/>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June 30, 2016</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27,125</w:t>
            </w:r>
          </w:p>
        </w:tc>
        <w:tc>
          <w:tcPr>
            <w:tcW w:w="180" w:type="dxa"/>
            <w:vAlign w:val="bottom"/>
          </w:tcPr>
          <w:p>
            <w:pPr>
              <w:spacing w:after="0"/>
              <w:rPr>
                <w:sz w:val="24"/>
                <w:szCs w:val="24"/>
                <w:color w:val="auto"/>
              </w:rPr>
            </w:pPr>
          </w:p>
        </w:tc>
        <w:tc>
          <w:tcPr>
            <w:tcW w:w="78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271</w:t>
            </w: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281,433</w:t>
            </w: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52,110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(16,440)</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88"/>
              </w:rPr>
              <w:t>32</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317,406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Condensed Consolidated Financial Statements.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455" w:right="2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68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gridSpan w:val="4"/>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62"/>
        </w:trPr>
        <w:tc>
          <w:tcPr>
            <w:tcW w:w="82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(in thousands of dollars)</w:t>
            </w: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4"/>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73"/>
        </w:trPr>
        <w:tc>
          <w:tcPr>
            <w:tcW w:w="8220" w:type="dxa"/>
            <w:vAlign w:val="bottom"/>
            <w:gridSpan w:val="3"/>
            <w:vMerge w:val="continue"/>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2016</w:t>
            </w:r>
          </w:p>
        </w:tc>
        <w:tc>
          <w:tcPr>
            <w:tcW w:w="340" w:type="dxa"/>
            <w:vAlign w:val="bottom"/>
          </w:tcPr>
          <w:p>
            <w:pPr>
              <w:spacing w:after="0"/>
              <w:rPr>
                <w:sz w:val="15"/>
                <w:szCs w:val="15"/>
                <w:color w:val="auto"/>
              </w:rPr>
            </w:pPr>
          </w:p>
        </w:tc>
        <w:tc>
          <w:tcPr>
            <w:tcW w:w="66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0" w:type="dxa"/>
            <w:vAlign w:val="bottom"/>
            <w:tcBorders>
              <w:top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w:t>
            </w:r>
          </w:p>
        </w:tc>
        <w:tc>
          <w:tcPr>
            <w:tcW w:w="68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operating activities:</w:t>
            </w:r>
          </w:p>
        </w:tc>
        <w:tc>
          <w:tcPr>
            <w:tcW w:w="1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Net income</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732</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$ 12,955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32,484</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1,986</w:t>
            </w: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Joint venture net income in excess of cash received</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(2,743)</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Compensation expense from issuance of restricted stock and incentive stock options</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2,485</w:t>
            </w: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Deferred income tax expense (benefit)</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2,235</w:t>
            </w:r>
          </w:p>
        </w:tc>
        <w:tc>
          <w:tcPr>
            <w:tcW w:w="34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Non-cash restructuring and impairment charges</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1,891</w:t>
            </w: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Accounts receivable</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7"/>
              </w:rPr>
              <w:t>(24,048)</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Inventories</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1,713</w:t>
            </w:r>
          </w:p>
        </w:tc>
        <w:tc>
          <w:tcPr>
            <w:tcW w:w="3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Accounts payable</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(3,239)</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(6,317)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0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Other assets and liabilities</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(1,872)</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4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11,624</w:t>
            </w:r>
          </w:p>
        </w:tc>
        <w:tc>
          <w:tcPr>
            <w:tcW w:w="340" w:type="dxa"/>
            <w:vAlign w:val="bottom"/>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82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Acquisition of property, plant and equipment</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7"/>
              </w:rPr>
              <w:t>(18,223)</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Proceeds from measurement period adjustments to previous acquisition</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1,635</w:t>
            </w:r>
          </w:p>
        </w:tc>
        <w:tc>
          <w:tcPr>
            <w:tcW w:w="34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disposals of property, plant and equipment</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215</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Cash paid to acquire businesses, net of cash received</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(8,966)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Capital contributions to joint venture</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by investing activities</w:t>
            </w:r>
          </w:p>
        </w:tc>
        <w:tc>
          <w:tcPr>
            <w:tcW w:w="14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(16,373)</w:t>
            </w:r>
          </w:p>
        </w:tc>
        <w:tc>
          <w:tcPr>
            <w:tcW w:w="3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1400" w:type="dxa"/>
            <w:vAlign w:val="bottom"/>
          </w:tcPr>
          <w:p>
            <w:pPr>
              <w:spacing w:after="0"/>
              <w:rPr>
                <w:sz w:val="10"/>
                <w:szCs w:val="10"/>
                <w:color w:val="auto"/>
              </w:rPr>
            </w:pPr>
          </w:p>
        </w:tc>
        <w:tc>
          <w:tcPr>
            <w:tcW w:w="68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Debt issue costs paid</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Dividends Paid</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(3,773)</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Proceeds from long-term debt</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11,000</w:t>
            </w:r>
          </w:p>
        </w:tc>
        <w:tc>
          <w:tcPr>
            <w:tcW w:w="3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Repayment of long-term debt</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(5,875)</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Proceeds of short-term debt, net</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6,580</w:t>
            </w:r>
          </w:p>
        </w:tc>
        <w:tc>
          <w:tcPr>
            <w:tcW w:w="3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issuance of stock and exercise of stock options</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w:t>
            </w: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Principal payments on capital lease</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(2,462)</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4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6,995</w:t>
            </w:r>
          </w:p>
        </w:tc>
        <w:tc>
          <w:tcPr>
            <w:tcW w:w="340" w:type="dxa"/>
            <w:vAlign w:val="bottom"/>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82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Effect of exchange rate changes on cash flows</w:t>
            </w: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(2,253)</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68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(15,908)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Cash and cash equivalents at beginning of year</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15,087</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37,317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8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 at end of year</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15,080</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$ 21,409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Condensed Consolidated Financial Statements.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455" w:right="23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June 30, 2016 and 2015</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Interim Financial Statements</w:t>
      </w:r>
    </w:p>
    <w:p>
      <w:pPr>
        <w:spacing w:after="0" w:line="121"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We are a diversified industrial company and a leading global manufacturer of high precision bearing components, industrial plastic products and precision metal components to a variety of markets on a global basis. We have 41 manufacturing plants in North America, Western Europe, Eastern Europe, South America and China. Our business is aggregated into three reportable segments, the Precision Bearing Components Group (formerly known as our Metal Bearing Components Group), the Precision Engineered Products Group (formerly known as our Plastics and Rubber Components Group) and the Autocam Precision Components Group. As used in this Quarterly Report on Form 10-Q, the terms “NN”, “the Company”, “we”, “our”, or “us” mean NN, Inc. and its subsidiaries.</w:t>
      </w:r>
    </w:p>
    <w:p>
      <w:pPr>
        <w:spacing w:after="0" w:line="188"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of NN, Inc. have not been audited, except that the Condensed Consolidated Balance Sheet at December 31, 2015 was derived from our audited consolidated financial statements included in our Annual Report on Form 10-K for the year ended December 31, 2015 (the “2015 Annual Report”), which was filed with the U.S. Securities and Exchange Commission, or the SEC, on March 15, 2016. In our opinion, these Condensed Consolidated Financial Statements reflect all adjustments necessary to fairly state the results of operations for the three and six month periods ended June 30, 2016 and 2015, our financial position at June 30, 2016 and December 31, 2015, and the cash flows for the three and six month periods ended June 30, 2016 and 2015 on a basis consistent with our audited consolidated financial statements. These adjustments are of a normal recurring nature and are, in the opinion of management, necessary to present fairly our financial position and operating results for the interim periods.</w:t>
      </w:r>
    </w:p>
    <w:p>
      <w:pPr>
        <w:spacing w:after="0" w:line="18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Included in Selling, general and administrative expense line item within the Condensed Consolidated Statement of Net Income during the three months ended June 30, 2016 is an out of period adjustment in the amount of $0.4 million, to correct compensation expense recorded with respect to share – based awards previously granted to executives who, either at the time of such grant or during the applicable vesting period, were eligible to retire from the Company, upon which the vesting of all or a portion of these awards would be accelerated.</w:t>
      </w:r>
    </w:p>
    <w:p>
      <w:pPr>
        <w:spacing w:after="0" w:line="180"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Certain information and footnote disclosures normally included in the consolidated financial statements prepared in accordance with generally accepted accounting principles have been condensed or omitted from the interim financial statements presented in this Quarterly Report on Form 10-Q. These unaudited, Condensed Consolidated Financial Statements should be read in conjunction with our audited consolidated financial statements and the notes thereto included in our 2015 Annual Report. The results for the six months ended June 30, 2016 are not necessarily indicative of results for the year ending December 31, 2016 or any other future periods.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Newly Adopted Accounting Standards</w:t>
      </w:r>
    </w:p>
    <w:p>
      <w:pPr>
        <w:spacing w:after="0" w:line="11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During the first quarter of 2016, we adopted the following Accounting Standard Updates (“ASU”), and as necessary, certain reclassifications have been made to conform to the current year presentation:</w:t>
      </w:r>
    </w:p>
    <w:p>
      <w:pPr>
        <w:spacing w:after="0" w:line="16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adopted ASU No. 2015-03, Interest - Imputation of Interest (Subtopic 835-30): Simplifying the Presentation of Debt Issuance Costs (“ASU 2015-03”), which provides guidance on simplifying the presentation of debt issuance costs on the balance sheet. To simplify presentation of debt issuance costs, the amendments in ASU 2015-03 require that debt issuance costs related to a recognized debt liability be presented in the balance sheet as a direct deduction from the carrying amount of that debt liability, consistent with debt discounts. The recognition and measurement guidance for debt issuance costs are not affected by the amendments in this update. In accordance with ASU 2015-03, we are applying the new guidance on a retrospective basis, wherein the balance sheet of each individual period presented was adjusted to reflect the period-specific effects of applying the new guidance.</w:t>
      </w:r>
    </w:p>
    <w:p>
      <w:pPr>
        <w:spacing w:after="0" w:line="18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adopted ASU No. 2015-11, Inventory (Topic 330) - Simplifying the Measurement of Inventory (“ASU 2015-11”), which simplifies the subsequent measurement of inventories by replacing the lower of cost or market test with a lower of cost and net realizable value test. The subsequent measurement of inventory test, historically three measurements under lower of cost or market, is replaced by lower of cost and net realizable value test. Thus, we will compare the cost of inventory to only one measure, its net realizable value. When evidence exists that the net realizable value of inventory is less than its cost (due to damage, physical deterioration, obsolescence, changes in price levels or other causes), we will recognize the difference as a loss in earnings in the period in which it occurs. In accordance with ASU 2015-11, we are applying the new guidance on a prospective basis.</w:t>
      </w:r>
    </w:p>
    <w:p>
      <w:pPr>
        <w:spacing w:after="0" w:line="188" w:lineRule="exact"/>
        <w:rPr>
          <w:sz w:val="20"/>
          <w:szCs w:val="20"/>
          <w:color w:val="auto"/>
        </w:rPr>
      </w:pPr>
    </w:p>
    <w:p>
      <w:pPr>
        <w:jc w:val="both"/>
        <w:ind w:right="220"/>
        <w:spacing w:after="0" w:line="261" w:lineRule="auto"/>
        <w:rPr>
          <w:sz w:val="20"/>
          <w:szCs w:val="20"/>
          <w:color w:val="auto"/>
        </w:rPr>
      </w:pPr>
      <w:r>
        <w:rPr>
          <w:rFonts w:ascii="Times New Roman" w:cs="Times New Roman" w:eastAsia="Times New Roman" w:hAnsi="Times New Roman"/>
          <w:sz w:val="18"/>
          <w:szCs w:val="18"/>
          <w:color w:val="auto"/>
        </w:rPr>
        <w:t>We adopted ASU No. 2015-16, Business Combinations (Topic 805) - Simplifying the Accounting for Measurement-Period Adjustments (“ASU 2015-16”), which eliminates the requirement that an acquirer in a business combination account for measurement-period adjustments retrospectively. Instead, we will recognize a measurement-period adjustment during the period in which we determine the amount of the adjustment, including the effect on earnings of any amounts it would have recorded in previous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00"/>
          </w:cols>
          <w:pgMar w:left="240" w:top="455" w:right="25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periods if the accounting had been completed at the acquisition date. In accordance with ASU 2015-16, we are applying the new guidance on a prospective basis to adjustments to provisional amounts that occur after December 31, 2015. That is, ASU 2015-16 applies to open measurement periods, regardless of the acquisition date.</w:t>
      </w:r>
    </w:p>
    <w:p>
      <w:pPr>
        <w:spacing w:after="0" w:line="1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adopted ASU No. 2015-17, Income Taxes (Topic 740), Balance Sheet Classification of Deferred Taxes (“ASU 2015-17”). We will classify all deferred tax assets and liabilities as noncurrent on the balance sheet instead of separating deferred taxes into current and noncurrent amounts. In addition, we will no longer allocate valuation allowances between current and noncurrent deferred tax assets because those allowances also will be classified as noncurrent. We have elected to apply ASU 2015-17 on a prospective basis. Therefore, the prior periods were not retroactively adjusted.</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Issuance of New Accounting Standards</w:t>
      </w:r>
    </w:p>
    <w:p>
      <w:pPr>
        <w:spacing w:after="0" w:line="11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2014, the Financial Accounting Standards Board (FASB) and International Accounting Standards Board (IASB) issued the joint revenue recognition standard. Since its release, there have been multiple proposed and finalized amendments made to the revenue recognition standard. In 2016, the FASB and IASB also issued separate lease accounting standards. The revenue recognition standard is effective for public companies beginning January 1, 2018 with full retrospective or modified retrospective adoption permitted. Both standards will significantly change current revenue and lease accounting practices, processes, systems, controls, and disclosures and take time and resources to adopt.</w:t>
      </w:r>
    </w:p>
    <w:p>
      <w:pPr>
        <w:spacing w:after="0" w:line="184"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color w:val="auto"/>
        </w:rPr>
        <w:t>On February 25, 2016, the FASB issued ASU 2016-02, Leases (“ASU 2016-02”). ASU 2016-02 creates Topic 842, Leases, in the FASB Accounting Standards Codification (FASB ASC) and supersedes FASB ASC 840, Leases. Entities that hold numerous equipment and real estate leases, in particular those with numerous operating leases, will be most affected by the new guidance. The leasing accounting standard is effective for public companies</w:t>
      </w:r>
    </w:p>
    <w:p>
      <w:pPr>
        <w:spacing w:after="0" w:line="2" w:lineRule="exact"/>
        <w:rPr>
          <w:sz w:val="20"/>
          <w:szCs w:val="20"/>
          <w:color w:val="auto"/>
        </w:rPr>
      </w:pPr>
    </w:p>
    <w:p>
      <w:pPr>
        <w:jc w:val="both"/>
        <w:ind w:right="340"/>
        <w:spacing w:after="0" w:line="255" w:lineRule="auto"/>
        <w:rPr>
          <w:sz w:val="20"/>
          <w:szCs w:val="20"/>
          <w:color w:val="auto"/>
        </w:rPr>
      </w:pPr>
      <w:r>
        <w:rPr>
          <w:rFonts w:ascii="Times New Roman" w:cs="Times New Roman" w:eastAsia="Times New Roman" w:hAnsi="Times New Roman"/>
          <w:sz w:val="18"/>
          <w:szCs w:val="18"/>
          <w:color w:val="auto"/>
        </w:rPr>
        <w:t>beginning January 1, 2019 with modified retrospective adoption required and early adoption permitted. The amendments in ASU 2016-02 are expected to impact balance sheets at many companies by adding lease-related assets and liabilities. This may affect compliance with contractual agreements and loan covenants.</w:t>
      </w:r>
    </w:p>
    <w:p>
      <w:pPr>
        <w:spacing w:after="0" w:line="186"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We are currently evaluating the impacts of the revenue recognition and lease accounting standards on our financial position or results of operations and related disclosures.</w:t>
      </w:r>
    </w:p>
    <w:p>
      <w:pPr>
        <w:spacing w:after="0" w:line="162"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Except for per share data or as otherwise indicated, all dollar amounts presented in the tables in these Notes to the Condensed Consolidated Financial Statements are in thousands.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Acquisitions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PEP</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As reported in our 2015 Annual Report we completed the acquisition of Precision Engineered Products Holdings, Inc. (“PEP”) on October 19, 2015. During the six months ended June 30, 2016, we finalized certain working capital adjustments and fixed assets. The changes primarily arose from differences noted during acquisition integration. As a result, we adjusted the preliminary allocation of the purchase price initially recorded at the PEP acquisition date to reflect these measurement period adjustments. The income taxes continue to be reviewed regarding finalization of fair market value.</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455" w:right="23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purchase price allocation for the PEP acquisition:</w:t>
      </w:r>
    </w:p>
    <w:p>
      <w:pPr>
        <w:spacing w:after="0" w:line="23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120" w:type="dxa"/>
            <w:vAlign w:val="bottom"/>
          </w:tcPr>
          <w:p>
            <w:pPr>
              <w:spacing w:after="0"/>
              <w:rPr>
                <w:sz w:val="13"/>
                <w:szCs w:val="13"/>
                <w:color w:val="auto"/>
              </w:rPr>
            </w:pPr>
          </w:p>
        </w:tc>
        <w:tc>
          <w:tcPr>
            <w:tcW w:w="84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500" w:type="dxa"/>
            <w:vAlign w:val="bottom"/>
          </w:tcPr>
          <w:p>
            <w:pPr>
              <w:spacing w:after="0"/>
              <w:rPr>
                <w:sz w:val="13"/>
                <w:szCs w:val="13"/>
                <w:color w:val="auto"/>
              </w:rPr>
            </w:pPr>
          </w:p>
        </w:tc>
        <w:tc>
          <w:tcPr>
            <w:tcW w:w="1320" w:type="dxa"/>
            <w:vAlign w:val="bottom"/>
            <w:gridSpan w:val="3"/>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Subsequent</w:t>
            </w:r>
          </w:p>
        </w:tc>
        <w:tc>
          <w:tcPr>
            <w:tcW w:w="8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Restated</w:t>
            </w:r>
          </w:p>
        </w:tc>
      </w:tr>
      <w:tr>
        <w:trPr>
          <w:trHeight w:val="149"/>
        </w:trPr>
        <w:tc>
          <w:tcPr>
            <w:tcW w:w="6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4"/>
              </w:rPr>
              <w:t>on</w:t>
            </w:r>
          </w:p>
        </w:tc>
        <w:tc>
          <w:tcPr>
            <w:tcW w:w="500" w:type="dxa"/>
            <w:vAlign w:val="bottom"/>
          </w:tcPr>
          <w:p>
            <w:pPr>
              <w:spacing w:after="0"/>
              <w:rPr>
                <w:sz w:val="12"/>
                <w:szCs w:val="12"/>
                <w:color w:val="auto"/>
              </w:rPr>
            </w:pPr>
          </w:p>
        </w:tc>
        <w:tc>
          <w:tcPr>
            <w:tcW w:w="13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100" w:type="dxa"/>
            <w:vAlign w:val="bottom"/>
          </w:tcPr>
          <w:p>
            <w:pPr>
              <w:spacing w:after="0"/>
              <w:rPr>
                <w:sz w:val="12"/>
                <w:szCs w:val="12"/>
                <w:color w:val="auto"/>
              </w:rPr>
            </w:pPr>
          </w:p>
        </w:tc>
        <w:tc>
          <w:tcPr>
            <w:tcW w:w="7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as of</w:t>
            </w:r>
          </w:p>
        </w:tc>
      </w:tr>
      <w:tr>
        <w:trPr>
          <w:trHeight w:val="149"/>
        </w:trPr>
        <w:tc>
          <w:tcPr>
            <w:tcW w:w="6120" w:type="dxa"/>
            <w:vAlign w:val="bottom"/>
          </w:tcPr>
          <w:p>
            <w:pPr>
              <w:spacing w:after="0"/>
              <w:rPr>
                <w:sz w:val="12"/>
                <w:szCs w:val="12"/>
                <w:color w:val="auto"/>
              </w:rPr>
            </w:pPr>
          </w:p>
        </w:tc>
        <w:tc>
          <w:tcPr>
            <w:tcW w:w="8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6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to fair</w:t>
            </w:r>
          </w:p>
        </w:tc>
        <w:tc>
          <w:tcPr>
            <w:tcW w:w="100" w:type="dxa"/>
            <w:vAlign w:val="bottom"/>
          </w:tcPr>
          <w:p>
            <w:pPr>
              <w:spacing w:after="0"/>
              <w:rPr>
                <w:sz w:val="12"/>
                <w:szCs w:val="12"/>
                <w:color w:val="auto"/>
              </w:rPr>
            </w:pPr>
          </w:p>
        </w:tc>
        <w:tc>
          <w:tcPr>
            <w:tcW w:w="7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r>
      <w:tr>
        <w:trPr>
          <w:trHeight w:val="173"/>
        </w:trPr>
        <w:tc>
          <w:tcPr>
            <w:tcW w:w="6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rPr>
              <w:t>2015</w:t>
            </w: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5"/>
                <w:szCs w:val="15"/>
                <w:color w:val="auto"/>
              </w:rPr>
            </w:pPr>
          </w:p>
        </w:tc>
        <w:tc>
          <w:tcPr>
            <w:tcW w:w="600" w:type="dxa"/>
            <w:vAlign w:val="bottom"/>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5"/>
                <w:szCs w:val="15"/>
                <w:color w:val="auto"/>
              </w:rPr>
            </w:pPr>
          </w:p>
        </w:tc>
      </w:tr>
      <w:tr>
        <w:trPr>
          <w:trHeight w:val="196"/>
        </w:trPr>
        <w:tc>
          <w:tcPr>
            <w:tcW w:w="61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Consideration:</w:t>
            </w:r>
          </w:p>
        </w:tc>
        <w:tc>
          <w:tcPr>
            <w:tcW w:w="1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paid</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621,196</w:t>
            </w:r>
          </w:p>
        </w:tc>
        <w:tc>
          <w:tcPr>
            <w:tcW w:w="6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621,196</w:t>
            </w:r>
          </w:p>
        </w:tc>
      </w:tr>
      <w:tr>
        <w:trPr>
          <w:trHeight w:val="216"/>
        </w:trPr>
        <w:tc>
          <w:tcPr>
            <w:tcW w:w="6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adjustment</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(1,635)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(1,635)</w:t>
            </w:r>
          </w:p>
        </w:tc>
      </w:tr>
      <w:tr>
        <w:trPr>
          <w:trHeight w:val="223"/>
        </w:trPr>
        <w:tc>
          <w:tcPr>
            <w:tcW w:w="6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consideration</w:t>
            </w:r>
          </w:p>
        </w:tc>
        <w:tc>
          <w:tcPr>
            <w:tcW w:w="16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621,196</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(1,635)</w:t>
            </w:r>
          </w:p>
        </w:tc>
        <w:tc>
          <w:tcPr>
            <w:tcW w:w="5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619,561</w:t>
            </w:r>
          </w:p>
        </w:tc>
        <w:tc>
          <w:tcPr>
            <w:tcW w:w="100" w:type="dxa"/>
            <w:vAlign w:val="bottom"/>
          </w:tcPr>
          <w:p>
            <w:pPr>
              <w:spacing w:after="0"/>
              <w:rPr>
                <w:sz w:val="19"/>
                <w:szCs w:val="19"/>
                <w:color w:val="auto"/>
              </w:rPr>
            </w:pPr>
          </w:p>
        </w:tc>
      </w:tr>
      <w:tr>
        <w:trPr>
          <w:trHeight w:val="20"/>
        </w:trPr>
        <w:tc>
          <w:tcPr>
            <w:tcW w:w="6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6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assets acquired and liabilities assumed on October 19, 2015:</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69,331</w:t>
            </w:r>
          </w:p>
        </w:tc>
        <w:tc>
          <w:tcPr>
            <w:tcW w:w="6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661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69,992</w:t>
            </w:r>
          </w:p>
        </w:tc>
      </w:tr>
      <w:tr>
        <w:trPr>
          <w:trHeight w:val="216"/>
        </w:trPr>
        <w:tc>
          <w:tcPr>
            <w:tcW w:w="6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56,163</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(962)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55,201</w:t>
            </w:r>
          </w:p>
        </w:tc>
      </w:tr>
      <w:tr>
        <w:trPr>
          <w:trHeight w:val="216"/>
        </w:trPr>
        <w:tc>
          <w:tcPr>
            <w:tcW w:w="6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Intangible assets subsect to amortization</w:t>
            </w:r>
          </w:p>
        </w:tc>
        <w:tc>
          <w:tcPr>
            <w:tcW w:w="1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240,490</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240,490</w:t>
            </w:r>
          </w:p>
        </w:tc>
      </w:tr>
      <w:tr>
        <w:trPr>
          <w:trHeight w:val="216"/>
        </w:trPr>
        <w:tc>
          <w:tcPr>
            <w:tcW w:w="6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non-current assets</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1,500</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1,500</w:t>
            </w:r>
          </w:p>
        </w:tc>
      </w:tr>
      <w:tr>
        <w:trPr>
          <w:trHeight w:val="216"/>
        </w:trPr>
        <w:tc>
          <w:tcPr>
            <w:tcW w:w="6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364,450</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(1,334)</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363,116</w:t>
            </w:r>
          </w:p>
        </w:tc>
      </w:tr>
      <w:tr>
        <w:trPr>
          <w:trHeight w:val="27"/>
        </w:trPr>
        <w:tc>
          <w:tcPr>
            <w:tcW w:w="6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1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assets acquired</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731,934</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(1,635)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730,299</w:t>
            </w:r>
          </w:p>
        </w:tc>
      </w:tr>
      <w:tr>
        <w:trPr>
          <w:trHeight w:val="331"/>
        </w:trPr>
        <w:tc>
          <w:tcPr>
            <w:tcW w:w="6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21,131</w:t>
            </w: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21,131</w:t>
            </w:r>
          </w:p>
        </w:tc>
        <w:tc>
          <w:tcPr>
            <w:tcW w:w="100" w:type="dxa"/>
            <w:vAlign w:val="bottom"/>
          </w:tcPr>
          <w:p>
            <w:pPr>
              <w:spacing w:after="0"/>
              <w:rPr>
                <w:sz w:val="24"/>
                <w:szCs w:val="24"/>
                <w:color w:val="auto"/>
              </w:rPr>
            </w:pPr>
          </w:p>
        </w:tc>
      </w:tr>
      <w:tr>
        <w:trPr>
          <w:trHeight w:val="216"/>
        </w:trPr>
        <w:tc>
          <w:tcPr>
            <w:tcW w:w="6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Non-current deferred tax liabilities</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87,578</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87,578</w:t>
            </w:r>
          </w:p>
        </w:tc>
      </w:tr>
      <w:tr>
        <w:trPr>
          <w:trHeight w:val="223"/>
        </w:trPr>
        <w:tc>
          <w:tcPr>
            <w:tcW w:w="6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tcPr>
          <w:p>
            <w:pPr>
              <w:spacing w:after="0"/>
              <w:rPr>
                <w:sz w:val="19"/>
                <w:szCs w:val="19"/>
                <w:color w:val="auto"/>
              </w:rPr>
            </w:pPr>
          </w:p>
        </w:tc>
      </w:tr>
      <w:tr>
        <w:trPr>
          <w:trHeight w:val="216"/>
        </w:trPr>
        <w:tc>
          <w:tcPr>
            <w:tcW w:w="61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110,738</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110,738</w:t>
            </w:r>
          </w:p>
        </w:tc>
        <w:tc>
          <w:tcPr>
            <w:tcW w:w="100" w:type="dxa"/>
            <w:vAlign w:val="bottom"/>
            <w:shd w:val="clear" w:color="auto" w:fill="CCEEFF"/>
          </w:tcPr>
          <w:p>
            <w:pPr>
              <w:spacing w:after="0"/>
              <w:rPr>
                <w:sz w:val="18"/>
                <w:szCs w:val="18"/>
                <w:color w:val="auto"/>
              </w:rPr>
            </w:pPr>
          </w:p>
        </w:tc>
      </w:tr>
      <w:tr>
        <w:trPr>
          <w:trHeight w:val="331"/>
        </w:trPr>
        <w:tc>
          <w:tcPr>
            <w:tcW w:w="612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Net assets acquired</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621,196</w:t>
            </w:r>
          </w:p>
        </w:tc>
        <w:tc>
          <w:tcPr>
            <w:tcW w:w="6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(1,635)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619,561</w:t>
            </w:r>
          </w:p>
        </w:tc>
      </w:tr>
      <w:tr>
        <w:trPr>
          <w:trHeight w:val="20"/>
        </w:trPr>
        <w:tc>
          <w:tcPr>
            <w:tcW w:w="6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In accordance with ASU 2015-16 as noted above in Note 1, we have recognized measurement-period adjustments during the period in which we determine the amount of the adjustment, including the effect on earnings of any amounts it would have recorded in previous periods if the accounting had been completed at the acquisition date.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Inventories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are comprised of the following:</w:t>
      </w:r>
    </w:p>
    <w:p>
      <w:pPr>
        <w:spacing w:after="0" w:line="23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520" w:type="dxa"/>
            <w:vAlign w:val="bottom"/>
            <w:gridSpan w:val="4"/>
          </w:tcPr>
          <w:p>
            <w:pPr>
              <w:ind w:left="5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4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2016</w:t>
            </w:r>
          </w:p>
        </w:tc>
        <w:tc>
          <w:tcPr>
            <w:tcW w:w="5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15"/>
                <w:szCs w:val="15"/>
                <w:color w:val="auto"/>
              </w:rPr>
            </w:pPr>
          </w:p>
        </w:tc>
      </w:tr>
      <w:tr>
        <w:trPr>
          <w:trHeight w:val="210"/>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52,149</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50,204</w:t>
            </w:r>
          </w:p>
        </w:tc>
        <w:tc>
          <w:tcPr>
            <w:tcW w:w="100" w:type="dxa"/>
            <w:vAlign w:val="bottom"/>
            <w:shd w:val="clear" w:color="auto" w:fill="CCEEFF"/>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33,262</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30,604</w:t>
            </w:r>
          </w:p>
        </w:tc>
        <w:tc>
          <w:tcPr>
            <w:tcW w:w="100" w:type="dxa"/>
            <w:vAlign w:val="bottom"/>
          </w:tcPr>
          <w:p>
            <w:pPr>
              <w:spacing w:after="0"/>
              <w:rPr>
                <w:sz w:val="18"/>
                <w:szCs w:val="18"/>
                <w:color w:val="auto"/>
              </w:rPr>
            </w:pPr>
          </w:p>
        </w:tc>
      </w:tr>
      <w:tr>
        <w:trPr>
          <w:trHeight w:val="21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33,373</w:t>
            </w:r>
          </w:p>
        </w:tc>
        <w:tc>
          <w:tcPr>
            <w:tcW w:w="5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39,028</w:t>
            </w:r>
          </w:p>
        </w:tc>
        <w:tc>
          <w:tcPr>
            <w:tcW w:w="100" w:type="dxa"/>
            <w:vAlign w:val="bottom"/>
            <w:shd w:val="clear" w:color="auto" w:fill="CCEEFF"/>
          </w:tcPr>
          <w:p>
            <w:pPr>
              <w:spacing w:after="0"/>
              <w:rPr>
                <w:sz w:val="18"/>
                <w:szCs w:val="18"/>
                <w:color w:val="auto"/>
              </w:rPr>
            </w:pPr>
          </w:p>
        </w:tc>
      </w:tr>
      <w:tr>
        <w:trPr>
          <w:trHeight w:val="223"/>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Inventories</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118,784</w:t>
            </w:r>
          </w:p>
        </w:tc>
        <w:tc>
          <w:tcPr>
            <w:tcW w:w="58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119,836</w:t>
            </w:r>
          </w:p>
        </w:tc>
        <w:tc>
          <w:tcPr>
            <w:tcW w:w="100" w:type="dxa"/>
            <w:vAlign w:val="bottom"/>
          </w:tcPr>
          <w:p>
            <w:pPr>
              <w:spacing w:after="0"/>
              <w:rPr>
                <w:sz w:val="19"/>
                <w:szCs w:val="19"/>
                <w:color w:val="auto"/>
              </w:rPr>
            </w:pPr>
          </w:p>
        </w:tc>
      </w:tr>
      <w:tr>
        <w:trPr>
          <w:trHeight w:val="20"/>
        </w:trPr>
        <w:tc>
          <w:tcPr>
            <w:tcW w:w="6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on consignment at customer locations as of June 30, 2016 and December 31, 2015 totaled $5.0 million for both dates.</w:t>
      </w:r>
    </w:p>
    <w:p>
      <w:pPr>
        <w:spacing w:after="0" w:line="225"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Cost is determined using the average cost method. The inventory valuations above were developed using normalized production capacities for each of our manufacturing locations. Any costs from abnormal excess capacity or under-utilization of fixed production overheads are expensed in the period incurred and are not included as a component of inventory valuation.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Net Income Per Share</w:t>
      </w:r>
    </w:p>
    <w:p>
      <w:pPr>
        <w:spacing w:after="0" w:line="23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1660" w:type="dxa"/>
            <w:vAlign w:val="bottom"/>
            <w:gridSpan w:val="6"/>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500" w:type="dxa"/>
            <w:vAlign w:val="bottom"/>
            <w:vMerge w:val="restart"/>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2015</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4"/>
          </w:tcPr>
          <w:p>
            <w:pPr>
              <w:jc w:val="right"/>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500" w:type="dxa"/>
            <w:vAlign w:val="bottom"/>
            <w:vMerge w:val="restart"/>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2016</w:t>
            </w:r>
          </w:p>
        </w:tc>
        <w:tc>
          <w:tcPr>
            <w:tcW w:w="4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vMerge w:val="continue"/>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2016</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660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2,031</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6,953</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732</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12,955</w:t>
            </w:r>
          </w:p>
        </w:tc>
        <w:tc>
          <w:tcPr>
            <w:tcW w:w="0" w:type="dxa"/>
            <w:vAlign w:val="bottom"/>
          </w:tcPr>
          <w:p>
            <w:pPr>
              <w:spacing w:after="0"/>
              <w:rPr>
                <w:sz w:val="1"/>
                <w:szCs w:val="1"/>
                <w:color w:val="auto"/>
              </w:rPr>
            </w:pPr>
          </w:p>
        </w:tc>
      </w:tr>
      <w:tr>
        <w:trPr>
          <w:trHeight w:val="324"/>
        </w:trPr>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27,024</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w w:val="96"/>
              </w:rPr>
              <w:t>19,215</w:t>
            </w:r>
          </w:p>
        </w:tc>
        <w:tc>
          <w:tcPr>
            <w:tcW w:w="100" w:type="dxa"/>
            <w:vAlign w:val="bottom"/>
          </w:tcPr>
          <w:p>
            <w:pPr>
              <w:spacing w:after="0"/>
              <w:rPr>
                <w:sz w:val="24"/>
                <w:szCs w:val="24"/>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6"/>
              </w:rPr>
              <w:t>26,923</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6"/>
              </w:rPr>
              <w:t>19,064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dilutive stock options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352</w:t>
            </w:r>
          </w:p>
        </w:tc>
        <w:tc>
          <w:tcPr>
            <w:tcW w:w="0" w:type="dxa"/>
            <w:vAlign w:val="bottom"/>
          </w:tcPr>
          <w:p>
            <w:pPr>
              <w:spacing w:after="0"/>
              <w:rPr>
                <w:sz w:val="1"/>
                <w:szCs w:val="1"/>
                <w:color w:val="auto"/>
              </w:rPr>
            </w:pPr>
          </w:p>
        </w:tc>
      </w:tr>
      <w:tr>
        <w:trPr>
          <w:trHeight w:val="20"/>
        </w:trPr>
        <w:tc>
          <w:tcPr>
            <w:tcW w:w="662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Diluted shares outstanding</w:t>
            </w:r>
          </w:p>
        </w:tc>
        <w:tc>
          <w:tcPr>
            <w:tcW w:w="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27,187</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19,582</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27,050</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6"/>
              </w:rPr>
              <w:t>19,416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66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net income (loss) per share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2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0.68</w:t>
            </w:r>
          </w:p>
        </w:tc>
        <w:tc>
          <w:tcPr>
            <w:tcW w:w="0" w:type="dxa"/>
            <w:vAlign w:val="bottom"/>
          </w:tcPr>
          <w:p>
            <w:pPr>
              <w:spacing w:after="0"/>
              <w:rPr>
                <w:sz w:val="1"/>
                <w:szCs w:val="1"/>
                <w:color w:val="auto"/>
              </w:rPr>
            </w:pPr>
          </w:p>
        </w:tc>
      </w:tr>
      <w:tr>
        <w:trPr>
          <w:trHeight w:val="20"/>
        </w:trPr>
        <w:tc>
          <w:tcPr>
            <w:tcW w:w="6620" w:type="dxa"/>
            <w:vAlign w:val="bottom"/>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Diluted net income (loss) per share</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4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0.36</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0.03</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For both the three and six month periods ended June 30, 2016, approximately 0.9 million potentially dilutive stock options had the effect of being anti-dilutive and were excluded from the calculation of diluted earnings per share. For both the three and six month periods ended June 30, 2016, approximately 0.7 million potentially dilutive stock options had the effect of being anti-dilutive and were excluded from the calculation of diluted earnings per share.</w:t>
      </w:r>
    </w:p>
    <w:p>
      <w:pPr>
        <w:sectPr>
          <w:pgSz w:w="11900" w:h="16838" w:orient="portrait"/>
          <w:cols w:equalWidth="0" w:num="1">
            <w:col w:w="11420"/>
          </w:cols>
          <w:pgMar w:left="240" w:top="455" w:right="239" w:bottom="1440" w:gutter="0" w:footer="0" w:header="0"/>
        </w:sectPr>
      </w:pP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455" w:right="239" w:bottom="1440" w:gutter="0" w:footer="0" w:header="0"/>
          <w:type w:val="continuous"/>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Segment Information</w:t>
      </w:r>
    </w:p>
    <w:p>
      <w:pPr>
        <w:spacing w:after="0" w:line="12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segment information and the accounting policies of each segment are the same as those described in the notes to the consolidated financial statements entitled “Segment Information” and “Summary of Significant Accounting Policies and Practices,” respectively, included in our 2015 Annual Report. Our business is aggregated into three reportable segments, the Precision Bearing Components Group (formerly known as our Metal Bearing Components Group), the Precision Engineered Products Group (formerly known as our Plastics and Rubber Components Group) and the Autocam Precision Components Group. We account for inter-segment sales and transfers at current market prices. We did not have any significant inter-segment transactions during the three and six month periods ended June 30, 2016 and 2015.</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Precision</w:t>
            </w:r>
          </w:p>
        </w:tc>
        <w:tc>
          <w:tcPr>
            <w:tcW w:w="100" w:type="dxa"/>
            <w:vAlign w:val="bottom"/>
          </w:tcPr>
          <w:p>
            <w:pPr>
              <w:spacing w:after="0"/>
              <w:rPr>
                <w:sz w:val="13"/>
                <w:szCs w:val="13"/>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Autocam</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Precision</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Bearing</w:t>
            </w:r>
          </w:p>
        </w:tc>
        <w:tc>
          <w:tcPr>
            <w:tcW w:w="100" w:type="dxa"/>
            <w:vAlign w:val="bottom"/>
          </w:tcPr>
          <w:p>
            <w:pPr>
              <w:spacing w:after="0"/>
              <w:rPr>
                <w:sz w:val="12"/>
                <w:szCs w:val="12"/>
                <w:color w:val="auto"/>
              </w:rPr>
            </w:pPr>
          </w:p>
        </w:tc>
        <w:tc>
          <w:tcPr>
            <w:tcW w:w="8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Precision</w:t>
            </w:r>
          </w:p>
        </w:tc>
        <w:tc>
          <w:tcPr>
            <w:tcW w:w="200" w:type="dxa"/>
            <w:vAlign w:val="bottom"/>
          </w:tcPr>
          <w:p>
            <w:pPr>
              <w:spacing w:after="0"/>
              <w:rPr>
                <w:sz w:val="12"/>
                <w:szCs w:val="12"/>
                <w:color w:val="auto"/>
              </w:rPr>
            </w:pPr>
          </w:p>
        </w:tc>
        <w:tc>
          <w:tcPr>
            <w:tcW w:w="100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Engineered</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180" w:type="dxa"/>
            <w:vAlign w:val="bottom"/>
            <w:gridSpan w:val="3"/>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Components</w:t>
            </w:r>
          </w:p>
        </w:tc>
        <w:tc>
          <w:tcPr>
            <w:tcW w:w="9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Components</w:t>
            </w:r>
          </w:p>
        </w:tc>
        <w:tc>
          <w:tcPr>
            <w:tcW w:w="200" w:type="dxa"/>
            <w:vAlign w:val="bottom"/>
          </w:tcPr>
          <w:p>
            <w:pPr>
              <w:spacing w:after="0"/>
              <w:rPr>
                <w:sz w:val="12"/>
                <w:szCs w:val="12"/>
                <w:color w:val="auto"/>
              </w:rPr>
            </w:pPr>
          </w:p>
        </w:tc>
        <w:tc>
          <w:tcPr>
            <w:tcW w:w="100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Components</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right"/>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Group</w:t>
            </w:r>
          </w:p>
        </w:tc>
        <w:tc>
          <w:tcPr>
            <w:tcW w:w="100" w:type="dxa"/>
            <w:vAlign w:val="bottom"/>
          </w:tcPr>
          <w:p>
            <w:pPr>
              <w:spacing w:after="0"/>
              <w:rPr>
                <w:sz w:val="15"/>
                <w:szCs w:val="15"/>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Group</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Group</w:t>
            </w:r>
          </w:p>
        </w:tc>
        <w:tc>
          <w:tcPr>
            <w:tcW w:w="200" w:type="dxa"/>
            <w:vAlign w:val="bottom"/>
          </w:tcPr>
          <w:p>
            <w:pPr>
              <w:spacing w:after="0"/>
              <w:rPr>
                <w:sz w:val="15"/>
                <w:szCs w:val="15"/>
                <w:color w:val="auto"/>
              </w:rPr>
            </w:pPr>
          </w:p>
        </w:tc>
        <w:tc>
          <w:tcPr>
            <w:tcW w:w="11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Consolidations</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80" w:type="dxa"/>
            <w:vAlign w:val="bottom"/>
            <w:tcBorders>
              <w:top w:val="single" w:sz="8" w:color="CCEEFF"/>
              <w:bottom w:val="single" w:sz="8" w:color="auto"/>
            </w:tcBorders>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color w:val="auto"/>
                <w:w w:val="98"/>
              </w:rPr>
              <w:t>Three Months ended June 30, 2016</w:t>
            </w:r>
          </w:p>
        </w:tc>
        <w:tc>
          <w:tcPr>
            <w:tcW w:w="29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680" w:type="dxa"/>
            <w:vAlign w:val="bottom"/>
            <w:tcBorders>
              <w:top w:val="single" w:sz="8" w:color="auto"/>
              <w:bottom w:val="single" w:sz="8" w:color="CCEEFF"/>
            </w:tcBorders>
            <w:shd w:val="clear" w:color="auto" w:fill="CCEEFF"/>
          </w:tcPr>
          <w:p>
            <w:pPr>
              <w:spacing w:after="0"/>
              <w:rPr>
                <w:sz w:val="15"/>
                <w:szCs w:val="15"/>
                <w:color w:val="auto"/>
              </w:rPr>
            </w:pPr>
          </w:p>
        </w:tc>
        <w:tc>
          <w:tcPr>
            <w:tcW w:w="4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680" w:type="dxa"/>
            <w:vAlign w:val="bottom"/>
            <w:tcBorders>
              <w:top w:val="single" w:sz="8" w:color="auto"/>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700" w:type="dxa"/>
            <w:vAlign w:val="bottom"/>
            <w:tcBorders>
              <w:top w:val="single" w:sz="8" w:color="auto"/>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800" w:type="dxa"/>
            <w:vAlign w:val="bottom"/>
            <w:tcBorders>
              <w:top w:val="single" w:sz="8" w:color="auto"/>
              <w:bottom w:val="single" w:sz="8" w:color="CCEEFF"/>
            </w:tcBorders>
            <w:shd w:val="clear" w:color="auto" w:fill="CCEEFF"/>
          </w:tcPr>
          <w:p>
            <w:pPr>
              <w:spacing w:after="0"/>
              <w:rPr>
                <w:sz w:val="15"/>
                <w:szCs w:val="15"/>
                <w:color w:val="auto"/>
              </w:rPr>
            </w:pP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72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65,157</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82,991</w:t>
            </w:r>
          </w:p>
        </w:tc>
        <w:tc>
          <w:tcPr>
            <w:tcW w:w="3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66,124</w:t>
            </w:r>
          </w:p>
        </w:tc>
        <w:tc>
          <w:tcPr>
            <w:tcW w:w="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214,272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7,770</w:t>
            </w:r>
          </w:p>
        </w:tc>
        <w:tc>
          <w:tcPr>
            <w:tcW w:w="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10,782</w:t>
            </w:r>
          </w:p>
        </w:tc>
        <w:tc>
          <w:tcPr>
            <w:tcW w:w="3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(8,323)</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16,703</w:t>
            </w:r>
          </w:p>
        </w:tc>
        <w:tc>
          <w:tcPr>
            <w:tcW w:w="0" w:type="dxa"/>
            <w:vAlign w:val="bottom"/>
          </w:tcPr>
          <w:p>
            <w:pPr>
              <w:spacing w:after="0"/>
              <w:rPr>
                <w:sz w:val="1"/>
                <w:szCs w:val="1"/>
                <w:color w:val="auto"/>
              </w:rPr>
            </w:pPr>
          </w:p>
        </w:tc>
      </w:tr>
      <w:tr>
        <w:trPr>
          <w:trHeight w:val="284"/>
        </w:trPr>
        <w:tc>
          <w:tcPr>
            <w:tcW w:w="56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Six Months ended June 30, 2016</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46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129,902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166,981</w:t>
            </w:r>
          </w:p>
        </w:tc>
        <w:tc>
          <w:tcPr>
            <w:tcW w:w="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129,615</w:t>
            </w:r>
          </w:p>
        </w:tc>
        <w:tc>
          <w:tcPr>
            <w:tcW w:w="3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426,498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12,800</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14,297</w:t>
            </w:r>
          </w:p>
        </w:tc>
        <w:tc>
          <w:tcPr>
            <w:tcW w:w="3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16,203</w:t>
            </w:r>
          </w:p>
        </w:tc>
        <w:tc>
          <w:tcPr>
            <w:tcW w:w="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(14,723)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28,577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226,943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423,703</w:t>
            </w:r>
          </w:p>
        </w:tc>
        <w:tc>
          <w:tcPr>
            <w:tcW w:w="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733,439</w:t>
            </w:r>
          </w:p>
        </w:tc>
        <w:tc>
          <w:tcPr>
            <w:tcW w:w="3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5,656</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1,389,741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56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Three Months ended June 30, 2015</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46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69,261</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86,471</w:t>
            </w:r>
          </w:p>
        </w:tc>
        <w:tc>
          <w:tcPr>
            <w:tcW w:w="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9,124</w:t>
            </w:r>
          </w:p>
        </w:tc>
        <w:tc>
          <w:tcPr>
            <w:tcW w:w="3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9,403</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9,095</w:t>
            </w:r>
          </w:p>
        </w:tc>
        <w:tc>
          <w:tcPr>
            <w:tcW w:w="3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501</w:t>
            </w:r>
          </w:p>
        </w:tc>
        <w:tc>
          <w:tcPr>
            <w:tcW w:w="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(5,410)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13,589</w:t>
            </w:r>
          </w:p>
        </w:tc>
        <w:tc>
          <w:tcPr>
            <w:tcW w:w="0" w:type="dxa"/>
            <w:vAlign w:val="bottom"/>
          </w:tcPr>
          <w:p>
            <w:pPr>
              <w:spacing w:after="0"/>
              <w:rPr>
                <w:sz w:val="1"/>
                <w:szCs w:val="1"/>
                <w:color w:val="auto"/>
              </w:rPr>
            </w:pPr>
          </w:p>
        </w:tc>
      </w:tr>
      <w:tr>
        <w:trPr>
          <w:trHeight w:val="90"/>
        </w:trPr>
        <w:tc>
          <w:tcPr>
            <w:tcW w:w="20" w:type="dxa"/>
            <w:vAlign w:val="bottom"/>
            <w:vMerge w:val="restart"/>
          </w:tcPr>
          <w:p>
            <w:pPr>
              <w:spacing w:after="0"/>
              <w:rPr>
                <w:sz w:val="7"/>
                <w:szCs w:val="7"/>
                <w:color w:val="auto"/>
              </w:rPr>
            </w:pPr>
          </w:p>
        </w:tc>
        <w:tc>
          <w:tcPr>
            <w:tcW w:w="2460" w:type="dxa"/>
            <w:vAlign w:val="bottom"/>
          </w:tcPr>
          <w:p>
            <w:pPr>
              <w:spacing w:after="0"/>
              <w:rPr>
                <w:sz w:val="7"/>
                <w:szCs w:val="7"/>
                <w:color w:val="auto"/>
              </w:rPr>
            </w:pPr>
          </w:p>
        </w:tc>
        <w:tc>
          <w:tcPr>
            <w:tcW w:w="220" w:type="dxa"/>
            <w:vAlign w:val="bottom"/>
          </w:tcPr>
          <w:p>
            <w:pPr>
              <w:spacing w:after="0"/>
              <w:rPr>
                <w:sz w:val="7"/>
                <w:szCs w:val="7"/>
                <w:color w:val="auto"/>
              </w:rPr>
            </w:pPr>
          </w:p>
        </w:tc>
        <w:tc>
          <w:tcPr>
            <w:tcW w:w="2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460" w:type="dxa"/>
            <w:vAlign w:val="bottom"/>
            <w:tcBorders>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8"/>
              </w:rPr>
              <w:t>Six Months ended June 30, 2015</w:t>
            </w:r>
          </w:p>
        </w:tc>
        <w:tc>
          <w:tcPr>
            <w:tcW w:w="3140" w:type="dxa"/>
            <w:vAlign w:val="bottom"/>
            <w:tcBorders>
              <w:bottom w:val="single" w:sz="8" w:color="CCEEFF"/>
            </w:tcBorders>
            <w:gridSpan w:val="2"/>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142,496</w:t>
            </w:r>
          </w:p>
        </w:tc>
        <w:tc>
          <w:tcPr>
            <w:tcW w:w="4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169,093</w:t>
            </w:r>
          </w:p>
        </w:tc>
        <w:tc>
          <w:tcPr>
            <w:tcW w:w="3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17,012</w:t>
            </w:r>
          </w:p>
        </w:tc>
        <w:tc>
          <w:tcPr>
            <w:tcW w:w="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328,601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18,491</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16,813</w:t>
            </w:r>
          </w:p>
        </w:tc>
        <w:tc>
          <w:tcPr>
            <w:tcW w:w="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714</w:t>
            </w:r>
          </w:p>
        </w:tc>
        <w:tc>
          <w:tcPr>
            <w:tcW w:w="3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(8,494)</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27,524</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209,986</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439,526</w:t>
            </w:r>
          </w:p>
        </w:tc>
        <w:tc>
          <w:tcPr>
            <w:tcW w:w="3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28,202</w:t>
            </w:r>
          </w:p>
        </w:tc>
        <w:tc>
          <w:tcPr>
            <w:tcW w:w="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31,226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708,940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Long-Term Debt and Short-Term Debt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 and short-term debt at June 30, 2016 and December 31, 2015 consisted of the following:</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340" w:type="dxa"/>
            <w:vAlign w:val="bottom"/>
          </w:tcPr>
          <w:p>
            <w:pPr>
              <w:spacing w:after="0"/>
              <w:rPr>
                <w:sz w:val="13"/>
                <w:szCs w:val="13"/>
                <w:color w:val="auto"/>
              </w:rPr>
            </w:pPr>
          </w:p>
        </w:tc>
        <w:tc>
          <w:tcPr>
            <w:tcW w:w="9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Restated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934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2016</w:t>
            </w:r>
          </w:p>
        </w:tc>
        <w:tc>
          <w:tcPr>
            <w:tcW w:w="22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9340" w:type="dxa"/>
            <w:vAlign w:val="bottom"/>
            <w:shd w:val="clear" w:color="auto" w:fill="CCEEFF"/>
          </w:tcPr>
          <w:p>
            <w:pPr>
              <w:spacing w:after="0" w:line="178" w:lineRule="exact"/>
              <w:rPr>
                <w:sz w:val="20"/>
                <w:szCs w:val="20"/>
                <w:color w:val="auto"/>
              </w:rPr>
            </w:pPr>
            <w:r>
              <w:rPr>
                <w:rFonts w:ascii="Times New Roman" w:cs="Times New Roman" w:eastAsia="Times New Roman" w:hAnsi="Times New Roman"/>
                <w:sz w:val="18"/>
                <w:szCs w:val="18"/>
                <w:color w:val="auto"/>
              </w:rPr>
              <w:t>Borrowings under our $575.0 million Senior Secured Term Loan B bearing interest the greater of 1% or 3 month LIBOR</w:t>
            </w: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(0.65% at June 30, 2016) plus an applicable margin of 4.75% at June 30, 2016, expiring October 19, 2022, net of debt</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issuance costs of $19.5 million at June 30, 2016 and $20.6 million at December 31, 2015.</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$551,227</w:t>
            </w:r>
          </w:p>
        </w:tc>
        <w:tc>
          <w:tcPr>
            <w:tcW w:w="3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552,957</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9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Borrowings under our $100.0 million Senior Secured Revolver bearing interest at LIBOR (0.44% at June 30, 2016) plus an</w:t>
            </w: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applicable margin of 3.50% at June 30, 2016, expiring October 19, 2020, net of debt issuance costs of $2.6 million at</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June 30, 2016 and $2.9 million at December 31, 2015.</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20,083</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93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93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Borrowings under our $250.0 million Senior Notes bearing interest at 10.25%, maturing on November 1, 2020, net of debt</w:t>
            </w: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issuance costs of $5.4 million at June 30, 2016 and $5.9 million at December 31, 2015.</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244,573</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244,088</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9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French Safeguard Obligations (Autocam)</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493</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93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Brazilian lines of credit and equipment notes (Autocam)</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798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826</w:t>
            </w:r>
          </w:p>
        </w:tc>
        <w:tc>
          <w:tcPr>
            <w:tcW w:w="0" w:type="dxa"/>
            <w:vAlign w:val="bottom"/>
          </w:tcPr>
          <w:p>
            <w:pPr>
              <w:spacing w:after="0"/>
              <w:rPr>
                <w:sz w:val="1"/>
                <w:szCs w:val="1"/>
                <w:color w:val="auto"/>
              </w:rPr>
            </w:pPr>
          </w:p>
        </w:tc>
      </w:tr>
      <w:tr>
        <w:trPr>
          <w:trHeight w:val="324"/>
        </w:trPr>
        <w:tc>
          <w:tcPr>
            <w:tcW w:w="9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Chinese line of credit (Autocam)</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3,576</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934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debt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820,750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807,114</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9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Less current maturities of long-term debt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19,537</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934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Long-term debt, excluding current maturities of long-term debt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801,213</w:t>
            </w:r>
          </w:p>
        </w:tc>
        <w:tc>
          <w:tcPr>
            <w:tcW w:w="3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795,400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On October 19, 2015, concurrent with the PEP acquisition, we: (i) entered into a new senior secured term loan facility in the amount of up to $525 million with a seven year maturity (the “New Term Loan Credit Facility”); (ii) entered into a new senior secured revolving credit facility in the amount of up to $100 million with a five year maturity (the “New Senior Secured Revolving Credit Facility” and together with the New Term Loan Credit Facility, the “New Senior Credit Facilities”); and (iii) issued $300 million of 10.25% senior notes due 2020 (the “Senior Notes”). The New Senior Credit Facilities replaced our existing credit facilities. On November 9, 2015, an incremental term loan of $50 million was drawn on the New Term Loan Credit Facility and the proceeds were used to repurchase approximately $50 million of the Senior Notes.</w:t>
      </w:r>
    </w:p>
    <w:p>
      <w:pPr>
        <w:spacing w:after="0" w:line="188"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color w:val="auto"/>
        </w:rPr>
        <w:t>The interest applicable to borrowings under the New Senior Credit Facilities are based upon a fluctuating rate of interest measured by reference to either, at our option, (i) a base rate, plus an applicable margin, or (ii) the greater of the London Interbank Offered Rate (“LIBOR”) or 1.0%, plus an applicable margin. The initial applicable margin for all borrowings under the New Term Loan Credit Facility is 3.75% per annum with respect to base rate borrowings and</w:t>
      </w:r>
    </w:p>
    <w:p>
      <w:pPr>
        <w:spacing w:after="0" w:line="2"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4.75% per annum with respect to LIBOR borrowings. The initial applicable margin for New Senior Secured Revolving Credit Facility borrowings is 2.5% per annum with respect to base rate borrowings and 3.5% per annum with respect to LIBOR borrowings, which shall be in effect until we provide a compliance certificate, as required by the credit agreement. Thereafter, the applicable margin shall be determined by reference to a ratio of our consolidated leverage ratio. Our obligations under the New Senior Credit Facilities are guaranteed by certain of our direct and indirect, existing and future domestic subsidiaries, subject to customary exceptions and limitations. The New Senior Credit Facilities are secured by a first priority lien over substantially all of NN’s and each guarantor’s assets, subject to certain customary exceptions. The New Senior Credit Facilities are subject to negative covenants that, among other things subject to certain exceptions, limit our ability and the ability of its restricted subsidiaries to: (i) incur liens; (ii) incur indebtedness; (iii) make investments and acquisitions, (iv) merge, liquidate or dissolve, (v) sell assets, including capital stock of subsidiaries; (vi) pay dividends on capital stock or redeem, repurchase or retire capital stock; (viii) alter our business; (viii) engage in transactions with our affiliates; and (ix) enter into agreements limiting subsidiary dividends and distributions. In the event borrowings under the New Senior Secured Revolving Credit Facility exceed 30.0% of the aggregate commitments under the revolver, we will become subject to a financial covenant that requires us to maintain a specified consolidated net leverage ratio. The credit agreement provides that we have the right to request one or more increases in the revolving loan commitments or term loan commitment up to $100.0 million in the aggregate. In total, we have paid debt issuance costs of $21.1 million related to the New Term Loan Credit Facility and $2.3 million related to the New Senior Secured Revolving Credit Facility, which are being amortized into interest expense over the life of the New Senior Credit Facilities.</w:t>
      </w:r>
    </w:p>
    <w:p>
      <w:pPr>
        <w:spacing w:after="0" w:line="19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Senior Notes will mature on November 1, 2020. Interest is payable semi-annually in arrears on May 1 and November 1 of each year, and commenced on May 1, 2016. Under the Senior Notes, we received proceeds of $293.3 million net of a discount of $6.8</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455" w:right="23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million, which is being amortized into interest expense over the life of the Senior Notes. We have paid a total of $7.3 million in debt issuance costs, which includes the $6.8 million of debt discount, all of which is being amortized into interest expense over the life of the Senior Notes. The Senior Notes will be guaranteed by each existing direct and indirect domestic restricted subsidiaries (excluding immaterial subsidiaries). The Senior Notes and guarantees will be senior unsecured obligations of the issuer and the guarantors, respectively, and will rank pari passu in right of payments with all existing and future senior debt and senior to all existing and future subordinated debt of the issuer and guarantors. The Senior Notes and guarantees will be effectively subordinated to all existing and future secured debt of the issuer and guarantors to the extent of the assets securing such debt. In addition, the Senior Notes and the guarantees will be structurally subordinated to all indebtedness and other liabilities and preferred stock of our subsidiaries that do not guarantee the Senior Notes. The Senior Notes have not been registered under the Securities Act of 1933, as amended (the “Securities Act”), or any state securities law and may not be offered or sold within the United States or to, or for the benefit of, a U.S. person (as defined by Regulation S under the Securities Act) except in transactions exempt from, or not subject to, the registration requirements of the Securities Act. The Senior Notes were offered and sold only to persons reasonably believed to be “qualified institutional buyers” (as defined in Rule 144A under the Securities Act) and to persons outside the United States under Regulations S. Under the registration rights agreement related to the Senior Notes, we were required to use our commercially reasonable efforts to register notes having substantially identical terms (other than restrictions on transfer and additional interest) as the Senior Notes with the SEC as part of an offer to exchange registered exchange notes for the Senior Notes. Additionally, we were to use our commercially reasonable effort to file a registration statement for the exchange notes with the SEC and cause that registration statement to be declared effective 300 days of the issue date of the Senior Notes. On June 10, 2016, the registration rights agreement related to the Senior Notes was amended and restated in its entirety to provide for demand registration upon request by the holders of the Senior Notes in lieu of requiring registration and the subsequent exchange offer as described above. Pursuant to the terms of the amended and restated registration rights agreement, if we fail to register notes substantially identical to the Senior Notes upon demand, then the annual interest rate on the Senior Notes will increase by 0.25%. The annual interest rate on the Senior Notes will increase by an additional 0.25% for each subsequent 90-day period during which a registration default continues, up to a maximum additional interest rate of 1.0% per year.</w:t>
      </w:r>
    </w:p>
    <w:p>
      <w:pPr>
        <w:spacing w:after="0" w:line="19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As part of the merger with Autocam, we assumed certain foreign credit facilities. These facilities relate to local borrowings in France, Brazil and China. These facilities are with financial institutions in the countries in which foreign plants operate and are meant to fund working capital and equipment purchases in those countries. Below is a description of the credit facilities.</w:t>
      </w:r>
    </w:p>
    <w:p>
      <w:pPr>
        <w:spacing w:after="0" w:line="17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Our French operation (acquired with Autocam) has liabilities with certain creditors subject to Safeguard protection. The liabilities are being paid annually over a 10-year period until 2019 and carry a zero percent interest rate. Amounts due as of June 30, 2016 to those creditors opting to be paid over a 10-year period totaled $0.5 million and are included in current maturities of long-term debt of $0.4 million and long-term debt, net of current portion of $0.1 million.</w:t>
      </w:r>
    </w:p>
    <w:p>
      <w:pPr>
        <w:spacing w:after="0" w:line="17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Brazilian equipment notes represent borrowings from certain Brazilian banks to fund equipment purchases for Autocam’s Brazilian plants. These credit facilities have annual interest rates ranging from 2.5% to 9.1%.</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Chinese line of credit is a working capital line of credit with a Chinese bank bearing an annual interest rate of 4.95%.</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discussed in Note 1, we have adopted ASU 2015-03, which provides guidance on simplifying the presentation of debt issuance costs on the balance sheet. To simplify presentation of debt issuance costs, the amendments in ASU 2015-03 require that debt issuance costs related to a recognized debt liability be presented in the balance sheet as a direct deduction from the carrying amount of that debt liability, consistent with debt discounts. The table below displays the audited debt footnote amounts for the year ended December 31, 2015 restated for the adoption of ASU 2015-03. The debt issuance costs were reclassified from other non-current assets and directly applied to the associated liability.</w:t>
      </w:r>
    </w:p>
    <w:p>
      <w:pPr>
        <w:spacing w:after="0" w:line="192"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Audited</w:t>
            </w:r>
          </w:p>
        </w:tc>
        <w:tc>
          <w:tcPr>
            <w:tcW w:w="12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ASU 2015-13</w:t>
            </w:r>
          </w:p>
        </w:tc>
        <w:tc>
          <w:tcPr>
            <w:tcW w:w="140" w:type="dxa"/>
            <w:vAlign w:val="bottom"/>
          </w:tcPr>
          <w:p>
            <w:pPr>
              <w:spacing w:after="0"/>
              <w:rPr>
                <w:sz w:val="13"/>
                <w:szCs w:val="13"/>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Restated</w:t>
            </w:r>
          </w:p>
        </w:tc>
        <w:tc>
          <w:tcPr>
            <w:tcW w:w="0" w:type="dxa"/>
            <w:vAlign w:val="bottom"/>
          </w:tcPr>
          <w:p>
            <w:pPr>
              <w:spacing w:after="0"/>
              <w:rPr>
                <w:sz w:val="1"/>
                <w:szCs w:val="1"/>
                <w:color w:val="auto"/>
              </w:rPr>
            </w:pPr>
          </w:p>
        </w:tc>
      </w:tr>
      <w:tr>
        <w:trPr>
          <w:trHeight w:val="149"/>
        </w:trPr>
        <w:tc>
          <w:tcPr>
            <w:tcW w:w="5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40" w:type="dxa"/>
            <w:vAlign w:val="bottom"/>
            <w:gridSpan w:val="3"/>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240" w:type="dxa"/>
            <w:vAlign w:val="bottom"/>
            <w:gridSpan w:val="3"/>
            <w:vMerge w:val="continue"/>
          </w:tcPr>
          <w:p>
            <w:pPr>
              <w:spacing w:after="0"/>
              <w:rPr>
                <w:sz w:val="12"/>
                <w:szCs w:val="12"/>
                <w:color w:val="auto"/>
              </w:rPr>
            </w:pPr>
          </w:p>
        </w:tc>
        <w:tc>
          <w:tcPr>
            <w:tcW w:w="94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5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2015</w:t>
            </w: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Reclass</w:t>
            </w:r>
          </w:p>
        </w:tc>
        <w:tc>
          <w:tcPr>
            <w:tcW w:w="140" w:type="dxa"/>
            <w:vAlign w:val="bottom"/>
          </w:tcPr>
          <w:p>
            <w:pPr>
              <w:spacing w:after="0"/>
              <w:rPr>
                <w:sz w:val="15"/>
                <w:szCs w:val="15"/>
                <w:color w:val="auto"/>
              </w:rPr>
            </w:pPr>
          </w:p>
        </w:tc>
        <w:tc>
          <w:tcPr>
            <w:tcW w:w="70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Borrowings under our $575.0 million Senior Secured Term Loan B</w:t>
            </w:r>
          </w:p>
        </w:tc>
        <w:tc>
          <w:tcPr>
            <w:tcW w:w="6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562,580</w:t>
            </w:r>
          </w:p>
        </w:tc>
        <w:tc>
          <w:tcPr>
            <w:tcW w:w="4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(9,623)</w:t>
            </w:r>
          </w:p>
        </w:tc>
        <w:tc>
          <w:tcPr>
            <w:tcW w:w="4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552,957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Borrowings under our $100.0 million Senior Secured Revolver</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6,462</w:t>
            </w:r>
          </w:p>
        </w:tc>
        <w:tc>
          <w:tcPr>
            <w:tcW w:w="14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(2,915)</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3,547</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Borrowings under our $250.0 million Senior Notes</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244,509</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(421)</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244,088</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French Safeguard Obligations (Autocam)</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2,000</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Brazilian lines of credit and equipment notes (Autocam)</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826</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826</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Chinese line of credit (Autocam)</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3,696</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3,696</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debt</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820,073</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807,114</w:t>
            </w:r>
          </w:p>
        </w:tc>
        <w:tc>
          <w:tcPr>
            <w:tcW w:w="0" w:type="dxa"/>
            <w:vAlign w:val="bottom"/>
          </w:tcPr>
          <w:p>
            <w:pPr>
              <w:spacing w:after="0"/>
              <w:rPr>
                <w:sz w:val="1"/>
                <w:szCs w:val="1"/>
                <w:color w:val="auto"/>
              </w:rPr>
            </w:pPr>
          </w:p>
        </w:tc>
      </w:tr>
      <w:tr>
        <w:trPr>
          <w:trHeight w:val="216"/>
        </w:trPr>
        <w:tc>
          <w:tcPr>
            <w:tcW w:w="5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Less current maturities of long-term debt</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11,714</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Long-term debt, excluding current maturities of long-term debt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808,359</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795,400</w:t>
            </w:r>
          </w:p>
        </w:tc>
        <w:tc>
          <w:tcPr>
            <w:tcW w:w="0" w:type="dxa"/>
            <w:vAlign w:val="bottom"/>
          </w:tcPr>
          <w:p>
            <w:pPr>
              <w:spacing w:after="0"/>
              <w:rPr>
                <w:sz w:val="1"/>
                <w:szCs w:val="1"/>
                <w:color w:val="auto"/>
              </w:rPr>
            </w:pPr>
          </w:p>
        </w:tc>
      </w:tr>
      <w:tr>
        <w:trPr>
          <w:trHeight w:val="20"/>
        </w:trPr>
        <w:tc>
          <w:tcPr>
            <w:tcW w:w="5540" w:type="dxa"/>
            <w:vAlign w:val="bottom"/>
            <w:vMerge w:val="restart"/>
          </w:tcPr>
          <w:p>
            <w:pPr>
              <w:ind w:left="4700"/>
              <w:spacing w:after="0"/>
              <w:rPr>
                <w:sz w:val="20"/>
                <w:szCs w:val="20"/>
                <w:color w:val="auto"/>
              </w:rPr>
            </w:pPr>
            <w:r>
              <w:rPr>
                <w:rFonts w:ascii="Times New Roman" w:cs="Times New Roman" w:eastAsia="Times New Roman" w:hAnsi="Times New Roman"/>
                <w:sz w:val="18"/>
                <w:szCs w:val="18"/>
                <w:color w:val="auto"/>
              </w:rPr>
              <w:t>12</w:t>
            </w: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5" w:right="29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Goodwill,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the carrying amount of goodwill, net for the six months ended June 30, 2016 are as follows:</w:t>
      </w:r>
    </w:p>
    <w:p>
      <w:pPr>
        <w:spacing w:after="0" w:line="23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Precision</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Autocam</w:t>
            </w:r>
          </w:p>
        </w:tc>
        <w:tc>
          <w:tcPr>
            <w:tcW w:w="126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Precision</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Bearing</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Precision</w:t>
            </w:r>
          </w:p>
        </w:tc>
        <w:tc>
          <w:tcPr>
            <w:tcW w:w="126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Engineered</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0" w:type="dxa"/>
            <w:vAlign w:val="bottom"/>
          </w:tcPr>
          <w:p>
            <w:pPr>
              <w:spacing w:after="0"/>
              <w:rPr>
                <w:sz w:val="12"/>
                <w:szCs w:val="12"/>
                <w:color w:val="auto"/>
              </w:rPr>
            </w:pPr>
          </w:p>
        </w:tc>
        <w:tc>
          <w:tcPr>
            <w:tcW w:w="800" w:type="dxa"/>
            <w:vAlign w:val="bottom"/>
            <w:gridSpan w:val="3"/>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Components</w:t>
            </w:r>
          </w:p>
        </w:tc>
        <w:tc>
          <w:tcPr>
            <w:tcW w:w="520" w:type="dxa"/>
            <w:vAlign w:val="bottom"/>
          </w:tcPr>
          <w:p>
            <w:pPr>
              <w:spacing w:after="0"/>
              <w:rPr>
                <w:sz w:val="12"/>
                <w:szCs w:val="12"/>
                <w:color w:val="auto"/>
              </w:rPr>
            </w:pPr>
          </w:p>
        </w:tc>
        <w:tc>
          <w:tcPr>
            <w:tcW w:w="1320" w:type="dxa"/>
            <w:vAlign w:val="bottom"/>
            <w:gridSpan w:val="3"/>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Components</w:t>
            </w:r>
          </w:p>
        </w:tc>
        <w:tc>
          <w:tcPr>
            <w:tcW w:w="126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Products</w:t>
            </w:r>
          </w:p>
        </w:tc>
        <w:tc>
          <w:tcPr>
            <w:tcW w:w="80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Group</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Group</w:t>
            </w:r>
          </w:p>
        </w:tc>
        <w:tc>
          <w:tcPr>
            <w:tcW w:w="126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Group</w:t>
            </w:r>
          </w:p>
        </w:tc>
        <w:tc>
          <w:tcPr>
            <w:tcW w:w="8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2015</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9,111</w:t>
            </w:r>
          </w:p>
        </w:tc>
        <w:tc>
          <w:tcPr>
            <w:tcW w:w="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73,992</w:t>
            </w:r>
          </w:p>
        </w:tc>
        <w:tc>
          <w:tcPr>
            <w:tcW w:w="5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$ 366,795</w:t>
            </w:r>
          </w:p>
        </w:tc>
        <w:tc>
          <w:tcPr>
            <w:tcW w:w="5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$449,898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Currency impacts</w:t>
            </w:r>
          </w:p>
        </w:tc>
        <w:tc>
          <w:tcPr>
            <w:tcW w:w="1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126</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changes from measurement period</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(1,334)</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(1,334)</w:t>
            </w:r>
          </w:p>
        </w:tc>
        <w:tc>
          <w:tcPr>
            <w:tcW w:w="0" w:type="dxa"/>
            <w:vAlign w:val="bottom"/>
          </w:tcPr>
          <w:p>
            <w:pPr>
              <w:spacing w:after="0"/>
              <w:rPr>
                <w:sz w:val="1"/>
                <w:szCs w:val="1"/>
                <w:color w:val="auto"/>
              </w:rPr>
            </w:pPr>
          </w:p>
        </w:tc>
      </w:tr>
      <w:tr>
        <w:trPr>
          <w:trHeight w:val="223"/>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June 30, 2016</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9,237</w:t>
            </w:r>
          </w:p>
        </w:tc>
        <w:tc>
          <w:tcPr>
            <w:tcW w:w="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73,992</w:t>
            </w:r>
          </w:p>
        </w:tc>
        <w:tc>
          <w:tcPr>
            <w:tcW w:w="54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$ 365,461</w:t>
            </w:r>
          </w:p>
        </w:tc>
        <w:tc>
          <w:tcPr>
            <w:tcW w:w="54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448,690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goodwill balances are tested for impairment on an annual basis during the fourth quarter and between annual tests if a triggering event occurs. As noted in Note 2. Acquisitions, some measurement period adjustments to goodwill were made for the PEP acquisition. As of June 30, 2016, there were no indications of impairment at the reporting units with goodwill balances.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Intangible Assets,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the carrying amount of intangible assets, net for the six months ended June 30, 2016 are as follows:</w:t>
      </w:r>
    </w:p>
    <w:p>
      <w:pPr>
        <w:spacing w:after="0" w:line="23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3"/>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Precision</w:t>
            </w:r>
          </w:p>
        </w:tc>
        <w:tc>
          <w:tcPr>
            <w:tcW w:w="100" w:type="dxa"/>
            <w:vAlign w:val="bottom"/>
          </w:tcPr>
          <w:p>
            <w:pPr>
              <w:spacing w:after="0"/>
              <w:rPr>
                <w:sz w:val="13"/>
                <w:szCs w:val="13"/>
                <w:color w:val="auto"/>
              </w:rPr>
            </w:pPr>
          </w:p>
        </w:tc>
        <w:tc>
          <w:tcPr>
            <w:tcW w:w="1220" w:type="dxa"/>
            <w:vAlign w:val="bottom"/>
            <w:gridSpan w:val="2"/>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Autocam</w:t>
            </w:r>
          </w:p>
        </w:tc>
        <w:tc>
          <w:tcPr>
            <w:tcW w:w="126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Precision</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3"/>
          </w:tcPr>
          <w:p>
            <w:pPr>
              <w:jc w:val="center"/>
              <w:ind w:right="680"/>
              <w:spacing w:after="0" w:line="149" w:lineRule="exact"/>
              <w:rPr>
                <w:sz w:val="20"/>
                <w:szCs w:val="20"/>
                <w:color w:val="auto"/>
              </w:rPr>
            </w:pPr>
            <w:r>
              <w:rPr>
                <w:rFonts w:ascii="Times New Roman" w:cs="Times New Roman" w:eastAsia="Times New Roman" w:hAnsi="Times New Roman"/>
                <w:sz w:val="14"/>
                <w:szCs w:val="14"/>
                <w:b w:val="1"/>
                <w:bCs w:val="1"/>
                <w:color w:val="auto"/>
              </w:rPr>
              <w:t>Bearing</w:t>
            </w:r>
          </w:p>
        </w:tc>
        <w:tc>
          <w:tcPr>
            <w:tcW w:w="100" w:type="dxa"/>
            <w:vAlign w:val="bottom"/>
          </w:tcPr>
          <w:p>
            <w:pPr>
              <w:spacing w:after="0"/>
              <w:rPr>
                <w:sz w:val="12"/>
                <w:szCs w:val="12"/>
                <w:color w:val="auto"/>
              </w:rPr>
            </w:pPr>
          </w:p>
        </w:tc>
        <w:tc>
          <w:tcPr>
            <w:tcW w:w="1220" w:type="dxa"/>
            <w:vAlign w:val="bottom"/>
            <w:gridSpan w:val="2"/>
          </w:tcPr>
          <w:p>
            <w:pPr>
              <w:jc w:val="center"/>
              <w:ind w:right="660"/>
              <w:spacing w:after="0" w:line="149" w:lineRule="exact"/>
              <w:rPr>
                <w:sz w:val="20"/>
                <w:szCs w:val="20"/>
                <w:color w:val="auto"/>
              </w:rPr>
            </w:pPr>
            <w:r>
              <w:rPr>
                <w:rFonts w:ascii="Times New Roman" w:cs="Times New Roman" w:eastAsia="Times New Roman" w:hAnsi="Times New Roman"/>
                <w:sz w:val="14"/>
                <w:szCs w:val="14"/>
                <w:b w:val="1"/>
                <w:bCs w:val="1"/>
                <w:color w:val="auto"/>
              </w:rPr>
              <w:t>Precision</w:t>
            </w:r>
          </w:p>
        </w:tc>
        <w:tc>
          <w:tcPr>
            <w:tcW w:w="126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Engineered</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80" w:type="dxa"/>
            <w:vAlign w:val="bottom"/>
          </w:tcPr>
          <w:p>
            <w:pPr>
              <w:spacing w:after="0"/>
              <w:rPr>
                <w:sz w:val="12"/>
                <w:szCs w:val="12"/>
                <w:color w:val="auto"/>
              </w:rPr>
            </w:pPr>
          </w:p>
        </w:tc>
        <w:tc>
          <w:tcPr>
            <w:tcW w:w="1340" w:type="dxa"/>
            <w:vAlign w:val="bottom"/>
            <w:gridSpan w:val="4"/>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Components</w:t>
            </w:r>
          </w:p>
        </w:tc>
        <w:tc>
          <w:tcPr>
            <w:tcW w:w="1320" w:type="dxa"/>
            <w:vAlign w:val="bottom"/>
            <w:gridSpan w:val="3"/>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Components</w:t>
            </w:r>
          </w:p>
        </w:tc>
        <w:tc>
          <w:tcPr>
            <w:tcW w:w="126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Products</w:t>
            </w:r>
          </w:p>
        </w:tc>
        <w:tc>
          <w:tcPr>
            <w:tcW w:w="80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3"/>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Group</w:t>
            </w:r>
          </w:p>
        </w:tc>
        <w:tc>
          <w:tcPr>
            <w:tcW w:w="100" w:type="dxa"/>
            <w:vAlign w:val="bottom"/>
          </w:tcPr>
          <w:p>
            <w:pPr>
              <w:spacing w:after="0"/>
              <w:rPr>
                <w:sz w:val="15"/>
                <w:szCs w:val="15"/>
                <w:color w:val="auto"/>
              </w:rPr>
            </w:pPr>
          </w:p>
        </w:tc>
        <w:tc>
          <w:tcPr>
            <w:tcW w:w="1220" w:type="dxa"/>
            <w:vAlign w:val="bottom"/>
            <w:gridSpan w:val="2"/>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Group</w:t>
            </w:r>
          </w:p>
        </w:tc>
        <w:tc>
          <w:tcPr>
            <w:tcW w:w="126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Group</w:t>
            </w:r>
          </w:p>
        </w:tc>
        <w:tc>
          <w:tcPr>
            <w:tcW w:w="8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2015</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1,952</w:t>
            </w:r>
          </w:p>
        </w:tc>
        <w:tc>
          <w:tcPr>
            <w:tcW w:w="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46,417</w:t>
            </w:r>
          </w:p>
        </w:tc>
        <w:tc>
          <w:tcPr>
            <w:tcW w:w="5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$ 233,800</w:t>
            </w:r>
          </w:p>
        </w:tc>
        <w:tc>
          <w:tcPr>
            <w:tcW w:w="5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$282,169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100" w:type="dxa"/>
            <w:vAlign w:val="bottom"/>
          </w:tcPr>
          <w:p>
            <w:pPr>
              <w:spacing w:after="0"/>
              <w:rPr>
                <w:sz w:val="18"/>
                <w:szCs w:val="18"/>
                <w:color w:val="auto"/>
              </w:rPr>
            </w:pPr>
          </w:p>
        </w:tc>
        <w:tc>
          <w:tcPr>
            <w:tcW w:w="124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8"/>
                <w:szCs w:val="18"/>
                <w:color w:val="auto"/>
              </w:rPr>
            </w:pP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(1,819)</w:t>
            </w:r>
          </w:p>
        </w:tc>
        <w:tc>
          <w:tcPr>
            <w:tcW w:w="12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(12,624)</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(14,547)</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Currency impacts</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128</w:t>
            </w:r>
          </w:p>
        </w:tc>
        <w:tc>
          <w:tcPr>
            <w:tcW w:w="126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23"/>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June 30, 2016</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1,867</w:t>
            </w:r>
          </w:p>
        </w:tc>
        <w:tc>
          <w:tcPr>
            <w:tcW w:w="2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44,726</w:t>
            </w:r>
          </w:p>
        </w:tc>
        <w:tc>
          <w:tcPr>
            <w:tcW w:w="54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$ 221,176</w:t>
            </w:r>
          </w:p>
        </w:tc>
        <w:tc>
          <w:tcPr>
            <w:tcW w:w="54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267,769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Shared-Based Compensation</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During the three and six months ended June 30, 2016 and 2015, approximately $1.5 million and $2.5 million in 2016 and $1.0 million and $1.8 million in 2015, respectively, of compensation expense was recognized in selling, general and administrative expense for all share-based awards. During the six months ended June 30, 2016, there were 152,510 restricted stock awards, 167,000 option awards, and 202,330 performance based awards to non-executive directors, officers and certain other key employees. During the six months ended June 30, 2015, there were 114,475 restricted stock awards, 54,600 option awards and 71,550 performance based awards to non-executive directors, officers and certain other key employees.</w:t>
      </w:r>
    </w:p>
    <w:p>
      <w:pPr>
        <w:spacing w:after="0" w:line="184"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shares of restricted stock granted during the six months ended June 30, 2016, vest pro-rata over three years for officers and certain other key employees and over one year for non-executive directors. During the three and six months ended June 30, 2016 and 2015, we incurred $0.7 million and $1.4 million in 2016 and $0.6 million and $1.1 million in 2015, respectively, in expense related to restricted stock. The fair value of the shares issued was determined by using the grant date closing price of our common stock.</w:t>
      </w:r>
    </w:p>
    <w:p>
      <w:pPr>
        <w:spacing w:after="0" w:line="180"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performance stock units granted during the six months ended June 30, 2016 will be satisfied in the form of shares of common stock during 2019 depending on meeting certain performance and/or market conditions. We are recognizing the compensation expense over the three-year period in which the performance and market conditions are measured. During the three and six months ended June 30, 2016 and 2015, we incurred $0.5 million and $.06 million in 2016 and $0.2 million and $0.2 million in 2015, respectively, in expense related to performance stock units. The fair value of the performance share units issued was determined by using the grant date closing price of our common stock for the units with a performance condition and a Monte Carlo valuation model for the units that have a market condition.</w:t>
      </w:r>
    </w:p>
    <w:p>
      <w:pPr>
        <w:spacing w:after="0" w:line="188" w:lineRule="exact"/>
        <w:rPr>
          <w:sz w:val="20"/>
          <w:szCs w:val="20"/>
          <w:color w:val="auto"/>
        </w:rPr>
      </w:pPr>
    </w:p>
    <w:p>
      <w:pPr>
        <w:jc w:val="both"/>
        <w:ind w:right="440"/>
        <w:spacing w:after="0" w:line="266" w:lineRule="auto"/>
        <w:rPr>
          <w:sz w:val="20"/>
          <w:szCs w:val="20"/>
          <w:color w:val="auto"/>
        </w:rPr>
      </w:pPr>
      <w:r>
        <w:rPr>
          <w:rFonts w:ascii="Times New Roman" w:cs="Times New Roman" w:eastAsia="Times New Roman" w:hAnsi="Times New Roman"/>
          <w:sz w:val="18"/>
          <w:szCs w:val="18"/>
          <w:color w:val="auto"/>
        </w:rPr>
        <w:t>We incurred $0.3 million and $0.5 million in 2016 and $0.2 million and $0.5 million in 2015 of stock option expense in the three and six months ended June 30, 2016 and 2015, respectively. The fair value of our options cannot be determined by market value, because our options are not traded in an open market. Accordingly, we utilized the Black Scholes financial pricing model to estimate the fair value.</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455" w:right="23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reconciliation of option activity for the three months ended June 30, 2016:</w:t>
      </w:r>
    </w:p>
    <w:p>
      <w:pPr>
        <w:spacing w:after="0" w:line="23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7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60" w:type="dxa"/>
            <w:vAlign w:val="bottom"/>
            <w:gridSpan w:val="3"/>
            <w:vMerge w:val="restart"/>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w w:val="96"/>
              </w:rPr>
              <w:t>Weighted-</w:t>
            </w: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10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60" w:type="dxa"/>
            <w:vAlign w:val="bottom"/>
            <w:gridSpan w:val="3"/>
          </w:tcPr>
          <w:p>
            <w:pPr>
              <w:jc w:val="center"/>
              <w:ind w:right="6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52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12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w w:val="99"/>
              </w:rPr>
              <w:t>Shares (000)</w:t>
            </w:r>
          </w:p>
        </w:tc>
        <w:tc>
          <w:tcPr>
            <w:tcW w:w="300" w:type="dxa"/>
            <w:vAlign w:val="bottom"/>
          </w:tcPr>
          <w:p>
            <w:pPr>
              <w:spacing w:after="0"/>
              <w:rPr>
                <w:sz w:val="12"/>
                <w:szCs w:val="12"/>
                <w:color w:val="auto"/>
              </w:rPr>
            </w:pPr>
          </w:p>
        </w:tc>
        <w:tc>
          <w:tcPr>
            <w:tcW w:w="1260" w:type="dxa"/>
            <w:vAlign w:val="bottom"/>
            <w:gridSpan w:val="3"/>
          </w:tcPr>
          <w:p>
            <w:pPr>
              <w:jc w:val="center"/>
              <w:ind w:right="6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10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200" w:type="dxa"/>
            <w:vAlign w:val="bottom"/>
            <w:gridSpan w:val="3"/>
            <w:vMerge w:val="continue"/>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5"/>
              </w:rPr>
              <w:t>Term</w:t>
            </w:r>
          </w:p>
        </w:tc>
        <w:tc>
          <w:tcPr>
            <w:tcW w:w="320" w:type="dxa"/>
            <w:vAlign w:val="bottom"/>
          </w:tcPr>
          <w:p>
            <w:pPr>
              <w:spacing w:after="0"/>
              <w:rPr>
                <w:sz w:val="15"/>
                <w:szCs w:val="15"/>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70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60" w:type="dxa"/>
            <w:vAlign w:val="bottom"/>
            <w:tcBorders>
              <w:left w:val="single" w:sz="8" w:color="CCEEFF"/>
            </w:tcBorders>
            <w:vMerge w:val="restart"/>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1, 2016</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360" w:type="dxa"/>
            <w:vAlign w:val="bottom"/>
            <w:tcBorders>
              <w:left w:val="single" w:sz="8" w:color="CCEEFF"/>
            </w:tcBorders>
            <w:vMerge w:val="continue"/>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w:t>
            </w:r>
          </w:p>
        </w:tc>
        <w:tc>
          <w:tcPr>
            <w:tcW w:w="640" w:type="dxa"/>
            <w:vAlign w:val="bottom"/>
            <w:vMerge w:val="continue"/>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Granted</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36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11.31</w:t>
            </w: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(145)</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6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Forfeited or expired</w:t>
            </w: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(23)</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16.17</w:t>
            </w:r>
          </w:p>
        </w:tc>
        <w:tc>
          <w:tcPr>
            <w:tcW w:w="6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0" w:type="dxa"/>
            <w:vAlign w:val="bottom"/>
          </w:tcPr>
          <w:p>
            <w:pPr>
              <w:spacing w:after="0"/>
              <w:rPr>
                <w:sz w:val="2"/>
                <w:szCs w:val="2"/>
                <w:color w:val="auto"/>
              </w:rPr>
            </w:pPr>
          </w:p>
        </w:tc>
        <w:tc>
          <w:tcPr>
            <w:tcW w:w="47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June 30, 2016</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360" w:type="dxa"/>
            <w:vAlign w:val="bottom"/>
            <w:tcBorders>
              <w:left w:val="single" w:sz="8" w:color="CCEEFF"/>
            </w:tcBorders>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w:t>
            </w:r>
          </w:p>
        </w:tc>
        <w:tc>
          <w:tcPr>
            <w:tcW w:w="6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6.2</w:t>
            </w:r>
          </w:p>
        </w:tc>
        <w:tc>
          <w:tcPr>
            <w:tcW w:w="4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3,073 (1)</w:t>
            </w:r>
          </w:p>
        </w:tc>
        <w:tc>
          <w:tcPr>
            <w:tcW w:w="0" w:type="dxa"/>
            <w:vAlign w:val="bottom"/>
          </w:tcPr>
          <w:p>
            <w:pPr>
              <w:spacing w:after="0"/>
              <w:rPr>
                <w:sz w:val="1"/>
                <w:szCs w:val="1"/>
                <w:color w:val="auto"/>
              </w:rPr>
            </w:pPr>
          </w:p>
        </w:tc>
      </w:tr>
      <w:tr>
        <w:trPr>
          <w:trHeight w:val="20"/>
        </w:trPr>
        <w:tc>
          <w:tcPr>
            <w:tcW w:w="5200" w:type="dxa"/>
            <w:vAlign w:val="bottom"/>
            <w:gridSpan w:val="3"/>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Exercisable at June 30, 2016</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36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11.47</w:t>
            </w: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5.4</w:t>
            </w:r>
          </w:p>
        </w:tc>
        <w:tc>
          <w:tcPr>
            <w:tcW w:w="4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2,649 (1)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460" w:right="160" w:hanging="452"/>
        <w:spacing w:after="0" w:line="282" w:lineRule="auto"/>
        <w:tabs>
          <w:tab w:leader="none" w:pos="46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The intrinsic value is the amount by which the market price of our stock was greater than the exercise price of any individual option grant at June 30, 2016.</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Provision for Income Taxes</w:t>
      </w:r>
    </w:p>
    <w:p>
      <w:pPr>
        <w:spacing w:after="0" w:line="12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Tax rate during the quarter ended June 30, 2016 was 49% versus 21% for the quarter ended June 30, 2015. The increase in tax rate was due to adjusting the full year effective tax rate on our year to date loss from 23% to 10% resulting in a $0.5 million increase to tax expense in the second quarter of 2016. Excluding this increase, the tax rate in the second quarter would have been 15%.</w:t>
      </w:r>
    </w:p>
    <w:p>
      <w:pPr>
        <w:spacing w:after="0" w:line="176"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Tax rate during the six months ended June 30, 2016 was 2% versus 22% for the six months ended June 30, 2015. The decrease in tax rate was due to the full year effective being 10% primarily due to non-US base earnings being taxed at lower rates reducing the effective tax rate by 23%. Additionally, the tax rate was reduced by 7% due to recognizing $0.2 million in interest and penalties on uncertain tax positions.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Commitments and Contingencies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Brazil ICMS Tax Matter</w:t>
      </w:r>
    </w:p>
    <w:p>
      <w:pPr>
        <w:spacing w:after="0" w:line="11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Prior to our acquisition of Autocam, Autocam’s Brazilian subsidiary received notification from the Brazilian tax authorities regarding ICMS (state value added tax or VAT) tax credits claimed on intermediary materials (tooling and perishable items) used in the manufacturing process. The Brazilian tax authority notification disallowed state ICMS credits claimed on intermediary materials based on the argument that these items are not intrinsically related to the manufacturing process. Autocam Brazil filed an administrative defense with the Brazilian tax authority arguing, among other matters, that it should qualify for an ICMS tax credit, contending that the intermediary materials are directly related to the manufacturing process.</w:t>
      </w:r>
    </w:p>
    <w:p>
      <w:pPr>
        <w:spacing w:after="0" w:line="184"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We believe that we have substantial legal and factual defenses, and plan to defend our interests in this matter vigorously. While we believe a loss is not probable, we estimate the range of possible losses related to this assessment is from $0 to $6.0 million. No amount was accrued at June 30, 2016 for this matter. There was no material change in the status of this matter from December 31, 2015 to June 30, 2016.</w:t>
      </w:r>
    </w:p>
    <w:p>
      <w:pPr>
        <w:spacing w:after="0" w:line="17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are entitled to indemnification from the former shareholders of Autocam, subject to the limitations and procedures set forth in the agreement and plan of merger relating to our acquisition of Autocam. Management believes the indemnification would include amounts owed for the tax, interest and penalties related to this matter.</w:t>
      </w:r>
    </w:p>
    <w:p>
      <w:pPr>
        <w:spacing w:after="0" w:line="1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All other legal proceedings are of an ordinary and routine nature and are incidental to our operations. Management believes that such proceedings should not, individually or in the aggregate, have a material adverse effect on our business, financial condition, results of operations or cash flows. In making that determination, we analyze the facts and circumstances of each case at least quarterly in consultation with our attorneys and determine a range of reasonably possible outcomes.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Investment in Non-Consolidated Joint Venture</w:t>
      </w:r>
    </w:p>
    <w:p>
      <w:pPr>
        <w:spacing w:after="0" w:line="121"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As part of the Autocam Precision Components Group, we own a 49% investment in a joint venture with an unrelated entity called Wuxi Weifu Autocam Precision Machinery Company, Ltd., a Chinese company located in Wuxi, China (the “JV”).</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Below are the components of our JV investment balance at June 30, 2016:</w:t>
            </w: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840" w:type="dxa"/>
            <w:vAlign w:val="bottom"/>
            <w:vMerge w:val="restart"/>
          </w:tcPr>
          <w:p>
            <w:pPr>
              <w:spacing w:after="0"/>
              <w:rPr>
                <w:sz w:val="21"/>
                <w:szCs w:val="21"/>
                <w:color w:val="auto"/>
              </w:rPr>
            </w:pPr>
          </w:p>
        </w:tc>
        <w:tc>
          <w:tcPr>
            <w:tcW w:w="7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84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2015</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$38,462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Our share of cumulative earnings</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3,004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Accretion of basis difference from purchase accounting</w:t>
            </w:r>
          </w:p>
        </w:tc>
        <w:tc>
          <w:tcPr>
            <w:tcW w:w="7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(261)</w:t>
            </w:r>
          </w:p>
        </w:tc>
        <w:tc>
          <w:tcPr>
            <w:tcW w:w="0" w:type="dxa"/>
            <w:vAlign w:val="bottom"/>
          </w:tcPr>
          <w:p>
            <w:pPr>
              <w:spacing w:after="0"/>
              <w:rPr>
                <w:sz w:val="1"/>
                <w:szCs w:val="1"/>
                <w:color w:val="auto"/>
              </w:rPr>
            </w:pPr>
          </w:p>
        </w:tc>
      </w:tr>
      <w:tr>
        <w:trPr>
          <w:trHeight w:val="223"/>
        </w:trPr>
        <w:tc>
          <w:tcPr>
            <w:tcW w:w="8880" w:type="dxa"/>
            <w:vAlign w:val="bottom"/>
            <w:gridSpan w:val="2"/>
          </w:tcPr>
          <w:p>
            <w:pPr>
              <w:ind w:left="1840"/>
              <w:spacing w:after="0"/>
              <w:rPr>
                <w:sz w:val="20"/>
                <w:szCs w:val="20"/>
                <w:color w:val="auto"/>
              </w:rPr>
            </w:pPr>
            <w:r>
              <w:rPr>
                <w:rFonts w:ascii="Times New Roman" w:cs="Times New Roman" w:eastAsia="Times New Roman" w:hAnsi="Times New Roman"/>
                <w:sz w:val="18"/>
                <w:szCs w:val="18"/>
                <w:color w:val="auto"/>
              </w:rPr>
              <w:t>Balance as of June 30, 2016</w:t>
            </w: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41,205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ectPr>
          <w:pgSz w:w="11900" w:h="16838" w:orient="portrait"/>
          <w:cols w:equalWidth="0" w:num="1">
            <w:col w:w="11360"/>
          </w:cols>
          <w:pgMar w:left="240" w:top="455" w:right="299" w:bottom="1440" w:gutter="0" w:footer="0" w:header="0"/>
        </w:sectPr>
      </w:pPr>
    </w:p>
    <w:p>
      <w:pPr>
        <w:jc w:val="center"/>
        <w:ind w:right="-5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360"/>
          </w:cols>
          <w:pgMar w:left="240" w:top="455" w:right="299" w:bottom="1440" w:gutter="0" w:footer="0" w:header="0"/>
          <w:type w:val="continuous"/>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 forth below is summarized balance sheet information for the JV:</w:t>
      </w:r>
    </w:p>
    <w:p>
      <w:pPr>
        <w:spacing w:after="0" w:line="23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520" w:type="dxa"/>
            <w:vAlign w:val="bottom"/>
            <w:gridSpan w:val="4"/>
          </w:tcPr>
          <w:p>
            <w:pPr>
              <w:ind w:left="5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3200" w:type="dxa"/>
            <w:vAlign w:val="bottom"/>
            <w:gridSpan w:val="2"/>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2016</w:t>
            </w: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6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$31,452</w:t>
            </w:r>
          </w:p>
        </w:tc>
        <w:tc>
          <w:tcPr>
            <w:tcW w:w="5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24,663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260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23,570</w:t>
            </w:r>
          </w:p>
        </w:tc>
        <w:tc>
          <w:tcPr>
            <w:tcW w:w="5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6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55,022</w:t>
            </w:r>
          </w:p>
        </w:tc>
        <w:tc>
          <w:tcPr>
            <w:tcW w:w="7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60" w:type="dxa"/>
            <w:vAlign w:val="bottom"/>
            <w:gridSpan w:val="2"/>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6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11,620</w:t>
            </w:r>
          </w:p>
        </w:tc>
        <w:tc>
          <w:tcPr>
            <w:tcW w:w="7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6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11,620</w:t>
            </w:r>
          </w:p>
        </w:tc>
        <w:tc>
          <w:tcPr>
            <w:tcW w:w="7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No dividends were declared and paid by the JV during the six months ended June 30, 2016. We had sales to the JV of less than $0.1 million during the three and six months ended June 30, 2016. Amounts due to us from the JV were $0.1 million as of June 30, 2016.</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Fair Value Measurements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present fair value measurements and disclosures applicable to both our financial and nonfinancial assets and liabilities that are measured and reported on a fair value basis. Fair value is an exit price representing the expected amount we would receive to sell an asset or pay to transfer a liability in an orderly transaction with market participants at the measurement date. We have followed consistent methods and assumptions to estimate the fair values as more fully described in our 2015 Annual Report.</w:t>
      </w:r>
    </w:p>
    <w:p>
      <w:pPr>
        <w:spacing w:after="0" w:line="18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Our financial instruments that are subject to fair value disclosure consist of cash and cash equivalents, accounts receivable, accounts payable, derivatives and long-term debt. At June 30, 2016, the carrying values of all of these financial instruments, except the long-term debt with fixed interest rates, approximated fair value. The fair value of floating-rate debt approximates the carrying amount because the interest rates paid are based on short-term maturities. The fair value of our fixed-rate long-term debt is estimated based on the Bloomberg algorithm, which takes into account similar sized and industry debt (a Level 2 category fair value measurement). As of June 30, 2016, the fair value of our fixed-rate debt was $254.2 million, and $248.8 net of debt issuance costs.</w:t>
      </w:r>
    </w:p>
    <w:p>
      <w:pPr>
        <w:spacing w:after="0" w:line="18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Fair value principles prioritize valuation inputs across three broad levels. Level 1 inputs are quoted prices (unadjusted) in active markets for identical assets or liabilities. Level 2 inputs are quoted prices for similar assets and liabilities in active markets or inputs that are observable for the asset or liability, either directly or indirectly through market corroboration, for substantially the full term of the financial instrument. Level 3 inputs are unobservable inputs based on the assumptions used to measure assets and liabilities at fair value. An asset or liability’s classification within the various levels is determined based on the lowest level input that is significant to the fair value measurement.</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Recurring Fair Value Measurements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assets and liabilities measured at fair value on a recurring basis for our interest rate swap derivative financial instrument:</w:t>
      </w:r>
    </w:p>
    <w:p>
      <w:pPr>
        <w:spacing w:after="0" w:line="246"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72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940" w:type="dxa"/>
            <w:vAlign w:val="bottom"/>
            <w:tcBorders>
              <w:bottom w:val="single" w:sz="8" w:color="auto"/>
            </w:tcBorders>
            <w:gridSpan w:val="7"/>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Fair Value Measurements at June 30, 2016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720" w:type="dxa"/>
            <w:vAlign w:val="bottom"/>
          </w:tcPr>
          <w:p>
            <w:pPr>
              <w:spacing w:after="0"/>
              <w:rPr>
                <w:sz w:val="10"/>
                <w:szCs w:val="10"/>
                <w:color w:val="auto"/>
              </w:rPr>
            </w:pPr>
          </w:p>
        </w:tc>
        <w:tc>
          <w:tcPr>
            <w:tcW w:w="4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2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Quoted Prices in</w:t>
            </w:r>
          </w:p>
        </w:tc>
        <w:tc>
          <w:tcPr>
            <w:tcW w:w="460" w:type="dxa"/>
            <w:vAlign w:val="bottom"/>
          </w:tcPr>
          <w:p>
            <w:pPr>
              <w:spacing w:after="0"/>
              <w:rPr>
                <w:sz w:val="10"/>
                <w:szCs w:val="10"/>
                <w:color w:val="auto"/>
              </w:rPr>
            </w:pPr>
          </w:p>
        </w:tc>
        <w:tc>
          <w:tcPr>
            <w:tcW w:w="1600" w:type="dxa"/>
            <w:vAlign w:val="bottom"/>
            <w:gridSpan w:val="3"/>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20" w:type="dxa"/>
            <w:vAlign w:val="bottom"/>
          </w:tcPr>
          <w:p>
            <w:pPr>
              <w:spacing w:after="0"/>
              <w:rPr>
                <w:sz w:val="10"/>
                <w:szCs w:val="10"/>
                <w:color w:val="auto"/>
              </w:rPr>
            </w:pPr>
          </w:p>
        </w:tc>
        <w:tc>
          <w:tcPr>
            <w:tcW w:w="9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restart"/>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w:t>
            </w:r>
          </w:p>
        </w:tc>
        <w:tc>
          <w:tcPr>
            <w:tcW w:w="460" w:type="dxa"/>
            <w:vAlign w:val="bottom"/>
          </w:tcPr>
          <w:p>
            <w:pPr>
              <w:spacing w:after="0"/>
              <w:rPr>
                <w:sz w:val="12"/>
                <w:szCs w:val="12"/>
                <w:color w:val="auto"/>
              </w:rPr>
            </w:pPr>
          </w:p>
        </w:tc>
        <w:tc>
          <w:tcPr>
            <w:tcW w:w="16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15"/>
              <w:spacing w:after="0" w:line="149" w:lineRule="exact"/>
              <w:rPr>
                <w:sz w:val="20"/>
                <w:szCs w:val="20"/>
                <w:color w:val="auto"/>
              </w:rPr>
            </w:pPr>
            <w:r>
              <w:rPr>
                <w:rFonts w:ascii="Times New Roman" w:cs="Times New Roman" w:eastAsia="Times New Roman" w:hAnsi="Times New Roman"/>
                <w:sz w:val="14"/>
                <w:szCs w:val="14"/>
                <w:b w:val="1"/>
                <w:bCs w:val="1"/>
                <w:color w:val="auto"/>
              </w:rPr>
              <w:t>for Identical</w:t>
            </w:r>
          </w:p>
        </w:tc>
        <w:tc>
          <w:tcPr>
            <w:tcW w:w="460" w:type="dxa"/>
            <w:vAlign w:val="bottom"/>
          </w:tcPr>
          <w:p>
            <w:pPr>
              <w:spacing w:after="0"/>
              <w:rPr>
                <w:sz w:val="12"/>
                <w:szCs w:val="12"/>
                <w:color w:val="auto"/>
              </w:rPr>
            </w:pPr>
          </w:p>
        </w:tc>
        <w:tc>
          <w:tcPr>
            <w:tcW w:w="1600" w:type="dxa"/>
            <w:vAlign w:val="bottom"/>
            <w:gridSpan w:val="3"/>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1080" w:type="dxa"/>
            <w:vAlign w:val="bottom"/>
            <w:gridSpan w:val="3"/>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73"/>
        </w:trPr>
        <w:tc>
          <w:tcPr>
            <w:tcW w:w="50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2016</w:t>
            </w:r>
          </w:p>
        </w:tc>
        <w:tc>
          <w:tcPr>
            <w:tcW w:w="460" w:type="dxa"/>
            <w:vAlign w:val="bottom"/>
          </w:tcPr>
          <w:p>
            <w:pPr>
              <w:spacing w:after="0"/>
              <w:rPr>
                <w:sz w:val="15"/>
                <w:szCs w:val="15"/>
                <w:color w:val="auto"/>
              </w:rPr>
            </w:pP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Assets (Level 1)</w:t>
            </w: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gridSpan w:val="2"/>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Inputs (Level 3)</w:t>
            </w:r>
          </w:p>
        </w:tc>
        <w:tc>
          <w:tcPr>
            <w:tcW w:w="0" w:type="dxa"/>
            <w:vAlign w:val="bottom"/>
          </w:tcPr>
          <w:p>
            <w:pPr>
              <w:spacing w:after="0"/>
              <w:rPr>
                <w:sz w:val="1"/>
                <w:szCs w:val="1"/>
                <w:color w:val="auto"/>
              </w:rPr>
            </w:pPr>
          </w:p>
        </w:tc>
      </w:tr>
      <w:tr>
        <w:trPr>
          <w:trHeight w:val="210"/>
        </w:trPr>
        <w:tc>
          <w:tcPr>
            <w:tcW w:w="7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2"/>
              </w:rPr>
              <w:t>Derivative</w:t>
            </w:r>
          </w:p>
        </w:tc>
        <w:tc>
          <w:tcPr>
            <w:tcW w:w="434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asset - current</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Derivative asset - noncurrent</w:t>
            </w:r>
          </w:p>
        </w:tc>
        <w:tc>
          <w:tcPr>
            <w:tcW w:w="10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852</w:t>
            </w:r>
          </w:p>
        </w:tc>
        <w:tc>
          <w:tcPr>
            <w:tcW w:w="120" w:type="dxa"/>
            <w:vAlign w:val="bottom"/>
          </w:tcPr>
          <w:p>
            <w:pPr>
              <w:spacing w:after="0"/>
              <w:rPr>
                <w:sz w:val="18"/>
                <w:szCs w:val="18"/>
                <w:color w:val="auto"/>
              </w:rPr>
            </w:pPr>
          </w:p>
        </w:tc>
        <w:tc>
          <w:tcPr>
            <w:tcW w:w="9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852</w:t>
            </w:r>
          </w:p>
        </w:tc>
        <w:tc>
          <w:tcPr>
            <w:tcW w:w="120" w:type="dxa"/>
            <w:vAlign w:val="bottom"/>
          </w:tcPr>
          <w:p>
            <w:pPr>
              <w:spacing w:after="0"/>
              <w:rPr>
                <w:sz w:val="18"/>
                <w:szCs w:val="18"/>
                <w:color w:val="auto"/>
              </w:rPr>
            </w:pPr>
          </w:p>
        </w:tc>
        <w:tc>
          <w:tcPr>
            <w:tcW w:w="9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liability - current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(2,361)</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(2,361)</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Derivative liability - noncurrent</w:t>
            </w:r>
          </w:p>
        </w:tc>
        <w:tc>
          <w:tcPr>
            <w:tcW w:w="10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(3,165)</w:t>
            </w:r>
          </w:p>
        </w:tc>
        <w:tc>
          <w:tcPr>
            <w:tcW w:w="120" w:type="dxa"/>
            <w:vAlign w:val="bottom"/>
          </w:tcPr>
          <w:p>
            <w:pPr>
              <w:spacing w:after="0"/>
              <w:rPr>
                <w:sz w:val="18"/>
                <w:szCs w:val="18"/>
                <w:color w:val="auto"/>
              </w:rPr>
            </w:pPr>
          </w:p>
        </w:tc>
        <w:tc>
          <w:tcPr>
            <w:tcW w:w="9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(3,165)</w:t>
            </w:r>
          </w:p>
        </w:tc>
        <w:tc>
          <w:tcPr>
            <w:tcW w:w="120" w:type="dxa"/>
            <w:vAlign w:val="bottom"/>
          </w:tcPr>
          <w:p>
            <w:pPr>
              <w:spacing w:after="0"/>
              <w:rPr>
                <w:sz w:val="18"/>
                <w:szCs w:val="18"/>
                <w:color w:val="auto"/>
              </w:rPr>
            </w:pPr>
          </w:p>
        </w:tc>
        <w:tc>
          <w:tcPr>
            <w:tcW w:w="9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0" w:type="dxa"/>
            <w:vAlign w:val="bottom"/>
            <w:shd w:val="clear" w:color="auto" w:fill="CCEEFF"/>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(4,096)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44"/>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(4,096)</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ind w:right="454"/>
              <w:spacing w:after="0"/>
              <w:rPr>
                <w:sz w:val="20"/>
                <w:szCs w:val="20"/>
                <w:color w:val="auto"/>
              </w:rPr>
            </w:pPr>
            <w:r>
              <w:rPr>
                <w:rFonts w:ascii="Times New Roman" w:cs="Times New Roman" w:eastAsia="Times New Roman" w:hAnsi="Times New Roman"/>
                <w:sz w:val="18"/>
                <w:szCs w:val="18"/>
                <w:color w:val="auto"/>
                <w:w w:val="88"/>
              </w:rPr>
              <w:t>15</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5" w:right="25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72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940" w:type="dxa"/>
            <w:vAlign w:val="bottom"/>
            <w:tcBorders>
              <w:bottom w:val="single" w:sz="8" w:color="auto"/>
            </w:tcBorders>
            <w:gridSpan w:val="7"/>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Fair Value Measurements at December 31, 2015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72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2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Quoted Prices in</w:t>
            </w:r>
          </w:p>
        </w:tc>
        <w:tc>
          <w:tcPr>
            <w:tcW w:w="460" w:type="dxa"/>
            <w:vAlign w:val="bottom"/>
          </w:tcPr>
          <w:p>
            <w:pPr>
              <w:spacing w:after="0"/>
              <w:rPr>
                <w:sz w:val="10"/>
                <w:szCs w:val="10"/>
                <w:color w:val="auto"/>
              </w:rPr>
            </w:pPr>
          </w:p>
        </w:tc>
        <w:tc>
          <w:tcPr>
            <w:tcW w:w="1600" w:type="dxa"/>
            <w:vAlign w:val="bottom"/>
            <w:gridSpan w:val="3"/>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20" w:type="dxa"/>
            <w:vAlign w:val="bottom"/>
          </w:tcPr>
          <w:p>
            <w:pPr>
              <w:spacing w:after="0"/>
              <w:rPr>
                <w:sz w:val="10"/>
                <w:szCs w:val="10"/>
                <w:color w:val="auto"/>
              </w:rPr>
            </w:pPr>
          </w:p>
        </w:tc>
        <w:tc>
          <w:tcPr>
            <w:tcW w:w="9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3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w:t>
            </w:r>
          </w:p>
        </w:tc>
        <w:tc>
          <w:tcPr>
            <w:tcW w:w="460" w:type="dxa"/>
            <w:vAlign w:val="bottom"/>
          </w:tcPr>
          <w:p>
            <w:pPr>
              <w:spacing w:after="0"/>
              <w:rPr>
                <w:sz w:val="12"/>
                <w:szCs w:val="12"/>
                <w:color w:val="auto"/>
              </w:rPr>
            </w:pPr>
          </w:p>
        </w:tc>
        <w:tc>
          <w:tcPr>
            <w:tcW w:w="16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36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15"/>
              <w:spacing w:after="0" w:line="149" w:lineRule="exact"/>
              <w:rPr>
                <w:sz w:val="20"/>
                <w:szCs w:val="20"/>
                <w:color w:val="auto"/>
              </w:rPr>
            </w:pPr>
            <w:r>
              <w:rPr>
                <w:rFonts w:ascii="Times New Roman" w:cs="Times New Roman" w:eastAsia="Times New Roman" w:hAnsi="Times New Roman"/>
                <w:sz w:val="14"/>
                <w:szCs w:val="14"/>
                <w:b w:val="1"/>
                <w:bCs w:val="1"/>
                <w:color w:val="auto"/>
              </w:rPr>
              <w:t>for Identical</w:t>
            </w:r>
          </w:p>
        </w:tc>
        <w:tc>
          <w:tcPr>
            <w:tcW w:w="460" w:type="dxa"/>
            <w:vAlign w:val="bottom"/>
          </w:tcPr>
          <w:p>
            <w:pPr>
              <w:spacing w:after="0"/>
              <w:rPr>
                <w:sz w:val="12"/>
                <w:szCs w:val="12"/>
                <w:color w:val="auto"/>
              </w:rPr>
            </w:pPr>
          </w:p>
        </w:tc>
        <w:tc>
          <w:tcPr>
            <w:tcW w:w="1600" w:type="dxa"/>
            <w:vAlign w:val="bottom"/>
            <w:gridSpan w:val="3"/>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1080" w:type="dxa"/>
            <w:vAlign w:val="bottom"/>
            <w:gridSpan w:val="3"/>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73"/>
        </w:trPr>
        <w:tc>
          <w:tcPr>
            <w:tcW w:w="3680" w:type="dxa"/>
            <w:vAlign w:val="bottom"/>
            <w:gridSpan w:val="2"/>
            <w:vMerge w:val="continue"/>
          </w:tcPr>
          <w:p>
            <w:pPr>
              <w:spacing w:after="0"/>
              <w:rPr>
                <w:sz w:val="15"/>
                <w:szCs w:val="15"/>
                <w:color w:val="auto"/>
              </w:rPr>
            </w:pPr>
          </w:p>
        </w:tc>
        <w:tc>
          <w:tcPr>
            <w:tcW w:w="1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2015</w:t>
            </w:r>
          </w:p>
        </w:tc>
        <w:tc>
          <w:tcPr>
            <w:tcW w:w="460" w:type="dxa"/>
            <w:vAlign w:val="bottom"/>
          </w:tcPr>
          <w:p>
            <w:pPr>
              <w:spacing w:after="0"/>
              <w:rPr>
                <w:sz w:val="15"/>
                <w:szCs w:val="15"/>
                <w:color w:val="auto"/>
              </w:rPr>
            </w:pP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Assets (Level 1)</w:t>
            </w: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gridSpan w:val="2"/>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Inputs (Level 3)</w:t>
            </w:r>
          </w:p>
        </w:tc>
        <w:tc>
          <w:tcPr>
            <w:tcW w:w="0" w:type="dxa"/>
            <w:vAlign w:val="bottom"/>
          </w:tcPr>
          <w:p>
            <w:pPr>
              <w:spacing w:after="0"/>
              <w:rPr>
                <w:sz w:val="1"/>
                <w:szCs w:val="1"/>
                <w:color w:val="auto"/>
              </w:rPr>
            </w:pPr>
          </w:p>
        </w:tc>
      </w:tr>
      <w:tr>
        <w:trPr>
          <w:trHeight w:val="210"/>
        </w:trPr>
        <w:tc>
          <w:tcPr>
            <w:tcW w:w="7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2"/>
              </w:rPr>
              <w:t>Derivative</w:t>
            </w:r>
          </w:p>
        </w:tc>
        <w:tc>
          <w:tcPr>
            <w:tcW w:w="296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asset - current</w:t>
            </w:r>
          </w:p>
        </w:tc>
        <w:tc>
          <w:tcPr>
            <w:tcW w:w="13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Derivative asset - noncurrent</w:t>
            </w: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368</w:t>
            </w:r>
          </w:p>
        </w:tc>
        <w:tc>
          <w:tcPr>
            <w:tcW w:w="120" w:type="dxa"/>
            <w:vAlign w:val="bottom"/>
          </w:tcPr>
          <w:p>
            <w:pPr>
              <w:spacing w:after="0"/>
              <w:rPr>
                <w:sz w:val="18"/>
                <w:szCs w:val="18"/>
                <w:color w:val="auto"/>
              </w:rPr>
            </w:pPr>
          </w:p>
        </w:tc>
        <w:tc>
          <w:tcPr>
            <w:tcW w:w="9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368</w:t>
            </w:r>
          </w:p>
        </w:tc>
        <w:tc>
          <w:tcPr>
            <w:tcW w:w="120" w:type="dxa"/>
            <w:vAlign w:val="bottom"/>
          </w:tcPr>
          <w:p>
            <w:pPr>
              <w:spacing w:after="0"/>
              <w:rPr>
                <w:sz w:val="18"/>
                <w:szCs w:val="18"/>
                <w:color w:val="auto"/>
              </w:rPr>
            </w:pPr>
          </w:p>
        </w:tc>
        <w:tc>
          <w:tcPr>
            <w:tcW w:w="9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liability - current</w:t>
            </w: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(2,098)</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(2,098)</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Derivative liability - noncurrent</w:t>
            </w: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(1,673)</w:t>
            </w:r>
          </w:p>
        </w:tc>
        <w:tc>
          <w:tcPr>
            <w:tcW w:w="120" w:type="dxa"/>
            <w:vAlign w:val="bottom"/>
          </w:tcPr>
          <w:p>
            <w:pPr>
              <w:spacing w:after="0"/>
              <w:rPr>
                <w:sz w:val="18"/>
                <w:szCs w:val="18"/>
                <w:color w:val="auto"/>
              </w:rPr>
            </w:pPr>
          </w:p>
        </w:tc>
        <w:tc>
          <w:tcPr>
            <w:tcW w:w="9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(1,673)</w:t>
            </w:r>
          </w:p>
        </w:tc>
        <w:tc>
          <w:tcPr>
            <w:tcW w:w="120" w:type="dxa"/>
            <w:vAlign w:val="bottom"/>
          </w:tcPr>
          <w:p>
            <w:pPr>
              <w:spacing w:after="0"/>
              <w:rPr>
                <w:sz w:val="18"/>
                <w:szCs w:val="18"/>
                <w:color w:val="auto"/>
              </w:rPr>
            </w:pPr>
          </w:p>
        </w:tc>
        <w:tc>
          <w:tcPr>
            <w:tcW w:w="9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(3,015)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44"/>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(3,015)</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right="120"/>
        <w:spacing w:after="0" w:line="313" w:lineRule="auto"/>
        <w:rPr>
          <w:sz w:val="20"/>
          <w:szCs w:val="20"/>
          <w:color w:val="auto"/>
        </w:rPr>
      </w:pPr>
      <w:r>
        <w:rPr>
          <w:rFonts w:ascii="Times New Roman" w:cs="Times New Roman" w:eastAsia="Times New Roman" w:hAnsi="Times New Roman"/>
          <w:sz w:val="17"/>
          <w:szCs w:val="17"/>
          <w:color w:val="auto"/>
        </w:rPr>
        <w:t>Our policy is to manage interest expense using a mix of fixed and variable rate debt. To manage this mix effectively, we may enter into interest rate swaps in which we agree to exchange the difference between fixed and variable interest amounts calculated by reference to an agreed upon notional principal amount.</w:t>
      </w:r>
    </w:p>
    <w:p>
      <w:pPr>
        <w:spacing w:after="0" w:line="13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$150.0 million interest rate swap went into effect on December 29, 2015, at which time our interest rate was effectively 6.966% until December 31, 2018. The hedge instrument will be 100% effective and as such the mark to market gains or losses on this hedge will be included in accumulated other comprehensive income (loss) to the extent effective, and reclassified into interest expense over the term of the related debt instruments.</w:t>
      </w:r>
    </w:p>
    <w:p>
      <w:pPr>
        <w:spacing w:after="0" w:line="17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interest rate swap derivative is classified as Level 2. Level 2 fair value is based on estimates using standard pricing models. These standard pricing models use inputs which are derived from or corroborated by observable market data such as interest rate yield curves, index forward curves, discount curves, and volatility surfaces. Counterparties to these derivative contracts are highly rated financial institutions which we believe carry only a minimal risk of nonperformance.</w:t>
      </w:r>
    </w:p>
    <w:p>
      <w:pPr>
        <w:spacing w:after="0" w:line="1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have elected to present the derivative contracts on a gross basis in the Condensed Consolidated Balance Sheet included within other current and non-current assets and other current and non-current liabilities. Had we chosen to present the derivative contract on a net basis, we would have a derivative in a net liability position of $4.1 million as of June 30, 2016. We do not have any cash collateral due under such agreements.</w:t>
      </w:r>
    </w:p>
    <w:p>
      <w:pPr>
        <w:spacing w:after="0" w:line="176"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As of June 30, 2016, we reported a loss in accumulated other comprehensive income (“AOCI”) of $4.1 million related to the interest rate swaps. In connection with periodic settlements and related reclassification of other comprehensive income, we recognized $0.5 million and $0.9 million of net hedging losses on the interest rate swaps in the interest expense line on the Condensed Consolidated Statements of Income during the three and six months ended June 30, 2016. If there are no changes in the interest rates for the next twelve months, we expect $1.8 million to be reclassified out of AOCI to interest expense. See the following “Derivatives’ Hedging Relationships” section for the impact of the interest rate swaps on our Condensed Consolidated Financial Statements.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Derivatives’ Hedging Relationships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60" w:type="dxa"/>
            <w:vAlign w:val="bottom"/>
            <w:gridSpan w:val="7"/>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Amount of after tax gain/</w:t>
            </w:r>
          </w:p>
        </w:tc>
        <w:tc>
          <w:tcPr>
            <w:tcW w:w="192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Location of gain/(loss)</w:t>
            </w:r>
          </w:p>
        </w:tc>
        <w:tc>
          <w:tcPr>
            <w:tcW w:w="120" w:type="dxa"/>
            <w:vAlign w:val="bottom"/>
          </w:tcPr>
          <w:p>
            <w:pPr>
              <w:spacing w:after="0"/>
              <w:rPr>
                <w:sz w:val="13"/>
                <w:szCs w:val="13"/>
                <w:color w:val="auto"/>
              </w:rPr>
            </w:pPr>
          </w:p>
        </w:tc>
        <w:tc>
          <w:tcPr>
            <w:tcW w:w="214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Pre-tax amount of gain/(loss)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60" w:type="dxa"/>
            <w:vAlign w:val="bottom"/>
            <w:gridSpan w:val="7"/>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(loss) recognized in Other</w:t>
            </w:r>
          </w:p>
        </w:tc>
        <w:tc>
          <w:tcPr>
            <w:tcW w:w="192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reclassified from</w:t>
            </w:r>
          </w:p>
        </w:tc>
        <w:tc>
          <w:tcPr>
            <w:tcW w:w="120" w:type="dxa"/>
            <w:vAlign w:val="bottom"/>
          </w:tcPr>
          <w:p>
            <w:pPr>
              <w:spacing w:after="0"/>
              <w:rPr>
                <w:sz w:val="12"/>
                <w:szCs w:val="12"/>
                <w:color w:val="auto"/>
              </w:rPr>
            </w:pPr>
          </w:p>
        </w:tc>
        <w:tc>
          <w:tcPr>
            <w:tcW w:w="2140" w:type="dxa"/>
            <w:vAlign w:val="bottom"/>
            <w:gridSpan w:val="6"/>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reclassified from Accumulated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60" w:type="dxa"/>
            <w:vAlign w:val="bottom"/>
            <w:gridSpan w:val="7"/>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 Income on</w:t>
            </w:r>
          </w:p>
        </w:tc>
        <w:tc>
          <w:tcPr>
            <w:tcW w:w="192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120" w:type="dxa"/>
            <w:vAlign w:val="bottom"/>
          </w:tcPr>
          <w:p>
            <w:pPr>
              <w:spacing w:after="0"/>
              <w:rPr>
                <w:sz w:val="12"/>
                <w:szCs w:val="12"/>
                <w:color w:val="auto"/>
              </w:rPr>
            </w:pPr>
          </w:p>
        </w:tc>
        <w:tc>
          <w:tcPr>
            <w:tcW w:w="2140" w:type="dxa"/>
            <w:vAlign w:val="bottom"/>
            <w:gridSpan w:val="6"/>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Other Comprehensive Income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60" w:type="dxa"/>
            <w:vAlign w:val="bottom"/>
            <w:gridSpan w:val="7"/>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Derivatives (effective portion)</w:t>
            </w:r>
          </w:p>
        </w:tc>
        <w:tc>
          <w:tcPr>
            <w:tcW w:w="192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Comprehensive Income</w:t>
            </w:r>
          </w:p>
        </w:tc>
        <w:tc>
          <w:tcPr>
            <w:tcW w:w="120" w:type="dxa"/>
            <w:vAlign w:val="bottom"/>
          </w:tcPr>
          <w:p>
            <w:pPr>
              <w:spacing w:after="0"/>
              <w:rPr>
                <w:sz w:val="15"/>
                <w:szCs w:val="15"/>
                <w:color w:val="auto"/>
              </w:rPr>
            </w:pPr>
          </w:p>
        </w:tc>
        <w:tc>
          <w:tcPr>
            <w:tcW w:w="214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into Income (effective portion)</w:t>
            </w:r>
          </w:p>
        </w:tc>
        <w:tc>
          <w:tcPr>
            <w:tcW w:w="0" w:type="dxa"/>
            <w:vAlign w:val="bottom"/>
          </w:tcPr>
          <w:p>
            <w:pPr>
              <w:spacing w:after="0"/>
              <w:rPr>
                <w:sz w:val="1"/>
                <w:szCs w:val="1"/>
                <w:color w:val="auto"/>
              </w:rPr>
            </w:pPr>
          </w:p>
        </w:tc>
      </w:tr>
      <w:tr>
        <w:trPr>
          <w:trHeight w:val="117"/>
        </w:trPr>
        <w:tc>
          <w:tcPr>
            <w:tcW w:w="46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Derivatives’ Cash Flow Hedging Relationships</w:t>
            </w:r>
          </w:p>
        </w:tc>
        <w:tc>
          <w:tcPr>
            <w:tcW w:w="920" w:type="dxa"/>
            <w:vAlign w:val="bottom"/>
            <w:tcBorders>
              <w:top w:val="single" w:sz="8" w:color="auto"/>
            </w:tcBorders>
            <w:gridSpan w:val="4"/>
          </w:tcPr>
          <w:p>
            <w:pPr>
              <w:jc w:val="right"/>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20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460" w:type="dxa"/>
            <w:vAlign w:val="bottom"/>
          </w:tcPr>
          <w:p>
            <w:pPr>
              <w:spacing w:after="0"/>
              <w:rPr>
                <w:sz w:val="10"/>
                <w:szCs w:val="10"/>
                <w:color w:val="auto"/>
              </w:rPr>
            </w:pPr>
          </w:p>
        </w:tc>
        <w:tc>
          <w:tcPr>
            <w:tcW w:w="1920" w:type="dxa"/>
            <w:vAlign w:val="bottom"/>
            <w:gridSpan w:val="2"/>
          </w:tcPr>
          <w:p>
            <w:pPr>
              <w:jc w:val="center"/>
              <w:ind w:right="440"/>
              <w:spacing w:after="0" w:line="118" w:lineRule="exact"/>
              <w:rPr>
                <w:sz w:val="20"/>
                <w:szCs w:val="20"/>
                <w:color w:val="auto"/>
              </w:rPr>
            </w:pPr>
            <w:r>
              <w:rPr>
                <w:rFonts w:ascii="Times New Roman" w:cs="Times New Roman" w:eastAsia="Times New Roman" w:hAnsi="Times New Roman"/>
                <w:sz w:val="13"/>
                <w:szCs w:val="13"/>
                <w:b w:val="1"/>
                <w:bCs w:val="1"/>
                <w:color w:val="auto"/>
              </w:rPr>
              <w:t>into Income (effective</w:t>
            </w:r>
          </w:p>
        </w:tc>
        <w:tc>
          <w:tcPr>
            <w:tcW w:w="900" w:type="dxa"/>
            <w:vAlign w:val="bottom"/>
            <w:tcBorders>
              <w:top w:val="single" w:sz="8" w:color="auto"/>
            </w:tcBorders>
            <w:gridSpan w:val="3"/>
          </w:tcPr>
          <w:p>
            <w:pPr>
              <w:jc w:val="right"/>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2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center"/>
              <w:ind w:right="2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66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2016</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2015</w:t>
            </w:r>
          </w:p>
        </w:tc>
        <w:tc>
          <w:tcPr>
            <w:tcW w:w="460" w:type="dxa"/>
            <w:vAlign w:val="bottom"/>
          </w:tcPr>
          <w:p>
            <w:pPr>
              <w:spacing w:after="0"/>
              <w:rPr>
                <w:sz w:val="15"/>
                <w:szCs w:val="15"/>
                <w:color w:val="auto"/>
              </w:rPr>
            </w:pPr>
          </w:p>
        </w:tc>
        <w:tc>
          <w:tcPr>
            <w:tcW w:w="192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portion)</w:t>
            </w:r>
          </w:p>
        </w:tc>
        <w:tc>
          <w:tcPr>
            <w:tcW w:w="120" w:type="dxa"/>
            <w:vAlign w:val="bottom"/>
          </w:tcPr>
          <w:p>
            <w:pPr>
              <w:spacing w:after="0"/>
              <w:rPr>
                <w:sz w:val="15"/>
                <w:szCs w:val="15"/>
                <w:color w:val="auto"/>
              </w:rPr>
            </w:pPr>
          </w:p>
        </w:tc>
        <w:tc>
          <w:tcPr>
            <w:tcW w:w="5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2016</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2840" w:type="dxa"/>
            <w:vAlign w:val="bottom"/>
            <w:tcBorders>
              <w:top w:val="single" w:sz="8" w:color="auto"/>
            </w:tcBorders>
          </w:tcPr>
          <w:p>
            <w:pPr>
              <w:spacing w:after="0"/>
              <w:rPr>
                <w:sz w:val="7"/>
                <w:szCs w:val="7"/>
                <w:color w:val="auto"/>
              </w:rPr>
            </w:pPr>
          </w:p>
        </w:tc>
        <w:tc>
          <w:tcPr>
            <w:tcW w:w="180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1460" w:type="dxa"/>
            <w:vAlign w:val="bottom"/>
            <w:tcBorders>
              <w:top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94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Forward starting interest rate swap contract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(4,096)</w:t>
            </w:r>
          </w:p>
        </w:tc>
        <w:tc>
          <w:tcPr>
            <w:tcW w:w="44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(3,015)</w:t>
            </w:r>
          </w:p>
        </w:tc>
        <w:tc>
          <w:tcPr>
            <w:tcW w:w="19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(927)</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94"/>
              </w:rPr>
              <w:t>(4,096</w:t>
            </w:r>
          </w:p>
        </w:tc>
        <w:tc>
          <w:tcPr>
            <w:tcW w:w="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Pr>
          <w:p>
            <w:pPr>
              <w:spacing w:after="0"/>
              <w:rPr>
                <w:sz w:val="19"/>
                <w:szCs w:val="19"/>
                <w:color w:val="auto"/>
              </w:rPr>
            </w:pPr>
          </w:p>
        </w:tc>
        <w:tc>
          <w:tcPr>
            <w:tcW w:w="240" w:type="dxa"/>
            <w:vAlign w:val="bottom"/>
            <w:tcBorders>
              <w:top w:val="single" w:sz="8" w:color="auto"/>
            </w:tcBorders>
          </w:tcPr>
          <w:p>
            <w:pPr>
              <w:jc w:val="right"/>
              <w:ind w:right="6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w w:val="83"/>
              </w:rPr>
              <w:t>(3,015)</w:t>
            </w:r>
          </w:p>
        </w:tc>
        <w:tc>
          <w:tcPr>
            <w:tcW w:w="4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28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As of June 30, 2016, we did not own derivative instruments that were classified as fair value hedges or trading securities. In addition, as of June 30, 2016, we did not own derivative instruments containing credit risk contingencies.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455" w:right="23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Restructuring and Impairment Charges</w:t>
      </w:r>
    </w:p>
    <w:p>
      <w:pPr>
        <w:spacing w:after="0" w:line="121"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Below is a summary of the Wheeling plant impairment and restructuring charges in the Condensed Consolidated Statement of Net Income and Comprehensive Income (Loss) for the three and six months ended June 30, 2016 and 2015 and Condensed Consolidated Balance Sheet as of June 30, 2016 and December 31, 2015:</w:t>
      </w:r>
    </w:p>
    <w:p>
      <w:pPr>
        <w:spacing w:after="0" w:line="18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80" w:type="dxa"/>
            <w:vAlign w:val="bottom"/>
            <w:gridSpan w:val="9"/>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40" w:type="dxa"/>
            <w:vAlign w:val="bottom"/>
            <w:gridSpan w:val="5"/>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3"/>
          </w:tcPr>
          <w:p>
            <w:pPr>
              <w:ind w:left="32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80" w:type="dxa"/>
            <w:vAlign w:val="bottom"/>
          </w:tcPr>
          <w:p>
            <w:pPr>
              <w:spacing w:after="0"/>
              <w:rPr>
                <w:sz w:val="12"/>
                <w:szCs w:val="12"/>
                <w:color w:val="auto"/>
              </w:rPr>
            </w:pPr>
          </w:p>
        </w:tc>
        <w:tc>
          <w:tcPr>
            <w:tcW w:w="400" w:type="dxa"/>
            <w:vAlign w:val="bottom"/>
            <w:gridSpan w:val="2"/>
            <w:vMerge w:val="restart"/>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w w:val="99"/>
              </w:rPr>
              <w:t>2015</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gridSpan w:val="5"/>
          </w:tcPr>
          <w:p>
            <w:pPr>
              <w:jc w:val="right"/>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0" w:type="dxa"/>
            <w:vAlign w:val="bottom"/>
            <w:gridSpan w:val="3"/>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2016</w:t>
            </w: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jc w:val="right"/>
              <w:ind w:right="38"/>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of tangible assets</w:t>
            </w:r>
          </w:p>
        </w:tc>
        <w:tc>
          <w:tcPr>
            <w:tcW w:w="1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4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361</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charges and contract costs</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1,749</w:t>
            </w:r>
          </w:p>
        </w:tc>
        <w:tc>
          <w:tcPr>
            <w:tcW w:w="4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gridSpan w:val="2"/>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and impairment charges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2,077</w:t>
            </w: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gridSpan w:val="2"/>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$ 3,636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2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rPr>
              <w:t>Reserve</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Paid in</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Reserve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gridSpan w:val="2"/>
          </w:tcPr>
          <w:p>
            <w:pPr>
              <w:jc w:val="center"/>
              <w:ind w:right="700"/>
              <w:spacing w:after="0" w:line="149" w:lineRule="exact"/>
              <w:rPr>
                <w:sz w:val="20"/>
                <w:szCs w:val="20"/>
                <w:color w:val="auto"/>
              </w:rPr>
            </w:pPr>
            <w:r>
              <w:rPr>
                <w:rFonts w:ascii="Times New Roman" w:cs="Times New Roman" w:eastAsia="Times New Roman" w:hAnsi="Times New Roman"/>
                <w:sz w:val="14"/>
                <w:szCs w:val="14"/>
                <w:b w:val="1"/>
                <w:bCs w:val="1"/>
                <w:color w:val="auto"/>
              </w:rPr>
              <w:t>Balance at</w:t>
            </w:r>
          </w:p>
        </w:tc>
        <w:tc>
          <w:tcPr>
            <w:tcW w:w="80" w:type="dxa"/>
            <w:vAlign w:val="bottom"/>
          </w:tcPr>
          <w:p>
            <w:pPr>
              <w:spacing w:after="0"/>
              <w:rPr>
                <w:sz w:val="12"/>
                <w:szCs w:val="12"/>
                <w:color w:val="auto"/>
              </w:rPr>
            </w:pPr>
          </w:p>
        </w:tc>
        <w:tc>
          <w:tcPr>
            <w:tcW w:w="94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Charges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3"/>
            <w:vMerge w:val="continue"/>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gridSpan w:val="4"/>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500" w:type="dxa"/>
            <w:vAlign w:val="bottom"/>
          </w:tcPr>
          <w:p>
            <w:pPr>
              <w:spacing w:after="0"/>
              <w:rPr>
                <w:sz w:val="15"/>
                <w:szCs w:val="15"/>
                <w:color w:val="auto"/>
              </w:rPr>
            </w:pPr>
          </w:p>
        </w:tc>
        <w:tc>
          <w:tcPr>
            <w:tcW w:w="16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2015</w:t>
            </w:r>
          </w:p>
        </w:tc>
        <w:tc>
          <w:tcPr>
            <w:tcW w:w="80" w:type="dxa"/>
            <w:vAlign w:val="bottom"/>
          </w:tcPr>
          <w:p>
            <w:pPr>
              <w:spacing w:after="0"/>
              <w:rPr>
                <w:sz w:val="15"/>
                <w:szCs w:val="15"/>
                <w:color w:val="auto"/>
              </w:rPr>
            </w:pPr>
          </w:p>
        </w:tc>
        <w:tc>
          <w:tcPr>
            <w:tcW w:w="940" w:type="dxa"/>
            <w:vAlign w:val="bottom"/>
            <w:gridSpan w:val="4"/>
            <w:vMerge w:val="continue"/>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2016</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June 30 2016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Severance and other employee costs</w:t>
            </w: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5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$(1,298)</w:t>
            </w:r>
          </w:p>
        </w:tc>
        <w:tc>
          <w:tcPr>
            <w:tcW w:w="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Site closure and other associated cost</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1,845</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2,767</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(2,753)</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1,859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2,290</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3,636</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(4,051)</w:t>
            </w:r>
          </w:p>
        </w:tc>
        <w:tc>
          <w:tcPr>
            <w:tcW w:w="6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For the three and six months ended June 30, 2016, the total restructuring and impairment charges of $4.0 million and $6.6 million, respectively, noted in the Statement of Net Income, includes the Wheeling plant closure restructuring and impairment charges amount of $3.6 million in the above.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Impairments of Tangible Assets and Restructuring Activity</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On November 5, 2015, we announced the closure of our Wheeling plant, which is included in the Autocam Precision Components Group. A portion of the sales and productive assets will be relocated to existing plants within the Autocam Precision Components Group. During the three and six months ended June 30, 2016, we accrued a restructuring charge of approximately $1.7 million and $3.3 million related to severance and employees, and $0.3 and $0.4 million in impairments related to assets and inventory at the Wheeling Plant. The premises were vacated during the second quarter of 2016.</w:t>
      </w:r>
    </w:p>
    <w:p>
      <w:pPr>
        <w:spacing w:after="0" w:line="325"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that are made pursuant to the safe harbor provisions of the Private Securities Litigation Reform Act of 1995. These statements may discuss goals, intentions and expectations as to future trends, plans, events, results of operations or financial condition, or state other information relating to us, based on current beliefs of management as well as assumptions made by, and information currently available to, management. Forward-looking statements generally will be accompanied by words such as “anticipate,” “believe,” “could,” “estimate,” “expect,” “forecast,” “guidance,” “intend,” “may,” “possible,” “potential,” “predict,” “project” or other similar words, phrases or expressions. Forward-looking statements involve a number of risks and uncertainties that are outside of our control and that may cause actual results to be materially different from such forward-looking statements. Such factors include, among others, general economic conditions and economic conditions in the industrial sector, competitive influences, risks that current customers will commence or increase captive production, risks of capacity underutilization, quality issues, availability of raw materials, currency and other risks associated with international trade, our dependence on certain major customers, the impact of acquisitions and divestitures, unanticipated difficulties integrating acquisitions, new laws and governmental regulations, and other risk factors and cautionary statements listed from time-to-time in our periodic reports filed with the Securities and Exchange Commission. We disclaim any obligation to update any such factors or to publicly announce the result of any revisions to any of the forward-looking statements included herein or therein to reflect future events or developments.</w:t>
      </w:r>
    </w:p>
    <w:p>
      <w:pPr>
        <w:spacing w:after="0" w:line="18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For additional information concerning such risk factors and cautionary statements, please see the section titled “Item 1A. Risk Factors” in our 2015 Annual Report on Form 10-K for the fiscal year ended December 31, 2015, which we filed with the SEC on March 15, 2016 (the “2015 Annual Report”).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That May Influence Results of Operations</w:t>
      </w:r>
    </w:p>
    <w:p>
      <w:pPr>
        <w:spacing w:after="0" w:line="121"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The following is a description of factors that have influenced our six months ended June 30, 2016 results of operations that we believe are important to provide an understanding of our business and results of operations.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2015 Acquisitions</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2015, we completed the acquisition of Caprock Manufacturing, Inc. and Caprock Enclosures, LLC (collectively, “Caprock”) and Precision Engineered Products Holdings, Inc. (“PEP”). We acquired Caprock on May 29, 2015 and PEP on October 19, 2015. Because these acquisitions occurred one month before and after June 30, 2015, our results of operations for the three and six months ended June 30, 2015 do not include all, if any, of the operations of both acquisitions.</w:t>
      </w:r>
    </w:p>
    <w:p>
      <w:pPr>
        <w:sectPr>
          <w:pgSz w:w="11900" w:h="16838" w:orient="portrait"/>
          <w:cols w:equalWidth="0" w:num="1">
            <w:col w:w="11420"/>
          </w:cols>
          <w:pgMar w:left="240" w:top="455" w:right="239" w:bottom="1440" w:gutter="0" w:footer="0" w:header="0"/>
        </w:sectPr>
      </w:pP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455" w:right="239" w:bottom="1440" w:gutter="0" w:footer="0" w:header="0"/>
          <w:type w:val="continuous"/>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320"/>
        <w:spacing w:after="0" w:line="256" w:lineRule="auto"/>
        <w:rPr>
          <w:sz w:val="20"/>
          <w:szCs w:val="20"/>
          <w:color w:val="auto"/>
        </w:rPr>
      </w:pPr>
      <w:r>
        <w:rPr>
          <w:rFonts w:ascii="Times New Roman" w:cs="Times New Roman" w:eastAsia="Times New Roman" w:hAnsi="Times New Roman"/>
          <w:sz w:val="18"/>
          <w:szCs w:val="18"/>
          <w:color w:val="auto"/>
        </w:rPr>
        <w:t>In an effort to enhance the comparability of the current and prior year periods, we have aggregated into “acquisitions” within each financial line item comparison below for the three and six months ended June 30, 2016, the impacts of the acquisitions completed in 2015 that were not included in the comparative prior year period. The remaining changes relate to the legacy NN businesses. For more information about the 2015 acquisitions including background on the acquired companies, the purchase price allocations and pro forma information, as required, please refer to Note 2 of the Notes to Consolidated Financial Statements included in our 2015 Annual Report on Form 10-K and Note 2 of the Notes to Condensed Consolidated Financial Statements included in this Quarterly Report on Form 10-Q.</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Devaluation of the Euro and Brazilian Real against the U.S. Dollar</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euro devalued against the U.S. dollar beginning in the latter part of the third quarter of 2014 and accelerated during the fourth quarter of 2014 and into the first quarter of 2015. During the six months ended June 30, 2016, the exchange rate from euro to U.S. dollar slightly increased 3%, compared to a 9% decline in value for the same period in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140335</wp:posOffset>
            </wp:positionV>
            <wp:extent cx="4347845" cy="19297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347845" cy="1929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Additionally, the devaluation of the Brazilian real had an impact in comparing Autocam’s sales. During the six months ended June 30, 2016, the exchange rate from the Brazilian real to U.S. dollar increased by 11%, compared to a 16% decline in value for the same period in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1488440</wp:posOffset>
            </wp:positionH>
            <wp:positionV relativeFrom="paragraph">
              <wp:posOffset>131445</wp:posOffset>
            </wp:positionV>
            <wp:extent cx="4288155" cy="18180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288155" cy="1818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euro and real translation impact, and the translation impact of other currencies, is highlighted below as “foreign exchange effects”.</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60"/>
          </w:cols>
          <w:pgMar w:left="240" w:top="455" w:right="49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OVERALL RESULTS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June 30, 2016 Compared to the Three Months Ended June 30, 2015</w:t>
      </w:r>
    </w:p>
    <w:p>
      <w:pPr>
        <w:spacing w:after="0" w:line="23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60" w:type="dxa"/>
            <w:vAlign w:val="bottom"/>
            <w:gridSpan w:val="6"/>
          </w:tcPr>
          <w:p>
            <w:pPr>
              <w:jc w:val="right"/>
              <w:ind w:right="1300"/>
              <w:spacing w:after="0"/>
              <w:rPr>
                <w:sz w:val="20"/>
                <w:szCs w:val="20"/>
                <w:color w:val="auto"/>
              </w:rPr>
            </w:pPr>
            <w:r>
              <w:rPr>
                <w:rFonts w:ascii="Times New Roman" w:cs="Times New Roman" w:eastAsia="Times New Roman" w:hAnsi="Times New Roman"/>
                <w:sz w:val="14"/>
                <w:szCs w:val="14"/>
                <w:b w:val="1"/>
                <w:bCs w:val="1"/>
                <w:color w:val="auto"/>
              </w:rPr>
              <w:t>Consolidated NN, Inc.</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980" w:type="dxa"/>
            <w:vAlign w:val="bottom"/>
            <w:gridSpan w:val="8"/>
          </w:tcPr>
          <w:p>
            <w:pPr>
              <w:jc w:val="right"/>
              <w:ind w:right="10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560" w:type="dxa"/>
            <w:vAlign w:val="bottom"/>
            <w:tcBorders>
              <w:top w:val="single" w:sz="8" w:color="auto"/>
            </w:tcBorders>
            <w:gridSpan w:val="2"/>
          </w:tcPr>
          <w:p>
            <w:pPr>
              <w:jc w:val="right"/>
              <w:ind w:right="94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214,272</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164,856</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$49,416</w:t>
            </w:r>
          </w:p>
        </w:tc>
        <w:tc>
          <w:tcPr>
            <w:tcW w:w="9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Acquisitions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i w:val="1"/>
                <w:iCs w:val="1"/>
                <w:color w:val="auto"/>
              </w:rPr>
              <w:t>60,085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i w:val="1"/>
                <w:iCs w:val="1"/>
                <w:color w:val="auto"/>
              </w:rPr>
              <w:t>Foreign exchange effects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i w:val="1"/>
                <w:iCs w:val="1"/>
                <w:color w:val="auto"/>
              </w:rPr>
              <w:t>(546)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Sale of a plant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i w:val="1"/>
                <w:iCs w:val="1"/>
                <w:color w:val="auto"/>
              </w:rPr>
              <w:t>(2,317)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i w:val="1"/>
                <w:iCs w:val="1"/>
                <w:color w:val="auto"/>
              </w:rPr>
              <w:t>Volume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i w:val="1"/>
                <w:iCs w:val="1"/>
                <w:color w:val="auto"/>
              </w:rPr>
              <w:t>(4,104)</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64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Price/material infation pass-through/mix</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i w:val="1"/>
                <w:iCs w:val="1"/>
                <w:color w:val="auto"/>
              </w:rPr>
              <w:t>(3,702)</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66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66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Cost of products sold (exclusive of depreciation and amortization shown separately</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99"/>
              </w:rPr>
              <w:t>156,794</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9"/>
              </w:rPr>
              <w:t>128,708</w:t>
            </w:r>
          </w:p>
        </w:tc>
        <w:tc>
          <w:tcPr>
            <w:tcW w:w="1760" w:type="dxa"/>
            <w:vAlign w:val="bottom"/>
            <w:gridSpan w:val="3"/>
            <w:vMerge w:val="restart"/>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28,086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below)</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2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gridSpan w:val="2"/>
            <w:vMerge w:val="continue"/>
            <w:shd w:val="clear" w:color="auto" w:fill="CCEEFF"/>
          </w:tcPr>
          <w:p>
            <w:pPr>
              <w:spacing w:after="0"/>
              <w:rPr>
                <w:sz w:val="20"/>
                <w:szCs w:val="20"/>
                <w:color w:val="auto"/>
              </w:rPr>
            </w:pPr>
          </w:p>
        </w:tc>
        <w:tc>
          <w:tcPr>
            <w:tcW w:w="1760" w:type="dxa"/>
            <w:vAlign w:val="bottom"/>
            <w:gridSpan w:val="3"/>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Acquisitions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i w:val="1"/>
                <w:iCs w:val="1"/>
                <w:color w:val="auto"/>
              </w:rPr>
              <w:t>38,089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i w:val="1"/>
                <w:iCs w:val="1"/>
                <w:color w:val="auto"/>
              </w:rPr>
              <w:t>Foreign exchange effects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i w:val="1"/>
                <w:iCs w:val="1"/>
                <w:color w:val="auto"/>
              </w:rPr>
              <w:t>(512)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Sale of a plant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i w:val="1"/>
                <w:iCs w:val="1"/>
                <w:color w:val="auto"/>
              </w:rPr>
              <w:t>(1,796)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i w:val="1"/>
                <w:iCs w:val="1"/>
                <w:color w:val="auto"/>
              </w:rPr>
              <w:t>Volume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i w:val="1"/>
                <w:iCs w:val="1"/>
                <w:color w:val="auto"/>
              </w:rPr>
              <w:t>(2,785)</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64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Cost reduction projects and other cost changes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i w:val="1"/>
                <w:iCs w:val="1"/>
                <w:color w:val="auto"/>
              </w:rPr>
              <w:t>(4,910)</w:t>
            </w:r>
          </w:p>
        </w:tc>
        <w:tc>
          <w:tcPr>
            <w:tcW w:w="0" w:type="dxa"/>
            <w:vAlign w:val="bottom"/>
          </w:tcPr>
          <w:p>
            <w:pPr>
              <w:spacing w:after="0"/>
              <w:rPr>
                <w:sz w:val="1"/>
                <w:szCs w:val="1"/>
                <w:color w:val="auto"/>
              </w:rPr>
            </w:pPr>
          </w:p>
        </w:tc>
      </w:tr>
      <w:tr>
        <w:trPr>
          <w:trHeight w:val="101"/>
        </w:trPr>
        <w:tc>
          <w:tcPr>
            <w:tcW w:w="20" w:type="dxa"/>
            <w:vAlign w:val="bottom"/>
            <w:vMerge w:val="restart"/>
          </w:tcPr>
          <w:p>
            <w:pPr>
              <w:spacing w:after="0"/>
              <w:rPr>
                <w:sz w:val="8"/>
                <w:szCs w:val="8"/>
                <w:color w:val="auto"/>
              </w:rPr>
            </w:pPr>
          </w:p>
        </w:tc>
        <w:tc>
          <w:tcPr>
            <w:tcW w:w="6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21,592</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13,962</w:t>
            </w:r>
          </w:p>
        </w:tc>
        <w:tc>
          <w:tcPr>
            <w:tcW w:w="1760" w:type="dxa"/>
            <w:vAlign w:val="bottom"/>
            <w:gridSpan w:val="3"/>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7,630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Acquisitions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i w:val="1"/>
                <w:iCs w:val="1"/>
                <w:color w:val="auto"/>
              </w:rPr>
              <w:t>4,570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i w:val="1"/>
                <w:iCs w:val="1"/>
                <w:color w:val="auto"/>
              </w:rPr>
              <w:t>Foreign exchange effects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i w:val="1"/>
                <w:iCs w:val="1"/>
                <w:color w:val="auto"/>
              </w:rPr>
              <w:t>(45)</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64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Infrastructure and staffing costs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i w:val="1"/>
                <w:iCs w:val="1"/>
                <w:color w:val="auto"/>
              </w:rPr>
              <w:t>3,105</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66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15,136</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8,597</w:t>
            </w:r>
          </w:p>
        </w:tc>
        <w:tc>
          <w:tcPr>
            <w:tcW w:w="1760" w:type="dxa"/>
            <w:vAlign w:val="bottom"/>
            <w:gridSpan w:val="3"/>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6,539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Acquisitions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i w:val="1"/>
                <w:iCs w:val="1"/>
                <w:color w:val="auto"/>
              </w:rPr>
              <w:t>6,065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i w:val="1"/>
                <w:iCs w:val="1"/>
                <w:color w:val="auto"/>
              </w:rPr>
              <w:t>Foreign exchange effects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6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i w:val="1"/>
                <w:iCs w:val="1"/>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Increase in expense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i w:val="1"/>
                <w:iCs w:val="1"/>
                <w:color w:val="auto"/>
              </w:rPr>
              <w:t>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and impairment charges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4,047</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1760" w:type="dxa"/>
            <w:vAlign w:val="bottom"/>
            <w:gridSpan w:val="3"/>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4,047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16,703</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13,589</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3,114</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16,165</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6,021</w:t>
            </w:r>
          </w:p>
        </w:tc>
        <w:tc>
          <w:tcPr>
            <w:tcW w:w="1760" w:type="dxa"/>
            <w:vAlign w:val="bottom"/>
            <w:gridSpan w:val="3"/>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10,144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(824)</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19</w:t>
            </w:r>
          </w:p>
        </w:tc>
        <w:tc>
          <w:tcPr>
            <w:tcW w:w="1760" w:type="dxa"/>
            <w:vAlign w:val="bottom"/>
            <w:gridSpan w:val="3"/>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(843)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provision for income taxes and share of net income from joint venture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1,362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7,549</w:t>
            </w:r>
          </w:p>
        </w:tc>
        <w:tc>
          <w:tcPr>
            <w:tcW w:w="1760" w:type="dxa"/>
            <w:vAlign w:val="bottom"/>
            <w:gridSpan w:val="3"/>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(6,187)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674</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1,617</w:t>
            </w:r>
          </w:p>
        </w:tc>
        <w:tc>
          <w:tcPr>
            <w:tcW w:w="1760" w:type="dxa"/>
            <w:vAlign w:val="bottom"/>
            <w:gridSpan w:val="3"/>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(943)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of net income from joint venture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1,343</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1,021</w:t>
            </w:r>
          </w:p>
        </w:tc>
        <w:tc>
          <w:tcPr>
            <w:tcW w:w="1760" w:type="dxa"/>
            <w:vAlign w:val="bottom"/>
            <w:gridSpan w:val="3"/>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322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2,031</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6,953</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 (4,922</w:t>
            </w:r>
          </w:p>
        </w:tc>
        <w:tc>
          <w:tcPr>
            <w:tcW w:w="960" w:type="dxa"/>
            <w:vAlign w:val="bottom"/>
          </w:tcPr>
          <w:p>
            <w:pPr>
              <w:jc w:val="right"/>
              <w:ind w:right="8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right="28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Net Sales. </w:t>
      </w:r>
      <w:r>
        <w:rPr>
          <w:rFonts w:ascii="Times New Roman" w:cs="Times New Roman" w:eastAsia="Times New Roman" w:hAnsi="Times New Roman"/>
          <w:sz w:val="18"/>
          <w:szCs w:val="18"/>
          <w:color w:val="auto"/>
        </w:rPr>
        <w:t>Net sales increased during the second quarter of 2016 from the second quarter of 2015 due to sales from the acquired companies. The second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quarter of 2016 included the net sales of the PEP and Caprock acquisitions, whereas net sales for the second quarter of 2015 included net sales of Caprock (which closed prior to the end of the second quarter 2015) but did not include net sales of PEP (which closed after the second quarter of 2015). Partially offsetting these increases was the impact of devaluation of the euro and other currency denominated sales, as discussed above. Additionally, we had lower sales prices, changes in product mix, and volumes. These decreases in volume relate to global industrial weakness.</w:t>
      </w:r>
    </w:p>
    <w:p>
      <w:pPr>
        <w:spacing w:after="0" w:line="180"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Cost of Products Sold (exclusive of depreciation and amortization shown separately below). </w:t>
      </w:r>
      <w:r>
        <w:rPr>
          <w:rFonts w:ascii="Times New Roman" w:cs="Times New Roman" w:eastAsia="Times New Roman" w:hAnsi="Times New Roman"/>
          <w:sz w:val="18"/>
          <w:szCs w:val="18"/>
          <w:color w:val="auto"/>
        </w:rPr>
        <w:t>Cost of products sold was primarily impacted by the addition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production costs from the companies acquired 2015, as discussed above. Partially offsetting these increases was the impact of the devaluation of the euro and other currency denominated costs, as discussed above. Additionally, the increases were partially offset by cost savings from production process improvement projects.</w:t>
      </w:r>
    </w:p>
    <w:p>
      <w:pPr>
        <w:spacing w:after="0" w:line="180" w:lineRule="exact"/>
        <w:rPr>
          <w:sz w:val="20"/>
          <w:szCs w:val="20"/>
          <w:color w:val="auto"/>
        </w:rPr>
      </w:pPr>
    </w:p>
    <w:p>
      <w:pPr>
        <w:ind w:right="1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w:t>
      </w:r>
      <w:r>
        <w:rPr>
          <w:rFonts w:ascii="Times New Roman" w:cs="Times New Roman" w:eastAsia="Times New Roman" w:hAnsi="Times New Roman"/>
          <w:sz w:val="18"/>
          <w:szCs w:val="18"/>
          <w:color w:val="auto"/>
        </w:rPr>
        <w:t>The majority of the increase during 2016 was due to the selling, general and administrative costs carried over from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companies acquired in 2015. Additional administrative costs were incurred on infrastructure and staffing costs related to our strategic initiatives.</w:t>
      </w:r>
    </w:p>
    <w:p>
      <w:pPr>
        <w:spacing w:after="0" w:line="158"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The increase in 2016 was due to depreciation and amortization from the acquisitions in 2015. This additional depreciation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amortization includes the related step-ups of certain property, plant and equipment to fair value and the addition of intangible assets principally for customer relationships and trade names related to the purchase price allocation of the new acquisitions.</w:t>
      </w:r>
    </w:p>
    <w:p>
      <w:pPr>
        <w:spacing w:after="0" w:line="174" w:lineRule="exact"/>
        <w:rPr>
          <w:sz w:val="20"/>
          <w:szCs w:val="20"/>
          <w:color w:val="auto"/>
        </w:rPr>
      </w:pPr>
    </w:p>
    <w:p>
      <w:pPr>
        <w:ind w:right="3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Interest expense increased $10.1 million due to higher overall debt levels in the second quarter of 2016 and related amortization of debt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issuance costs, primarily related to acquisitions.</w:t>
      </w:r>
    </w:p>
    <w:p>
      <w:pPr>
        <w:sectPr>
          <w:pgSz w:w="11900" w:h="16838" w:orient="portrait"/>
          <w:cols w:equalWidth="0" w:num="1">
            <w:col w:w="11400"/>
          </w:cols>
          <w:pgMar w:left="240" w:top="455" w:right="259" w:bottom="1440" w:gutter="0" w:footer="0" w:header="0"/>
        </w:sectPr>
      </w:pP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00"/>
          </w:cols>
          <w:pgMar w:left="240" w:top="455" w:right="259" w:bottom="1440" w:gutter="0" w:footer="0" w:header="0"/>
          <w:type w:val="continuous"/>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tbl>
      <w:tblPr>
        <w:tblLayout w:type="fixed"/>
        <w:tblInd w:w="1380" w:type="dxa"/>
        <w:tblCellMar>
          <w:top w:w="0" w:type="dxa"/>
          <w:left w:w="0" w:type="dxa"/>
          <w:bottom w:w="0" w:type="dxa"/>
          <w:right w:w="0" w:type="dxa"/>
        </w:tblCellMar>
      </w:tblPr>
      <w:tr>
        <w:trPr>
          <w:trHeight w:val="173"/>
        </w:trPr>
        <w:tc>
          <w:tcPr>
            <w:tcW w:w="64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Source</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20" w:type="dxa"/>
            <w:vAlign w:val="bottom"/>
            <w:gridSpan w:val="6"/>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0" w:type="dxa"/>
            <w:vAlign w:val="bottom"/>
          </w:tcPr>
          <w:p>
            <w:pPr>
              <w:spacing w:after="0"/>
              <w:rPr>
                <w:sz w:val="1"/>
                <w:szCs w:val="1"/>
                <w:color w:val="auto"/>
              </w:rPr>
            </w:pPr>
          </w:p>
        </w:tc>
      </w:tr>
      <w:tr>
        <w:trPr>
          <w:trHeight w:val="142"/>
        </w:trPr>
        <w:tc>
          <w:tcPr>
            <w:tcW w:w="64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3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74"/>
              </w:rPr>
              <w:t>Interest</w:t>
            </w:r>
          </w:p>
        </w:tc>
        <w:tc>
          <w:tcPr>
            <w:tcW w:w="6020" w:type="dxa"/>
            <w:vAlign w:val="bottom"/>
            <w:tcBorders>
              <w:top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on debt</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14,775</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rate swaps settlements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 lease interest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interest (1)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(401)</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(313)</w:t>
            </w:r>
          </w:p>
        </w:tc>
        <w:tc>
          <w:tcPr>
            <w:tcW w:w="0" w:type="dxa"/>
            <w:vAlign w:val="bottom"/>
          </w:tcPr>
          <w:p>
            <w:pPr>
              <w:spacing w:after="0"/>
              <w:rPr>
                <w:sz w:val="1"/>
                <w:szCs w:val="1"/>
                <w:color w:val="auto"/>
              </w:rPr>
            </w:pPr>
          </w:p>
        </w:tc>
      </w:tr>
      <w:tr>
        <w:trPr>
          <w:trHeight w:val="223"/>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interest expense</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16,165</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4" w:lineRule="exact"/>
        <w:rPr>
          <w:sz w:val="20"/>
          <w:szCs w:val="20"/>
          <w:color w:val="auto"/>
        </w:rPr>
      </w:pPr>
    </w:p>
    <w:p>
      <w:pPr>
        <w:ind w:left="460" w:hanging="452"/>
        <w:spacing w:after="0"/>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Capitalized interest primarily relates to the equipment construction efforts at the various plants.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BY SEGMENT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PRECISION BEARING COMPONENTS GROUP</w:t>
      </w:r>
    </w:p>
    <w:p>
      <w:pPr>
        <w:spacing w:after="0" w:line="250"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980" w:type="dxa"/>
            <w:vAlign w:val="bottom"/>
            <w:gridSpan w:val="8"/>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3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gridSpan w:val="2"/>
          </w:tcPr>
          <w:p>
            <w:pPr>
              <w:jc w:val="right"/>
              <w:ind w:right="98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690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65,157</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6"/>
              </w:rPr>
              <w:t>69,261</w:t>
            </w:r>
          </w:p>
        </w:tc>
        <w:tc>
          <w:tcPr>
            <w:tcW w:w="1700" w:type="dxa"/>
            <w:vAlign w:val="bottom"/>
            <w:gridSpan w:val="3"/>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$(4,104)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Foreign exchange effects</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i w:val="1"/>
                <w:iCs w:val="1"/>
                <w:color w:val="auto"/>
              </w:rPr>
              <w:t>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i w:val="1"/>
                <w:iCs w:val="1"/>
                <w:color w:val="auto"/>
              </w:rPr>
              <w:t>Product mix</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i w:val="1"/>
                <w:iCs w:val="1"/>
                <w:color w:val="auto"/>
              </w:rPr>
              <w:t>(1,328)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Volume</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i w:val="1"/>
                <w:iCs w:val="1"/>
                <w:color w:val="auto"/>
              </w:rPr>
              <w:t>(2,369)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i w:val="1"/>
                <w:iCs w:val="1"/>
                <w:color w:val="auto"/>
              </w:rPr>
              <w:t>Other</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i w:val="1"/>
                <w:iCs w:val="1"/>
                <w:color w:val="auto"/>
              </w:rPr>
              <w:t>(826)</w:t>
            </w:r>
          </w:p>
        </w:tc>
        <w:tc>
          <w:tcPr>
            <w:tcW w:w="0" w:type="dxa"/>
            <w:vAlign w:val="bottom"/>
          </w:tcPr>
          <w:p>
            <w:pPr>
              <w:spacing w:after="0"/>
              <w:rPr>
                <w:sz w:val="1"/>
                <w:szCs w:val="1"/>
                <w:color w:val="auto"/>
              </w:rPr>
            </w:pPr>
          </w:p>
        </w:tc>
      </w:tr>
      <w:tr>
        <w:trPr>
          <w:trHeight w:val="324"/>
        </w:trPr>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6,474</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9,403</w:t>
            </w:r>
          </w:p>
        </w:tc>
        <w:tc>
          <w:tcPr>
            <w:tcW w:w="200" w:type="dxa"/>
            <w:vAlign w:val="bottom"/>
          </w:tcPr>
          <w:p>
            <w:pPr>
              <w:spacing w:after="0"/>
              <w:rPr>
                <w:sz w:val="24"/>
                <w:szCs w:val="24"/>
                <w:color w:val="auto"/>
              </w:rPr>
            </w:pPr>
          </w:p>
        </w:tc>
        <w:tc>
          <w:tcPr>
            <w:tcW w:w="1700" w:type="dxa"/>
            <w:vAlign w:val="bottom"/>
            <w:gridSpan w:val="3"/>
          </w:tcPr>
          <w:p>
            <w:pPr>
              <w:jc w:val="right"/>
              <w:ind w:right="8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(2,929)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Net sales decreased during the second quarter of 2016 from the second quarter of 2015 principally due to lower volumes and changes to product mix. The lower volumes were primarily due to global industrial market weakness and declines in heavy truck demand.</w:t>
      </w:r>
    </w:p>
    <w:p>
      <w:pPr>
        <w:spacing w:after="0" w:line="16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decrease in income from operations was consistent with the decrease in net sales, except for additional restructuring charges of $1.6 million related to planned personnel reductions.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AUTOCAM PRECISION COMPONENTS GROUP</w:t>
      </w:r>
    </w:p>
    <w:p>
      <w:pPr>
        <w:spacing w:after="0" w:line="250"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980" w:type="dxa"/>
            <w:vAlign w:val="bottom"/>
            <w:gridSpan w:val="8"/>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3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gridSpan w:val="2"/>
          </w:tcPr>
          <w:p>
            <w:pPr>
              <w:jc w:val="right"/>
              <w:ind w:right="98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690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82,991</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6"/>
              </w:rPr>
              <w:t>86,471</w:t>
            </w:r>
          </w:p>
        </w:tc>
        <w:tc>
          <w:tcPr>
            <w:tcW w:w="1700" w:type="dxa"/>
            <w:vAlign w:val="bottom"/>
            <w:gridSpan w:val="3"/>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$(3,480)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Foreign exchange effects</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i w:val="1"/>
                <w:iCs w:val="1"/>
                <w:color w:val="auto"/>
              </w:rPr>
              <w:t>(965)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i w:val="1"/>
                <w:iCs w:val="1"/>
                <w:color w:val="auto"/>
              </w:rPr>
              <w:t>Price</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i w:val="1"/>
                <w:iCs w:val="1"/>
                <w:color w:val="auto"/>
              </w:rPr>
              <w:t>(1,506)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Volume</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i w:val="1"/>
                <w:iCs w:val="1"/>
                <w:color w:val="auto"/>
              </w:rPr>
              <w:t>(1,006)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i w:val="1"/>
                <w:iCs w:val="1"/>
                <w:color w:val="auto"/>
              </w:rPr>
              <w:t>Other</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i w:val="1"/>
                <w:iCs w:val="1"/>
                <w:color w:val="auto"/>
              </w:rPr>
              <w:t>(3)</w:t>
            </w:r>
          </w:p>
        </w:tc>
        <w:tc>
          <w:tcPr>
            <w:tcW w:w="0" w:type="dxa"/>
            <w:vAlign w:val="bottom"/>
          </w:tcPr>
          <w:p>
            <w:pPr>
              <w:spacing w:after="0"/>
              <w:rPr>
                <w:sz w:val="1"/>
                <w:szCs w:val="1"/>
                <w:color w:val="auto"/>
              </w:rPr>
            </w:pPr>
          </w:p>
        </w:tc>
      </w:tr>
      <w:tr>
        <w:trPr>
          <w:trHeight w:val="324"/>
        </w:trPr>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7,770</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9,095</w:t>
            </w:r>
          </w:p>
        </w:tc>
        <w:tc>
          <w:tcPr>
            <w:tcW w:w="200" w:type="dxa"/>
            <w:vAlign w:val="bottom"/>
          </w:tcPr>
          <w:p>
            <w:pPr>
              <w:spacing w:after="0"/>
              <w:rPr>
                <w:sz w:val="24"/>
                <w:szCs w:val="24"/>
                <w:color w:val="auto"/>
              </w:rPr>
            </w:pPr>
          </w:p>
        </w:tc>
        <w:tc>
          <w:tcPr>
            <w:tcW w:w="1700" w:type="dxa"/>
            <w:vAlign w:val="bottom"/>
            <w:gridSpan w:val="3"/>
          </w:tcPr>
          <w:p>
            <w:pPr>
              <w:jc w:val="right"/>
              <w:ind w:right="8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(1,325)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in net sales in the second quarter of 2016 were due to industrial market weakness and lower demand with those customers.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Income from operations decreased primarily due to restructuring charges of $2.1 million related to our Wheeling plant closure and the aforementioned sales reductions. These reductions were partially offset by cost savings from production process improvement projects.</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40"/>
          </w:cols>
          <w:pgMar w:left="240" w:top="455" w:right="41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PRECISION ENGINEERED PRODUCTS GROUP</w:t>
      </w:r>
    </w:p>
    <w:p>
      <w:pPr>
        <w:spacing w:after="0" w:line="250"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9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920" w:type="dxa"/>
            <w:vAlign w:val="bottom"/>
            <w:gridSpan w:val="7"/>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60" w:type="dxa"/>
            <w:vAlign w:val="bottom"/>
          </w:tcPr>
          <w:p>
            <w:pPr>
              <w:spacing w:after="0"/>
              <w:rPr>
                <w:sz w:val="12"/>
                <w:szCs w:val="12"/>
                <w:color w:val="auto"/>
              </w:rPr>
            </w:pPr>
          </w:p>
        </w:tc>
        <w:tc>
          <w:tcPr>
            <w:tcW w:w="6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3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6"/>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2015</w:t>
            </w:r>
          </w:p>
        </w:tc>
        <w:tc>
          <w:tcPr>
            <w:tcW w:w="40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gridSpan w:val="2"/>
          </w:tcPr>
          <w:p>
            <w:pPr>
              <w:jc w:val="right"/>
              <w:ind w:right="102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696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9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$66,124</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w w:val="93"/>
              </w:rPr>
              <w:t>9,124</w:t>
            </w:r>
          </w:p>
        </w:tc>
        <w:tc>
          <w:tcPr>
            <w:tcW w:w="1540" w:type="dxa"/>
            <w:vAlign w:val="bottom"/>
            <w:gridSpan w:val="2"/>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color w:val="auto"/>
                <w:w w:val="95"/>
              </w:rPr>
              <w:t>$57,000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PEP Acquisition</w:t>
            </w: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i w:val="1"/>
                <w:iCs w:val="1"/>
                <w:color w:val="auto"/>
              </w:rPr>
              <w:t>58,432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i w:val="1"/>
                <w:iCs w:val="1"/>
                <w:color w:val="auto"/>
              </w:rPr>
              <w:t>Caprock Acquisition</w:t>
            </w: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i w:val="1"/>
                <w:iCs w:val="1"/>
                <w:color w:val="auto"/>
              </w:rPr>
              <w:t>1,653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Sale of a Delta plant</w:t>
            </w: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i w:val="1"/>
                <w:iCs w:val="1"/>
                <w:color w:val="auto"/>
              </w:rPr>
              <w:t>(2,317)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i w:val="1"/>
                <w:iCs w:val="1"/>
                <w:color w:val="auto"/>
              </w:rPr>
              <w:t>Volume</w:t>
            </w:r>
          </w:p>
        </w:tc>
        <w:tc>
          <w:tcPr>
            <w:tcW w:w="6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i w:val="1"/>
                <w:iCs w:val="1"/>
                <w:color w:val="auto"/>
              </w:rPr>
              <w:t>(786)</w:t>
            </w:r>
          </w:p>
        </w:tc>
        <w:tc>
          <w:tcPr>
            <w:tcW w:w="0" w:type="dxa"/>
            <w:vAlign w:val="bottom"/>
          </w:tcPr>
          <w:p>
            <w:pPr>
              <w:spacing w:after="0"/>
              <w:rPr>
                <w:sz w:val="1"/>
                <w:szCs w:val="1"/>
                <w:color w:val="auto"/>
              </w:rPr>
            </w:pPr>
          </w:p>
        </w:tc>
      </w:tr>
      <w:tr>
        <w:trPr>
          <w:trHeight w:val="324"/>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10,782</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501</w:t>
            </w:r>
          </w:p>
        </w:tc>
        <w:tc>
          <w:tcPr>
            <w:tcW w:w="1540" w:type="dxa"/>
            <w:vAlign w:val="bottom"/>
            <w:gridSpan w:val="2"/>
          </w:tcPr>
          <w:p>
            <w:pPr>
              <w:jc w:val="right"/>
              <w:ind w:right="960"/>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10,281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increase in net sales and income from operations was due primarily to the PEP Acquisition, offset by the sale of Delta Rubber in the fourth quarter of 2015.</w:t>
      </w:r>
    </w:p>
    <w:p>
      <w:pPr>
        <w:spacing w:after="0" w:line="94"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80"/>
          </w:cols>
          <w:pgMar w:left="240" w:top="455" w:right="57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Six Months Ended June 30, 2016 Compared to the Six Months Ended June 30, 2015</w:t>
      </w:r>
    </w:p>
    <w:p>
      <w:pPr>
        <w:spacing w:after="0" w:line="23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0" w:type="dxa"/>
            <w:vAlign w:val="bottom"/>
            <w:gridSpan w:val="6"/>
          </w:tcPr>
          <w:p>
            <w:pPr>
              <w:jc w:val="right"/>
              <w:ind w:right="1360"/>
              <w:spacing w:after="0"/>
              <w:rPr>
                <w:sz w:val="20"/>
                <w:szCs w:val="20"/>
                <w:color w:val="auto"/>
              </w:rPr>
            </w:pPr>
            <w:r>
              <w:rPr>
                <w:rFonts w:ascii="Times New Roman" w:cs="Times New Roman" w:eastAsia="Times New Roman" w:hAnsi="Times New Roman"/>
                <w:sz w:val="14"/>
                <w:szCs w:val="14"/>
                <w:b w:val="1"/>
                <w:bCs w:val="1"/>
                <w:color w:val="auto"/>
              </w:rPr>
              <w:t>Consolidated NN, Inc.</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8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700" w:type="dxa"/>
            <w:vAlign w:val="bottom"/>
            <w:tcBorders>
              <w:top w:val="single" w:sz="8" w:color="auto"/>
            </w:tcBorders>
            <w:gridSpan w:val="2"/>
          </w:tcPr>
          <w:p>
            <w:pPr>
              <w:jc w:val="right"/>
              <w:ind w:right="106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426,498</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328,601</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$ 97,897</w:t>
            </w:r>
          </w:p>
        </w:tc>
        <w:tc>
          <w:tcPr>
            <w:tcW w:w="10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Acquisitions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i w:val="1"/>
                <w:iCs w:val="1"/>
                <w:color w:val="auto"/>
              </w:rPr>
              <w:t>116,257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i w:val="1"/>
                <w:iCs w:val="1"/>
                <w:color w:val="auto"/>
              </w:rPr>
              <w:t>Foreign exchange effects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i w:val="1"/>
                <w:iCs w:val="1"/>
                <w:color w:val="auto"/>
              </w:rPr>
              <w:t>(4,273)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Sale of a plant</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i w:val="1"/>
                <w:iCs w:val="1"/>
                <w:color w:val="auto"/>
              </w:rPr>
              <w:t>(4,643)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i w:val="1"/>
                <w:iCs w:val="1"/>
                <w:color w:val="auto"/>
              </w:rPr>
              <w:t>Volume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i w:val="1"/>
                <w:iCs w:val="1"/>
                <w:color w:val="auto"/>
              </w:rPr>
              <w:t>(2,564)</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50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Price/material infation pass-through/mix</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i w:val="1"/>
                <w:iCs w:val="1"/>
                <w:color w:val="auto"/>
              </w:rPr>
              <w:t>(6,880)</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6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65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Cost of products sold (exclusive of depreciation and amortization shown separately</w:t>
            </w:r>
          </w:p>
        </w:tc>
        <w:tc>
          <w:tcPr>
            <w:tcW w:w="100" w:type="dxa"/>
            <w:vAlign w:val="bottom"/>
            <w:shd w:val="clear" w:color="auto" w:fill="CCEEFF"/>
          </w:tcPr>
          <w:p>
            <w:pPr>
              <w:spacing w:after="0"/>
              <w:rPr>
                <w:sz w:val="17"/>
                <w:szCs w:val="17"/>
                <w:color w:val="auto"/>
              </w:rPr>
            </w:pPr>
          </w:p>
        </w:tc>
        <w:tc>
          <w:tcPr>
            <w:tcW w:w="60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95"/>
              </w:rPr>
              <w:t>316,548</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258,025</w:t>
            </w:r>
          </w:p>
        </w:tc>
        <w:tc>
          <w:tcPr>
            <w:tcW w:w="200" w:type="dxa"/>
            <w:vAlign w:val="bottom"/>
            <w:shd w:val="clear" w:color="auto" w:fill="CCEEFF"/>
          </w:tcPr>
          <w:p>
            <w:pPr>
              <w:spacing w:after="0"/>
              <w:rPr>
                <w:sz w:val="17"/>
                <w:szCs w:val="17"/>
                <w:color w:val="auto"/>
              </w:rPr>
            </w:pPr>
          </w:p>
        </w:tc>
        <w:tc>
          <w:tcPr>
            <w:tcW w:w="1900" w:type="dxa"/>
            <w:vAlign w:val="bottom"/>
            <w:gridSpan w:val="3"/>
            <w:vMerge w:val="restart"/>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b w:val="1"/>
                <w:bCs w:val="1"/>
                <w:color w:val="auto"/>
              </w:rPr>
              <w:t>58,523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5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below)</w:t>
            </w:r>
          </w:p>
        </w:tc>
        <w:tc>
          <w:tcPr>
            <w:tcW w:w="100" w:type="dxa"/>
            <w:vAlign w:val="bottom"/>
            <w:shd w:val="clear" w:color="auto" w:fill="CCEEFF"/>
          </w:tcPr>
          <w:p>
            <w:pPr>
              <w:spacing w:after="0"/>
              <w:rPr>
                <w:sz w:val="20"/>
                <w:szCs w:val="20"/>
                <w:color w:val="auto"/>
              </w:rPr>
            </w:pPr>
          </w:p>
        </w:tc>
        <w:tc>
          <w:tcPr>
            <w:tcW w:w="600" w:type="dxa"/>
            <w:vAlign w:val="bottom"/>
            <w:gridSpan w:val="2"/>
            <w:vMerge w:val="continue"/>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vMerge w:val="continue"/>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900" w:type="dxa"/>
            <w:vAlign w:val="bottom"/>
            <w:gridSpan w:val="3"/>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Acquisitions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i w:val="1"/>
                <w:iCs w:val="1"/>
                <w:color w:val="auto"/>
              </w:rPr>
              <w:t>74,508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i w:val="1"/>
                <w:iCs w:val="1"/>
                <w:color w:val="auto"/>
              </w:rPr>
              <w:t>Foreign exchange effects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i w:val="1"/>
                <w:iCs w:val="1"/>
                <w:color w:val="auto"/>
              </w:rPr>
              <w:t>(3,559)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Sale of a plant</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i w:val="1"/>
                <w:iCs w:val="1"/>
                <w:color w:val="auto"/>
              </w:rPr>
              <w:t>(3,592)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i w:val="1"/>
                <w:iCs w:val="1"/>
                <w:color w:val="auto"/>
              </w:rPr>
              <w:t>Cost reduction projects and other cost changes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i w:val="1"/>
                <w:iCs w:val="1"/>
                <w:color w:val="auto"/>
              </w:rPr>
              <w:t>(7,646)</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50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Volume</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i w:val="1"/>
                <w:iCs w:val="1"/>
                <w:color w:val="auto"/>
              </w:rPr>
              <w:t>(1,188)</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6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42,304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25,961</w:t>
            </w:r>
          </w:p>
        </w:tc>
        <w:tc>
          <w:tcPr>
            <w:tcW w:w="1900" w:type="dxa"/>
            <w:vAlign w:val="bottom"/>
            <w:gridSpan w:val="3"/>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b w:val="1"/>
                <w:bCs w:val="1"/>
                <w:color w:val="auto"/>
              </w:rPr>
              <w:t>16,343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Acquisitions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i w:val="1"/>
                <w:iCs w:val="1"/>
                <w:color w:val="auto"/>
              </w:rPr>
              <w:t>10,089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i w:val="1"/>
                <w:iCs w:val="1"/>
                <w:color w:val="auto"/>
              </w:rPr>
              <w:t>Foreign exchange effects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i w:val="1"/>
                <w:iCs w:val="1"/>
                <w:color w:val="auto"/>
              </w:rPr>
              <w:t>(370)</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50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Infrastructure and staffing costs</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i w:val="1"/>
                <w:iCs w:val="1"/>
                <w:color w:val="auto"/>
              </w:rPr>
              <w:t>6,624</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6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32,484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17,091</w:t>
            </w:r>
          </w:p>
        </w:tc>
        <w:tc>
          <w:tcPr>
            <w:tcW w:w="1900" w:type="dxa"/>
            <w:vAlign w:val="bottom"/>
            <w:gridSpan w:val="3"/>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b w:val="1"/>
                <w:bCs w:val="1"/>
                <w:color w:val="auto"/>
              </w:rPr>
              <w:t>15,393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Acquisitions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i w:val="1"/>
                <w:iCs w:val="1"/>
                <w:color w:val="auto"/>
              </w:rPr>
              <w:t>14,763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i w:val="1"/>
                <w:iCs w:val="1"/>
                <w:color w:val="auto"/>
              </w:rPr>
              <w:t>Foreign exchange effects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i w:val="1"/>
                <w:iCs w:val="1"/>
                <w:color w:val="auto"/>
              </w:rPr>
              <w:t>(311)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Increase in expense</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i w:val="1"/>
                <w:iCs w:val="1"/>
                <w:color w:val="auto"/>
              </w:rPr>
              <w:t>941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and impairment charges</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6,585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w:t>
            </w:r>
          </w:p>
        </w:tc>
        <w:tc>
          <w:tcPr>
            <w:tcW w:w="1900" w:type="dxa"/>
            <w:vAlign w:val="bottom"/>
            <w:gridSpan w:val="3"/>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b w:val="1"/>
                <w:bCs w:val="1"/>
                <w:color w:val="auto"/>
              </w:rPr>
              <w:t>6,585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28,577</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27,524</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1,053</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32,587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11,959</w:t>
            </w:r>
          </w:p>
        </w:tc>
        <w:tc>
          <w:tcPr>
            <w:tcW w:w="1900" w:type="dxa"/>
            <w:vAlign w:val="bottom"/>
            <w:gridSpan w:val="3"/>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b w:val="1"/>
                <w:bCs w:val="1"/>
                <w:color w:val="auto"/>
              </w:rPr>
              <w:t>20,628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00" w:type="dxa"/>
            <w:vAlign w:val="bottom"/>
          </w:tcPr>
          <w:p>
            <w:pPr>
              <w:spacing w:after="0"/>
              <w:rPr>
                <w:sz w:val="18"/>
                <w:szCs w:val="18"/>
                <w:color w:val="auto"/>
              </w:rPr>
            </w:pPr>
          </w:p>
        </w:tc>
        <w:tc>
          <w:tcPr>
            <w:tcW w:w="8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(1,953)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1,419</w:t>
            </w:r>
          </w:p>
        </w:tc>
        <w:tc>
          <w:tcPr>
            <w:tcW w:w="200" w:type="dxa"/>
            <w:vAlign w:val="bottom"/>
          </w:tcPr>
          <w:p>
            <w:pPr>
              <w:spacing w:after="0"/>
              <w:rPr>
                <w:sz w:val="18"/>
                <w:szCs w:val="18"/>
                <w:color w:val="auto"/>
              </w:rPr>
            </w:pPr>
          </w:p>
        </w:tc>
        <w:tc>
          <w:tcPr>
            <w:tcW w:w="1900" w:type="dxa"/>
            <w:vAlign w:val="bottom"/>
            <w:gridSpan w:val="3"/>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(3,372)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vMerge w:val="continue"/>
          </w:tcPr>
          <w:p>
            <w:pPr>
              <w:spacing w:after="0"/>
              <w:rPr>
                <w:sz w:val="17"/>
                <w:szCs w:val="17"/>
                <w:color w:val="auto"/>
              </w:rPr>
            </w:pPr>
          </w:p>
        </w:tc>
        <w:tc>
          <w:tcPr>
            <w:tcW w:w="65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Income (loss) before provision (benefit) for income taxes and share of net income</w:t>
            </w:r>
          </w:p>
        </w:tc>
        <w:tc>
          <w:tcPr>
            <w:tcW w:w="100" w:type="dxa"/>
            <w:vAlign w:val="bottom"/>
            <w:shd w:val="clear" w:color="auto" w:fill="CCEEFF"/>
          </w:tcPr>
          <w:p>
            <w:pPr>
              <w:spacing w:after="0"/>
              <w:rPr>
                <w:sz w:val="17"/>
                <w:szCs w:val="17"/>
                <w:color w:val="auto"/>
              </w:rPr>
            </w:pPr>
          </w:p>
        </w:tc>
        <w:tc>
          <w:tcPr>
            <w:tcW w:w="82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(2,057)</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14,146</w:t>
            </w:r>
          </w:p>
        </w:tc>
        <w:tc>
          <w:tcPr>
            <w:tcW w:w="1900" w:type="dxa"/>
            <w:vAlign w:val="bottom"/>
            <w:gridSpan w:val="3"/>
            <w:vMerge w:val="restart"/>
            <w:shd w:val="clear" w:color="auto" w:fill="CCEEFF"/>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(16,203)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5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from joint venture</w:t>
            </w:r>
          </w:p>
        </w:tc>
        <w:tc>
          <w:tcPr>
            <w:tcW w:w="100" w:type="dxa"/>
            <w:vAlign w:val="bottom"/>
            <w:shd w:val="clear" w:color="auto" w:fill="CCEEFF"/>
          </w:tcPr>
          <w:p>
            <w:pPr>
              <w:spacing w:after="0"/>
              <w:rPr>
                <w:sz w:val="20"/>
                <w:szCs w:val="20"/>
                <w:color w:val="auto"/>
              </w:rPr>
            </w:pPr>
          </w:p>
        </w:tc>
        <w:tc>
          <w:tcPr>
            <w:tcW w:w="820" w:type="dxa"/>
            <w:vAlign w:val="bottom"/>
            <w:gridSpan w:val="3"/>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gridSpan w:val="2"/>
            <w:vMerge w:val="continue"/>
            <w:shd w:val="clear" w:color="auto" w:fill="CCEEFF"/>
          </w:tcPr>
          <w:p>
            <w:pPr>
              <w:spacing w:after="0"/>
              <w:rPr>
                <w:sz w:val="20"/>
                <w:szCs w:val="20"/>
                <w:color w:val="auto"/>
              </w:rPr>
            </w:pPr>
          </w:p>
        </w:tc>
        <w:tc>
          <w:tcPr>
            <w:tcW w:w="1900" w:type="dxa"/>
            <w:vAlign w:val="bottom"/>
            <w:gridSpan w:val="3"/>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00" w:type="dxa"/>
            <w:vAlign w:val="bottom"/>
          </w:tcPr>
          <w:p>
            <w:pPr>
              <w:spacing w:after="0"/>
              <w:rPr>
                <w:sz w:val="18"/>
                <w:szCs w:val="18"/>
                <w:color w:val="auto"/>
              </w:rPr>
            </w:pPr>
          </w:p>
        </w:tc>
        <w:tc>
          <w:tcPr>
            <w:tcW w:w="8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(46)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3,073</w:t>
            </w:r>
          </w:p>
        </w:tc>
        <w:tc>
          <w:tcPr>
            <w:tcW w:w="200" w:type="dxa"/>
            <w:vAlign w:val="bottom"/>
          </w:tcPr>
          <w:p>
            <w:pPr>
              <w:spacing w:after="0"/>
              <w:rPr>
                <w:sz w:val="18"/>
                <w:szCs w:val="18"/>
                <w:color w:val="auto"/>
              </w:rPr>
            </w:pPr>
          </w:p>
        </w:tc>
        <w:tc>
          <w:tcPr>
            <w:tcW w:w="1900" w:type="dxa"/>
            <w:vAlign w:val="bottom"/>
            <w:gridSpan w:val="3"/>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(3,119)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of net income from joint venture</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2,743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1,882</w:t>
            </w:r>
          </w:p>
        </w:tc>
        <w:tc>
          <w:tcPr>
            <w:tcW w:w="200" w:type="dxa"/>
            <w:vAlign w:val="bottom"/>
            <w:shd w:val="clear" w:color="auto" w:fill="CCEEFF"/>
          </w:tcPr>
          <w:p>
            <w:pPr>
              <w:spacing w:after="0"/>
              <w:rPr>
                <w:sz w:val="18"/>
                <w:szCs w:val="18"/>
                <w:color w:val="auto"/>
              </w:rPr>
            </w:pPr>
          </w:p>
        </w:tc>
        <w:tc>
          <w:tcPr>
            <w:tcW w:w="1900" w:type="dxa"/>
            <w:vAlign w:val="bottom"/>
            <w:gridSpan w:val="3"/>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b w:val="1"/>
                <w:bCs w:val="1"/>
                <w:color w:val="auto"/>
              </w:rPr>
              <w:t>861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732</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12,955</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9"/>
              </w:rPr>
              <w:t>$</w:t>
            </w:r>
            <w:r>
              <w:rPr>
                <w:rFonts w:ascii="Times New Roman" w:cs="Times New Roman" w:eastAsia="Times New Roman" w:hAnsi="Times New Roman"/>
                <w:sz w:val="18"/>
                <w:szCs w:val="18"/>
                <w:b w:val="1"/>
                <w:bCs w:val="1"/>
                <w:color w:val="auto"/>
                <w:w w:val="99"/>
              </w:rPr>
              <w:t>(12,223</w:t>
            </w:r>
          </w:p>
        </w:tc>
        <w:tc>
          <w:tcPr>
            <w:tcW w:w="1040" w:type="dxa"/>
            <w:vAlign w:val="bottom"/>
          </w:tcPr>
          <w:p>
            <w:pPr>
              <w:jc w:val="right"/>
              <w:ind w:right="90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right="1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Net Sales. </w:t>
      </w:r>
      <w:r>
        <w:rPr>
          <w:rFonts w:ascii="Times New Roman" w:cs="Times New Roman" w:eastAsia="Times New Roman" w:hAnsi="Times New Roman"/>
          <w:sz w:val="18"/>
          <w:szCs w:val="18"/>
          <w:color w:val="auto"/>
        </w:rPr>
        <w:t>Net sales increased during the first half of 2016 from the first half of 2015 due to sales from the companies acquired in 2015. Partially offsetting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these increases was the impact of devaluation of the euro and other currency denominated sales, as discussed above. Additionally, we had lower sales prices, changes in product mix, and volumes.</w:t>
      </w:r>
    </w:p>
    <w:p>
      <w:pPr>
        <w:spacing w:after="0" w:line="174" w:lineRule="exact"/>
        <w:rPr>
          <w:sz w:val="20"/>
          <w:szCs w:val="20"/>
          <w:color w:val="auto"/>
        </w:rPr>
      </w:pPr>
    </w:p>
    <w:p>
      <w:pPr>
        <w:jc w:val="both"/>
        <w:ind w:right="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Cost of Products Sold (exclusive of depreciation and amortization shown separately below). </w:t>
      </w:r>
      <w:r>
        <w:rPr>
          <w:rFonts w:ascii="Times New Roman" w:cs="Times New Roman" w:eastAsia="Times New Roman" w:hAnsi="Times New Roman"/>
          <w:sz w:val="18"/>
          <w:szCs w:val="18"/>
          <w:color w:val="auto"/>
        </w:rPr>
        <w:t>Cost of products sold was primarily impacted by the addition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production costs from the companies acquired 2015, as discussed above. Partially offsetting these increases was the impact of the devaluation of the euro and other currency denominated costs, as discussed above. Additionally, we benefited from production process improvement projects.</w:t>
      </w:r>
    </w:p>
    <w:p>
      <w:pPr>
        <w:spacing w:after="0" w:line="174" w:lineRule="exact"/>
        <w:rPr>
          <w:sz w:val="20"/>
          <w:szCs w:val="20"/>
          <w:color w:val="auto"/>
        </w:rPr>
      </w:pPr>
    </w:p>
    <w:p>
      <w:pPr>
        <w:ind w:right="1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w:t>
      </w:r>
      <w:r>
        <w:rPr>
          <w:rFonts w:ascii="Times New Roman" w:cs="Times New Roman" w:eastAsia="Times New Roman" w:hAnsi="Times New Roman"/>
          <w:sz w:val="18"/>
          <w:szCs w:val="18"/>
          <w:color w:val="auto"/>
        </w:rPr>
        <w:t>The majority of the increase during 2016 was due to the selling, general and administrative costs carried over from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companies acquired in 2015. Additional administrative costs were incurred related to our strategic growth initiatives, including staffing and related costs.</w:t>
      </w:r>
    </w:p>
    <w:p>
      <w:pPr>
        <w:spacing w:after="0" w:line="158"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The increase in 2016 was due to depreciation and amortization from the acquisitions in 2015. This additional depreciation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amortization includes the related step-ups of certain property, plant and equipment to fair value and the addition of intangible assets principally for customer relationships and trade names related to the purchase price allocation of the new acquisitions.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00"/>
          </w:cols>
          <w:pgMar w:left="240" w:top="455" w:right="25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right="1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Interest expense increased $20.6 million due to higher overall debt levels in the first half of 2016 and related amortization of debt issuance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costs, primarily relate to acquisitions.</w:t>
      </w:r>
    </w:p>
    <w:p>
      <w:pPr>
        <w:spacing w:after="0" w:line="181" w:lineRule="exact"/>
        <w:rPr>
          <w:sz w:val="20"/>
          <w:szCs w:val="20"/>
          <w:color w:val="auto"/>
        </w:rPr>
      </w:pPr>
    </w:p>
    <w:tbl>
      <w:tblPr>
        <w:tblLayout w:type="fixed"/>
        <w:tblInd w:w="1380" w:type="dxa"/>
        <w:tblCellMar>
          <w:top w:w="0" w:type="dxa"/>
          <w:left w:w="0" w:type="dxa"/>
          <w:bottom w:w="0" w:type="dxa"/>
          <w:right w:w="0" w:type="dxa"/>
        </w:tblCellMar>
      </w:tblPr>
      <w:tr>
        <w:trPr>
          <w:trHeight w:val="173"/>
        </w:trPr>
        <w:tc>
          <w:tcPr>
            <w:tcW w:w="66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Source</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gridSpan w:val="6"/>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66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2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74"/>
              </w:rPr>
              <w:t>Interest</w:t>
            </w:r>
          </w:p>
        </w:tc>
        <w:tc>
          <w:tcPr>
            <w:tcW w:w="6240" w:type="dxa"/>
            <w:vAlign w:val="bottom"/>
            <w:tcBorders>
              <w:top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on debt</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29,881</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rate swaps settlements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 lease interest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interest (1)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(768)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(649)</w:t>
            </w:r>
          </w:p>
        </w:tc>
        <w:tc>
          <w:tcPr>
            <w:tcW w:w="0" w:type="dxa"/>
            <w:vAlign w:val="bottom"/>
          </w:tcPr>
          <w:p>
            <w:pPr>
              <w:spacing w:after="0"/>
              <w:rPr>
                <w:sz w:val="1"/>
                <w:szCs w:val="1"/>
                <w:color w:val="auto"/>
              </w:rPr>
            </w:pPr>
          </w:p>
        </w:tc>
      </w:tr>
      <w:tr>
        <w:trPr>
          <w:trHeight w:val="223"/>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interest expense</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32,587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11,959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4" w:lineRule="exact"/>
        <w:rPr>
          <w:sz w:val="20"/>
          <w:szCs w:val="20"/>
          <w:color w:val="auto"/>
        </w:rPr>
      </w:pPr>
    </w:p>
    <w:p>
      <w:pPr>
        <w:ind w:left="460" w:hanging="452"/>
        <w:spacing w:after="0"/>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Capitalized interest primarily relates to the equipment construction efforts at the various plants.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BY SEGMENT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PRECISION BEARING COMPONENTS GROUP</w:t>
      </w:r>
    </w:p>
    <w:p>
      <w:pPr>
        <w:spacing w:after="0" w:line="250"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180" w:type="dxa"/>
            <w:vAlign w:val="bottom"/>
            <w:gridSpan w:val="8"/>
          </w:tcPr>
          <w:p>
            <w:pPr>
              <w:jc w:val="right"/>
              <w:ind w:right="11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4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4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gridSpan w:val="2"/>
          </w:tcPr>
          <w:p>
            <w:pPr>
              <w:jc w:val="right"/>
              <w:ind w:right="1040"/>
              <w:spacing w:after="0" w:line="142" w:lineRule="exact"/>
              <w:rPr>
                <w:sz w:val="20"/>
                <w:szCs w:val="20"/>
                <w:color w:val="auto"/>
              </w:rPr>
            </w:pPr>
            <w:r>
              <w:rPr>
                <w:rFonts w:ascii="Times New Roman" w:cs="Times New Roman" w:eastAsia="Times New Roman" w:hAnsi="Times New Roman"/>
                <w:sz w:val="14"/>
                <w:szCs w:val="14"/>
                <w:b w:val="1"/>
                <w:bCs w:val="1"/>
                <w:color w:val="auto"/>
                <w:w w:val="95"/>
              </w:rPr>
              <w:t>Change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662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129,902</w:t>
            </w: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w w:val="95"/>
              </w:rPr>
              <w:t>142,496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w w:val="97"/>
              </w:rPr>
              <w:t>(12,594)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Foreign exchange effects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i w:val="1"/>
                <w:iCs w:val="1"/>
                <w:color w:val="auto"/>
              </w:rPr>
              <w:t>(938)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i w:val="1"/>
                <w:iCs w:val="1"/>
                <w:color w:val="auto"/>
              </w:rPr>
              <w:t>Product mix</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i w:val="1"/>
                <w:iCs w:val="1"/>
                <w:color w:val="auto"/>
              </w:rPr>
              <w:t>(2,498)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Volume</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i w:val="1"/>
                <w:iCs w:val="1"/>
                <w:color w:val="auto"/>
              </w:rPr>
              <w:t>(6,816)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i w:val="1"/>
                <w:iCs w:val="1"/>
                <w:color w:val="auto"/>
              </w:rPr>
              <w:t>Other</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i w:val="1"/>
                <w:iCs w:val="1"/>
                <w:color w:val="auto"/>
              </w:rPr>
              <w:t>(2,342)</w:t>
            </w:r>
          </w:p>
        </w:tc>
        <w:tc>
          <w:tcPr>
            <w:tcW w:w="0" w:type="dxa"/>
            <w:vAlign w:val="bottom"/>
          </w:tcPr>
          <w:p>
            <w:pPr>
              <w:spacing w:after="0"/>
              <w:rPr>
                <w:sz w:val="1"/>
                <w:szCs w:val="1"/>
                <w:color w:val="auto"/>
              </w:rPr>
            </w:pPr>
          </w:p>
        </w:tc>
      </w:tr>
      <w:tr>
        <w:trPr>
          <w:trHeight w:val="324"/>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12,800</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18,491</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(5,691)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Net sales decreased during the first half of 2016 from the first half of 2015 principally due to lower volumes and changes to product mix. Additionally, the devaluation of the euro on euro denominated sales, as discussed above, contributed to the lower net sales. The lower volumes were primarily due to global industrial market weakness and declines in heavy truck demand.</w:t>
      </w:r>
    </w:p>
    <w:p>
      <w:pPr>
        <w:spacing w:after="0" w:line="17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decrease in income from operations was consistent with the decrease in net sales, except for additional restructuring charges of $2.3 million related to planned personnel reductions.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AUTOCAM PRECISION COMPONENTS GROUP</w:t>
      </w:r>
    </w:p>
    <w:p>
      <w:pPr>
        <w:spacing w:after="0" w:line="250"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80" w:type="dxa"/>
            <w:vAlign w:val="bottom"/>
            <w:gridSpan w:val="8"/>
          </w:tcPr>
          <w:p>
            <w:pPr>
              <w:jc w:val="right"/>
              <w:ind w:right="11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4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gridSpan w:val="2"/>
          </w:tcPr>
          <w:p>
            <w:pPr>
              <w:jc w:val="right"/>
              <w:ind w:right="98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672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166,981</w:t>
            </w: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169,093</w:t>
            </w:r>
          </w:p>
        </w:tc>
        <w:tc>
          <w:tcPr>
            <w:tcW w:w="200" w:type="dxa"/>
            <w:vAlign w:val="bottom"/>
            <w:shd w:val="clear" w:color="auto" w:fill="CCEEFF"/>
          </w:tcPr>
          <w:p>
            <w:pPr>
              <w:spacing w:after="0"/>
              <w:rPr>
                <w:sz w:val="18"/>
                <w:szCs w:val="18"/>
                <w:color w:val="auto"/>
              </w:rPr>
            </w:pPr>
          </w:p>
        </w:tc>
        <w:tc>
          <w:tcPr>
            <w:tcW w:w="1700" w:type="dxa"/>
            <w:vAlign w:val="bottom"/>
            <w:gridSpan w:val="3"/>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 (2,112)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Foreign exchange effects</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i w:val="1"/>
                <w:iCs w:val="1"/>
                <w:color w:val="auto"/>
              </w:rPr>
              <w:t>(3,335)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i w:val="1"/>
                <w:iCs w:val="1"/>
                <w:color w:val="auto"/>
              </w:rPr>
              <w:t>Price</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i w:val="1"/>
                <w:iCs w:val="1"/>
                <w:color w:val="auto"/>
              </w:rPr>
              <w:t>(3,013)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Volume</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i w:val="1"/>
                <w:iCs w:val="1"/>
                <w:color w:val="auto"/>
              </w:rPr>
              <w:t>4,237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i w:val="1"/>
                <w:iCs w:val="1"/>
                <w:color w:val="auto"/>
              </w:rPr>
              <w:t>Other</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i w:val="1"/>
                <w:iCs w:val="1"/>
                <w:color w:val="auto"/>
              </w:rPr>
              <w:t>(1)</w:t>
            </w:r>
          </w:p>
        </w:tc>
        <w:tc>
          <w:tcPr>
            <w:tcW w:w="0" w:type="dxa"/>
            <w:vAlign w:val="bottom"/>
          </w:tcPr>
          <w:p>
            <w:pPr>
              <w:spacing w:after="0"/>
              <w:rPr>
                <w:sz w:val="1"/>
                <w:szCs w:val="1"/>
                <w:color w:val="auto"/>
              </w:rPr>
            </w:pPr>
          </w:p>
        </w:tc>
      </w:tr>
      <w:tr>
        <w:trPr>
          <w:trHeight w:val="324"/>
        </w:trPr>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14,297</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16,813</w:t>
            </w:r>
          </w:p>
        </w:tc>
        <w:tc>
          <w:tcPr>
            <w:tcW w:w="1700" w:type="dxa"/>
            <w:vAlign w:val="bottom"/>
            <w:gridSpan w:val="3"/>
          </w:tcPr>
          <w:p>
            <w:pPr>
              <w:jc w:val="right"/>
              <w:ind w:right="8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(2,516)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decreased net sales in the first half of 2016 were due to the depreciation of the Brazilian Real denominated sales versus the U.S. dollar and continued economic weakness in Brazil. The volume increases during the first half of 2016 were related to demand for our CAFE products.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Income from operations decreased primarily due to restructuring charges of $3.6 million related to our Wheeling plant closure partially offset by cost savings from production process improvement projects.</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340"/>
          </w:cols>
          <w:pgMar w:left="240" w:top="455" w:right="31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PRECISION ENGINEERED PRODUCTS GROUP</w:t>
      </w:r>
    </w:p>
    <w:p>
      <w:pPr>
        <w:spacing w:after="0" w:line="250"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0" w:type="dxa"/>
            <w:vAlign w:val="bottom"/>
            <w:gridSpan w:val="9"/>
          </w:tcPr>
          <w:p>
            <w:pPr>
              <w:ind w:left="1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620" w:type="dxa"/>
            <w:vAlign w:val="bottom"/>
            <w:tcBorders>
              <w:top w:val="single" w:sz="8" w:color="auto"/>
            </w:tcBorders>
            <w:gridSpan w:val="2"/>
          </w:tcPr>
          <w:p>
            <w:pPr>
              <w:jc w:val="right"/>
              <w:ind w:right="114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660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129,615</w:t>
            </w:r>
          </w:p>
        </w:tc>
        <w:tc>
          <w:tcPr>
            <w:tcW w:w="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6"/>
              </w:rPr>
              <w:t>17,012</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CEEFF"/>
          </w:tcPr>
          <w:p>
            <w:pPr>
              <w:jc w:val="right"/>
              <w:ind w:right="1040"/>
              <w:spacing w:after="0"/>
              <w:rPr>
                <w:sz w:val="20"/>
                <w:szCs w:val="20"/>
                <w:color w:val="auto"/>
              </w:rPr>
            </w:pPr>
            <w:r>
              <w:rPr>
                <w:rFonts w:ascii="Times New Roman" w:cs="Times New Roman" w:eastAsia="Times New Roman" w:hAnsi="Times New Roman"/>
                <w:sz w:val="18"/>
                <w:szCs w:val="18"/>
                <w:color w:val="auto"/>
                <w:w w:val="95"/>
              </w:rPr>
              <w:t>112,603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Acquisitions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i w:val="1"/>
                <w:iCs w:val="1"/>
                <w:color w:val="auto"/>
              </w:rPr>
              <w:t>114,447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i w:val="1"/>
                <w:iCs w:val="1"/>
                <w:color w:val="auto"/>
              </w:rPr>
              <w:t>Sale of a plant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i w:val="1"/>
                <w:iCs w:val="1"/>
                <w:color w:val="auto"/>
              </w:rPr>
              <w:t>(4,643)</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60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Other</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i w:val="1"/>
                <w:iCs w:val="1"/>
                <w:color w:val="auto"/>
              </w:rPr>
              <w:t>2,799</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6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16,203</w:t>
            </w:r>
          </w:p>
        </w:tc>
        <w:tc>
          <w:tcPr>
            <w:tcW w:w="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714</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CEEFF"/>
          </w:tcPr>
          <w:p>
            <w:pPr>
              <w:jc w:val="right"/>
              <w:ind w:right="1040"/>
              <w:spacing w:after="0"/>
              <w:rPr>
                <w:sz w:val="20"/>
                <w:szCs w:val="20"/>
                <w:color w:val="auto"/>
              </w:rPr>
            </w:pPr>
            <w:r>
              <w:rPr>
                <w:rFonts w:ascii="Times New Roman" w:cs="Times New Roman" w:eastAsia="Times New Roman" w:hAnsi="Times New Roman"/>
                <w:sz w:val="18"/>
                <w:szCs w:val="18"/>
                <w:color w:val="auto"/>
              </w:rPr>
              <w:t>15,489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increase in net sales and income from operations was primarily due to the PEP Acquisition, offset by the sale of Delta Rubber in the fourth quarter of 2015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Financial Condition from December 31, 2015 to June 30, 2016.</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From December 31, 2015 to June 30, 2016, our total assets increased $9.2 million and our current assets increased $17.7 million. The asset balance during the first half of 2016 was driven by a seasonal increase in accounts receivable. Despite the increase in net sales, we held inventory levels relatively flat with days inventory outstanding decreasing approximately 8 days.</w:t>
      </w:r>
    </w:p>
    <w:p>
      <w:pPr>
        <w:spacing w:after="0" w:line="17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From December 31, 2015 to June 30, 2016, our total liabilities increased $5.6 million. The majority of the increase was due to the $13.6 million increase in short and long-term debt.</w:t>
      </w:r>
    </w:p>
    <w:p>
      <w:pPr>
        <w:spacing w:after="0" w:line="162"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Working capital, which consists principally of accounts receivable and inventories offset by accounts payable and current maturities of long-term debt, was $159.0 million at June 30, 2016, compared to $146.8 million at December 31, 2015. The increase in working capital was due primarily to the increase in accounts receivable, as discussed above.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provided by operations was $11.6 million in the first half of 2016 compared with cash provided by operations of $4.3 million in the first half of 2015.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difference was due to increased earnings, net of noncash activity.</w:t>
      </w:r>
    </w:p>
    <w:p>
      <w:pPr>
        <w:spacing w:after="0" w:line="20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Cash used by investing activities was $16.4 million in the first half of 2016 compared with cash used by investing activities of $26.1 million in the first half of 2015. The primary difference was the Caprock acquisition for $9.0 million, net of cash received, and a capital contribution of $1.4 million to the China JV in the same period last year.</w:t>
      </w:r>
    </w:p>
    <w:p>
      <w:pPr>
        <w:spacing w:after="0" w:line="17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Cash provided by financing activities was $7.0 million in the first half of 2016 compared with cash provided by financing activities of $6.4 million in the first half of 2015. The difference was primarily related to using debt to fund working capital.</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outstanding under our Senior Secured Term Loan B facility, Senior Notes, and our Senior Secured Revolver facility as of June 30, 2016, were</w:t>
      </w:r>
    </w:p>
    <w:p>
      <w:pPr>
        <w:spacing w:after="0" w:line="2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$843.4 million. As of June 30, 2016, we could borrow up to $74.7 million under our Senior Secured Revolver facility subject to certain limitations. The $74.7 million of availability is net of $2.6 million of outstanding letters of credit at June 30, 2016, which are considered as usage of the Senior Secured Revolver facility.</w:t>
      </w:r>
    </w:p>
    <w:p>
      <w:pPr>
        <w:spacing w:after="0" w:line="18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Our Senior Secured Term Loan B facility requires us to pay quarterly 0.25% (or $1.4 million) of the initial principal amount over the next seven years with the remaining principal amount due on the maturity date. Additionally, as long as LIBOR stays below 1.00%, we will be paying 5.75% per annum in interest. If the LIBOR exceeds 1.00%, then the rate will be the variable LIBOR rate plus an applicable margin of 4.75%. Based on the outstanding balance at June 30, 2016, the annual interest payments would have been $32.8 million.</w:t>
      </w:r>
    </w:p>
    <w:p>
      <w:pPr>
        <w:spacing w:after="0" w:line="180"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Our Senior Notes require us to pay annual interest of 10.25% payable semi-annually in arrears on May 1 and November 1 of each year. Based on the outstanding balance at June 30, 2016, the annual interest payments would have been $25.6 million.</w:t>
      </w:r>
    </w:p>
    <w:p>
      <w:pPr>
        <w:spacing w:after="0" w:line="16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Our Senior Secured Revolver facility requires us to pay interest rate of LIBOR plus an applicable margin of 3.50%. Based on the outstanding balance at June 30, 2016, the annual interest payments would have been $0.9 million.</w:t>
      </w:r>
    </w:p>
    <w:p>
      <w:pPr>
        <w:spacing w:after="0" w:line="16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We believe that funds generated from our consolidated operations will provide sufficient cash flow to service these required debt and interest payments under these facilities.</w:t>
      </w:r>
    </w:p>
    <w:p>
      <w:pPr>
        <w:spacing w:after="0" w:line="162"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Our arrangements with our domestic customers typically provide that payments are due within 30 to 60 days following the date of our shipment of goods, while arrangements with foreign customers of our domestic business (other than foreign customers that have</w:t>
      </w:r>
    </w:p>
    <w:p>
      <w:pPr>
        <w:sectPr>
          <w:pgSz w:w="11900" w:h="16838" w:orient="portrait"/>
          <w:cols w:equalWidth="0" w:num="1">
            <w:col w:w="11420"/>
          </w:cols>
          <w:pgMar w:left="240" w:top="455" w:right="239" w:bottom="1440" w:gutter="0" w:footer="0" w:header="0"/>
        </w:sectPr>
      </w:pP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455" w:right="239" w:bottom="1440" w:gutter="0" w:footer="0" w:header="0"/>
          <w:type w:val="continuous"/>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entered into an inventory management program with us) generally provide that payments are due within 60 to 120 days following the date of shipment to allow for additional transit time and customs clearance. Under the Precision Bearing Components Group’s inventory management program with certain customers, payments typically are due within 30 days after the customer uses the product. Our arrangements with European customers regarding due dates vary from 30 to 90 days following date of sale for European based customers and 60 to 120 days from customers outside of Europe to allow for additional transit time and customs clearance.</w:t>
      </w:r>
    </w:p>
    <w:p>
      <w:pPr>
        <w:spacing w:after="0" w:line="18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sales and receivables can be influenced by seasonality due to our relative percentage of European business coupled with many foreign customers slowing production during the month of August.</w:t>
      </w:r>
    </w:p>
    <w:p>
      <w:pPr>
        <w:spacing w:after="0" w:line="16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invoice and receive payment from many of our customers in euros as well as other currencies. Additionally, we are party to various third party and intercompany loans, payables and receivables denominated in currencies other than the U.S. dollar. As a result of these sales, loans, payables and receivables, our foreign exchange transaction and translation risk has increased. Various strategies to manage this risk are available to management including producing and selling in local currencies and hedging programs. As of June 30, 2016, no currency hedges were in place. In addition, a strengthening of the U.S. dollar and/or euro against foreign currencies could impair our ability to compete with international competitors for foreign as well as domestic sales.</w:t>
      </w:r>
    </w:p>
    <w:p>
      <w:pPr>
        <w:spacing w:after="0" w:line="184"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For the next twelve months, we expect to spend approximately $40 to $50 million on capital expenditures, the majority of which relate to new or expanded business. We believe that funds generated from operations and borrowings from the credit facilities will be sufficient to finance our capital expenditures and working capital needs through this period. We base this assertion on our current availability for borrowing of up to $74.7 million and our forecasted positive cash flow from operations for the next twelve months.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 and Fluctuation in Quarterly Results</w:t>
      </w:r>
    </w:p>
    <w:p>
      <w:pPr>
        <w:spacing w:after="0" w:line="121"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Historically, our net sales in the Precision Bearing Components Group have been of a seasonal nature as a substantial portion of our sales are to European customers who have significantly slower production during the month of August.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We are not a party to any off-balance sheet arrangements that have, or are reasonably likely to have, a material current or future effect on our financial condition, revenues or expenses, results of operations, liquidity, capital expenditures or capital resources.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critical accounting policies, including the assumptions and judgments underlying them, are disclosed in our 2015 Annual Report, including those policies as discussed in Note 1 to the Notes to Consolidated Financial Statements included in our 2015 Annual Report. There have been no changes to these policies during the six months ended June 30, 2016, except as discussed in Note 1 to the Notes to Condensed Consolidated Financial Statements included in this Quarterly Report on Form 10-Q.</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Brexit</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June 23, 2016, a referendum was held in the United Kingdom in which it was decided that the United Kingdom would leave the European Union (“Brexit”). The uncertainty related to the impact of Brexit caused significant financial market volatility during the current period and will likely continue into the future. Brexit did not have a material impact on our results of operations for the period ended June 30, 2016, but the uncertainty surrounding the impact of Brexit may materially impact our results of operations for future periods. For further information see Item 1A. “Risk Factors” in this Quarterly Report on Form 10-Q.</w:t>
      </w:r>
    </w:p>
    <w:p>
      <w:pPr>
        <w:spacing w:after="0" w:line="329"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21" w:lineRule="exact"/>
        <w:rPr>
          <w:sz w:val="20"/>
          <w:szCs w:val="20"/>
          <w:color w:val="auto"/>
        </w:rPr>
      </w:pPr>
    </w:p>
    <w:p>
      <w:pPr>
        <w:ind w:right="180"/>
        <w:spacing w:after="0" w:line="289" w:lineRule="auto"/>
        <w:rPr>
          <w:sz w:val="20"/>
          <w:szCs w:val="20"/>
          <w:color w:val="auto"/>
        </w:rPr>
      </w:pPr>
      <w:r>
        <w:rPr>
          <w:rFonts w:ascii="Times New Roman" w:cs="Times New Roman" w:eastAsia="Times New Roman" w:hAnsi="Times New Roman"/>
          <w:sz w:val="17"/>
          <w:szCs w:val="17"/>
          <w:color w:val="auto"/>
        </w:rPr>
        <w:t>We are exposed to changes in financial market conditions in the normal course of our business due to use of certain financial instruments as well as transacting business in various foreign currencies. To mitigate the exposure to these market risks, we have established policies, procedures and internal processes governing our management of financial market risks. We are exposed to changes in interest rates primarily as a result of our borrowing activities.</w:t>
      </w:r>
    </w:p>
    <w:p>
      <w:pPr>
        <w:spacing w:after="0" w:line="15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At June 30, 2016, we had $22.7 million outstanding under our variable rate revolving credit facilities. See Note 6 of the Notes to Condensed Consolidated Financial Statements in this Quarterly Report on Form 10-Q. At June 30, 2016, a one-percent increase in the interest rate charged on our outstanding variable rate borrowings would result in interest expense increasing annually by approximately $0.2 million.</w:t>
      </w:r>
    </w:p>
    <w:p>
      <w:pPr>
        <w:spacing w:after="0" w:line="176"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18"/>
          <w:szCs w:val="18"/>
          <w:color w:val="auto"/>
        </w:rPr>
        <w:t>At June 30, 2016, we had $570.7 million outstanding under our variable rate Senior Secured Term Loan B. See Note 6 of the Notes to Condensed Consolidated Financial Statements in this Quarterly Report on Form 10-Q. At June 30, 2016, a one-percent increase in the interest rate charged on this outstanding variable rate borrowings would result in interest expense increasing annually by approximately $5.7 million.</w:t>
      </w:r>
    </w:p>
    <w:p>
      <w:pPr>
        <w:sectPr>
          <w:pgSz w:w="11900" w:h="16838" w:orient="portrait"/>
          <w:cols w:equalWidth="0" w:num="1">
            <w:col w:w="11380"/>
          </w:cols>
          <w:pgMar w:left="240" w:top="455" w:right="279" w:bottom="1440" w:gutter="0" w:footer="0" w:header="0"/>
        </w:sectPr>
      </w:pP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380"/>
          </w:cols>
          <w:pgMar w:left="240" w:top="455" w:right="279" w:bottom="1440" w:gutter="0" w:footer="0" w:header="0"/>
          <w:type w:val="continuous"/>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Our policy is to manage interest expense using a mix of fixed and variable rate debt. As such, we entered into a $150.0 million interest rate swap that went into effect on December 29, 2015 and fixed our interest rate at 6.966% for a portion of our Senior Secured Term Loan B. The nature and amount of our borrowings may vary as a result of future business requirements, market conditions and other factors.</w:t>
      </w:r>
    </w:p>
    <w:p>
      <w:pPr>
        <w:spacing w:after="0" w:line="176"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Translation of our operating cash flows denominated in foreign currencies is impacted by changes in foreign exchange rates. Our Precision Bearing Components Group invoices and receives payment in currencies other than the U.S. dollar including the euro. Additionally, we participate in various third party and intercompany loans, payables and receivables denominated in currencies other than the U.S. dollar. To help reduce exposure to foreign currency fluctuation, we have incurred debt in euros in the past and have, from time to time, used foreign currency hedges to hedge currency exposures when these exposures meet certain discretionary levels. We did not hold a position in any foreign currency hedging instruments as of June 30, 2016.</w:t>
      </w:r>
    </w:p>
    <w:p>
      <w:pPr>
        <w:spacing w:after="0" w:line="329"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Chief Executive Officer and Principal Financial Officer, we conducted an evaluation of the effectiveness of our disclosure controls and procedures (as defined in Rule 13a-15(e) and 15d-15(e) of the Securities Exchange Act of 1934 (the “Exchange Act”)). Our disclosure controls are designed to ensure that material information relating to us is made known to our Chief Executive Officer and Principal Financial Officer by others within our organization. Based upon that evaluation, our Chief Executive Officer and Principal Financial Officer concluded that our disclosure controls and procedures are effective as of June 30, 2016 to ensure that information required to be disclosed in the reports that we file under the Exchange Act is recorded, processed, summarized and reported within the time periods specified in the SEC’s rules and forms, and is accumulated and communicated to management, including our Chief Executive Officer and Principal Financial Officer, as appropriate, to allow for timely decisions regarding required disclosure.</w:t>
      </w:r>
    </w:p>
    <w:p>
      <w:pPr>
        <w:spacing w:after="0" w:line="185"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There have been no changes in the fiscal quarter ended June 30, 2016 in our internal control over financial reporting that have materially affected, or are reasonably likely to materially affect, our internal control over financial reporting.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31"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Brazil ICMS Tax Matter</w:t>
      </w:r>
    </w:p>
    <w:p>
      <w:pPr>
        <w:spacing w:after="0" w:line="11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Prior to our acquisition of Autocam, Autocam’s Brazilian subsidiary received notification from the Brazilian tax authorities regarding ICMS (state value added tax or VAT) tax credits claimed on intermediary materials (tooling and perishable items) used in the manufacturing process. The Brazilian tax authority notification disallowed state ICMS credits claimed on intermediary materials based on the argument that these items are not intrinsically related to the manufacturing processes. Autocam Brazil filed an administrative defense with the Brazilian tax authority arguing, among other matters, that it should qualify for an ICMS tax credit, contending that the intermediary materials are directly related to the manufacturing process.</w:t>
      </w:r>
    </w:p>
    <w:p>
      <w:pPr>
        <w:spacing w:after="0" w:line="184"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We believe that we have substantial legal and factual defenses, and plan to defend our interests in this matter vigorously. While we believe a loss is not probable, we estimate the range of possible losses related to this assessment is from $0 to $6.0 million. No amount was accrued at June 30, 2016 for this matter. There was no material change in the status of this matter from December 31, 2015 to June 30, 2016.</w:t>
      </w:r>
    </w:p>
    <w:p>
      <w:pPr>
        <w:spacing w:after="0" w:line="17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are entitled to indemnification from the former shareholders of Autocam, subject to the limitations and procedures set forth in the agreement and plan of merger relating to our acquisition of Autocam. Management believes the indemnification would include amounts owed for the tax, interest and penalties related to this matter.</w:t>
      </w:r>
    </w:p>
    <w:p>
      <w:pPr>
        <w:spacing w:after="0" w:line="1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All other legal proceedings are of an ordinary and routine nature and are incidental to our operations. Management believes that such proceedings should not, individually or in the aggregate, have a material adverse effect on our business, financial condition, results of operations or cash flows. In making that determination, we analyze the facts and circumstances of each case at least quarterly in consultation with our attorneys and determine a range of reasonably possible outcomes.</w:t>
      </w:r>
    </w:p>
    <w:p>
      <w:pPr>
        <w:spacing w:after="0" w:line="325"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risk factors are disclosed in our 2015 Annual Report under Item 1A. “Risk Factors.” Except as noted below, there have been no material changes to these risk factors since December 31, 2015.</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360"/>
          </w:cols>
          <w:pgMar w:left="240" w:top="455" w:right="29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developments relating to the United Kingdom’s referendum vote in favor of leaving the European Union could adversely affect us.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United Kingdom held a referendum on June 23, 2016 in which a majority voted for the United Kingdom’s withdrawal from the European Union. As a result of this vote, negotiations are expected to commence to determine the terms of the United Kingdom’s withdrawal from (“Brexit”) the European Union as well as its relationship with the European Union going forward, including the terms of trade between the United Kingdom and the European Union. The effects of Brexit have been and are expected to continue to be far-reaching. Brexit, and the perceptions as to its impact, may adversely affect business activity and economic conditions in Europe and globally and could continue to contribute to instability in global financial and foreign exchange markets. The full effects of Brexit are uncertain and will depend on any agreements the United Kingdom may make to retain access to European Union markets. Lastly, as a result of the Brexit, other countries in the European Union may seek to conduct referenda with respect to their continuing membership with the European Union. Given these possibilities and others we may not anticipate, as well as the lack of comparable precedent, the full extent to which our business, results of operations and financial condition could be adversely affected by Brexit is uncertain.</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476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 and Use of Proceeds</w:t>
            </w:r>
          </w:p>
        </w:tc>
        <w:tc>
          <w:tcPr>
            <w:tcW w:w="10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7"/>
        </w:trPr>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Maximum Number (or</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640" w:type="dxa"/>
            <w:vAlign w:val="bottom"/>
          </w:tcPr>
          <w:p>
            <w:pPr>
              <w:spacing w:after="0"/>
              <w:rPr>
                <w:sz w:val="12"/>
                <w:szCs w:val="12"/>
                <w:color w:val="auto"/>
              </w:rPr>
            </w:pPr>
          </w:p>
        </w:tc>
        <w:tc>
          <w:tcPr>
            <w:tcW w:w="15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Approximate Dollar</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640" w:type="dxa"/>
            <w:vAlign w:val="bottom"/>
          </w:tcPr>
          <w:p>
            <w:pPr>
              <w:spacing w:after="0"/>
              <w:rPr>
                <w:sz w:val="12"/>
                <w:szCs w:val="12"/>
                <w:color w:val="auto"/>
              </w:rPr>
            </w:pPr>
          </w:p>
        </w:tc>
        <w:tc>
          <w:tcPr>
            <w:tcW w:w="15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Value) of Shares That</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80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300" w:type="dxa"/>
            <w:vAlign w:val="bottom"/>
          </w:tcPr>
          <w:p>
            <w:pPr>
              <w:spacing w:after="0"/>
              <w:rPr>
                <w:sz w:val="12"/>
                <w:szCs w:val="12"/>
                <w:color w:val="auto"/>
              </w:rPr>
            </w:pPr>
          </w:p>
        </w:tc>
        <w:tc>
          <w:tcPr>
            <w:tcW w:w="20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Average Price Paid Per</w:t>
            </w: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 Part of</w:t>
            </w:r>
          </w:p>
        </w:tc>
        <w:tc>
          <w:tcPr>
            <w:tcW w:w="640" w:type="dxa"/>
            <w:vAlign w:val="bottom"/>
          </w:tcPr>
          <w:p>
            <w:pPr>
              <w:spacing w:after="0"/>
              <w:rPr>
                <w:sz w:val="12"/>
                <w:szCs w:val="12"/>
                <w:color w:val="auto"/>
              </w:rPr>
            </w:pPr>
          </w:p>
        </w:tc>
        <w:tc>
          <w:tcPr>
            <w:tcW w:w="15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May Yet Be Purchased</w:t>
            </w:r>
          </w:p>
        </w:tc>
        <w:tc>
          <w:tcPr>
            <w:tcW w:w="0" w:type="dxa"/>
            <w:vAlign w:val="bottom"/>
          </w:tcPr>
          <w:p>
            <w:pPr>
              <w:spacing w:after="0"/>
              <w:rPr>
                <w:sz w:val="1"/>
                <w:szCs w:val="1"/>
                <w:color w:val="auto"/>
              </w:rPr>
            </w:pPr>
          </w:p>
        </w:tc>
      </w:tr>
      <w:tr>
        <w:trPr>
          <w:trHeight w:val="149"/>
        </w:trPr>
        <w:tc>
          <w:tcPr>
            <w:tcW w:w="960" w:type="dxa"/>
            <w:vAlign w:val="bottom"/>
            <w:gridSpan w:val="3"/>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240" w:type="dxa"/>
            <w:vAlign w:val="bottom"/>
          </w:tcPr>
          <w:p>
            <w:pPr>
              <w:spacing w:after="0"/>
              <w:rPr>
                <w:sz w:val="12"/>
                <w:szCs w:val="12"/>
                <w:color w:val="auto"/>
              </w:rPr>
            </w:pPr>
          </w:p>
        </w:tc>
        <w:tc>
          <w:tcPr>
            <w:tcW w:w="180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2060" w:type="dxa"/>
            <w:vAlign w:val="bottom"/>
            <w:gridSpan w:val="3"/>
            <w:vMerge w:val="continue"/>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Publicly Announced</w:t>
            </w:r>
          </w:p>
        </w:tc>
        <w:tc>
          <w:tcPr>
            <w:tcW w:w="640" w:type="dxa"/>
            <w:vAlign w:val="bottom"/>
          </w:tcPr>
          <w:p>
            <w:pPr>
              <w:spacing w:after="0"/>
              <w:rPr>
                <w:sz w:val="12"/>
                <w:szCs w:val="12"/>
                <w:color w:val="auto"/>
              </w:rPr>
            </w:pPr>
          </w:p>
        </w:tc>
        <w:tc>
          <w:tcPr>
            <w:tcW w:w="15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Under the Plan or</w:t>
            </w:r>
          </w:p>
        </w:tc>
        <w:tc>
          <w:tcPr>
            <w:tcW w:w="0" w:type="dxa"/>
            <w:vAlign w:val="bottom"/>
          </w:tcPr>
          <w:p>
            <w:pPr>
              <w:spacing w:after="0"/>
              <w:rPr>
                <w:sz w:val="1"/>
                <w:szCs w:val="1"/>
                <w:color w:val="auto"/>
              </w:rPr>
            </w:pPr>
          </w:p>
        </w:tc>
      </w:tr>
      <w:tr>
        <w:trPr>
          <w:trHeight w:val="173"/>
        </w:trPr>
        <w:tc>
          <w:tcPr>
            <w:tcW w:w="960" w:type="dxa"/>
            <w:vAlign w:val="bottom"/>
            <w:gridSpan w:val="3"/>
            <w:vMerge w:val="continue"/>
          </w:tcPr>
          <w:p>
            <w:pPr>
              <w:spacing w:after="0"/>
              <w:rPr>
                <w:sz w:val="15"/>
                <w:szCs w:val="15"/>
                <w:color w:val="auto"/>
              </w:rPr>
            </w:pPr>
          </w:p>
        </w:tc>
        <w:tc>
          <w:tcPr>
            <w:tcW w:w="2240" w:type="dxa"/>
            <w:vAlign w:val="bottom"/>
          </w:tcPr>
          <w:p>
            <w:pPr>
              <w:spacing w:after="0"/>
              <w:rPr>
                <w:sz w:val="15"/>
                <w:szCs w:val="15"/>
                <w:color w:val="auto"/>
              </w:rPr>
            </w:pPr>
          </w:p>
        </w:tc>
        <w:tc>
          <w:tcPr>
            <w:tcW w:w="180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Purchased</w:t>
            </w:r>
            <w:r>
              <w:rPr>
                <w:rFonts w:ascii="Times New Roman" w:cs="Times New Roman" w:eastAsia="Times New Roman" w:hAnsi="Times New Roman"/>
                <w:sz w:val="12"/>
                <w:szCs w:val="12"/>
                <w:b w:val="1"/>
                <w:bCs w:val="1"/>
                <w:color w:val="auto"/>
              </w:rPr>
              <w:t>(1)</w:t>
            </w: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Plans or Programs</w:t>
            </w:r>
            <w:r>
              <w:rPr>
                <w:rFonts w:ascii="Times New Roman" w:cs="Times New Roman" w:eastAsia="Times New Roman" w:hAnsi="Times New Roman"/>
                <w:sz w:val="12"/>
                <w:szCs w:val="12"/>
                <w:b w:val="1"/>
                <w:bCs w:val="1"/>
                <w:color w:val="auto"/>
              </w:rPr>
              <w:t>(1)</w:t>
            </w:r>
          </w:p>
        </w:tc>
        <w:tc>
          <w:tcPr>
            <w:tcW w:w="640" w:type="dxa"/>
            <w:vAlign w:val="bottom"/>
          </w:tcPr>
          <w:p>
            <w:pPr>
              <w:spacing w:after="0"/>
              <w:rPr>
                <w:sz w:val="15"/>
                <w:szCs w:val="15"/>
                <w:color w:val="auto"/>
              </w:rPr>
            </w:pPr>
          </w:p>
        </w:tc>
        <w:tc>
          <w:tcPr>
            <w:tcW w:w="15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Programs</w:t>
            </w:r>
            <w:r>
              <w:rPr>
                <w:rFonts w:ascii="Times New Roman" w:cs="Times New Roman" w:eastAsia="Times New Roman" w:hAnsi="Times New Roman"/>
                <w:sz w:val="12"/>
                <w:szCs w:val="12"/>
                <w:b w:val="1"/>
                <w:bCs w:val="1"/>
                <w:color w:val="auto"/>
              </w:rPr>
              <w:t>(1)</w:t>
            </w: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w:t>
            </w:r>
          </w:p>
        </w:tc>
        <w:tc>
          <w:tcPr>
            <w:tcW w:w="2320" w:type="dxa"/>
            <w:vAlign w:val="bottom"/>
            <w:tcBorders>
              <w:top w:val="single" w:sz="8" w:color="CCEEFF"/>
            </w:tcBorders>
            <w:gridSpan w:val="2"/>
            <w:shd w:val="clear" w:color="auto" w:fill="CCEEFF"/>
          </w:tcPr>
          <w:p>
            <w:pPr>
              <w:jc w:val="right"/>
              <w:ind w:right="1850"/>
              <w:spacing w:after="0"/>
              <w:rPr>
                <w:sz w:val="20"/>
                <w:szCs w:val="20"/>
                <w:color w:val="auto"/>
              </w:rPr>
            </w:pPr>
            <w:r>
              <w:rPr>
                <w:rFonts w:ascii="Times New Roman" w:cs="Times New Roman" w:eastAsia="Times New Roman" w:hAnsi="Times New Roman"/>
                <w:sz w:val="18"/>
                <w:szCs w:val="18"/>
                <w:color w:val="auto"/>
                <w:w w:val="99"/>
              </w:rPr>
              <w:t>2016</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2,067</w:t>
            </w:r>
          </w:p>
        </w:tc>
        <w:tc>
          <w:tcPr>
            <w:tcW w:w="3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6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3200" w:type="dxa"/>
            <w:vAlign w:val="bottom"/>
            <w:gridSpan w:val="4"/>
          </w:tcPr>
          <w:p>
            <w:pPr>
              <w:ind w:left="460"/>
              <w:spacing w:after="0"/>
              <w:rPr>
                <w:sz w:val="20"/>
                <w:szCs w:val="20"/>
                <w:color w:val="auto"/>
              </w:rPr>
            </w:pPr>
            <w:r>
              <w:rPr>
                <w:rFonts w:ascii="Times New Roman" w:cs="Times New Roman" w:eastAsia="Times New Roman" w:hAnsi="Times New Roman"/>
                <w:sz w:val="18"/>
                <w:szCs w:val="18"/>
                <w:color w:val="auto"/>
              </w:rPr>
              <w:t>May 2016</w:t>
            </w:r>
          </w:p>
        </w:tc>
        <w:tc>
          <w:tcPr>
            <w:tcW w:w="18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24"/>
                <w:szCs w:val="24"/>
                <w:color w:val="auto"/>
              </w:rPr>
            </w:pPr>
          </w:p>
        </w:tc>
        <w:tc>
          <w:tcPr>
            <w:tcW w:w="150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08"/>
        </w:trPr>
        <w:tc>
          <w:tcPr>
            <w:tcW w:w="460" w:type="dxa"/>
            <w:vAlign w:val="bottom"/>
            <w:vMerge w:val="restart"/>
          </w:tcPr>
          <w:p>
            <w:pPr>
              <w:spacing w:after="0"/>
              <w:rPr>
                <w:sz w:val="9"/>
                <w:szCs w:val="9"/>
                <w:color w:val="auto"/>
              </w:rPr>
            </w:pPr>
          </w:p>
        </w:tc>
        <w:tc>
          <w:tcPr>
            <w:tcW w:w="420" w:type="dxa"/>
            <w:vAlign w:val="bottom"/>
          </w:tcPr>
          <w:p>
            <w:pPr>
              <w:spacing w:after="0"/>
              <w:rPr>
                <w:sz w:val="9"/>
                <w:szCs w:val="9"/>
                <w:color w:val="auto"/>
              </w:rPr>
            </w:pPr>
          </w:p>
        </w:tc>
        <w:tc>
          <w:tcPr>
            <w:tcW w:w="2320" w:type="dxa"/>
            <w:vAlign w:val="bottom"/>
            <w:gridSpan w:val="2"/>
          </w:tcPr>
          <w:p>
            <w:pPr>
              <w:spacing w:after="0"/>
              <w:rPr>
                <w:sz w:val="9"/>
                <w:szCs w:val="9"/>
                <w:color w:val="auto"/>
              </w:rPr>
            </w:pPr>
          </w:p>
        </w:tc>
        <w:tc>
          <w:tcPr>
            <w:tcW w:w="1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60" w:type="dxa"/>
            <w:vAlign w:val="bottom"/>
            <w:vMerge w:val="continue"/>
          </w:tcPr>
          <w:p>
            <w:pPr>
              <w:spacing w:after="0"/>
              <w:rPr>
                <w:sz w:val="18"/>
                <w:szCs w:val="18"/>
                <w:color w:val="auto"/>
              </w:rPr>
            </w:pPr>
          </w:p>
        </w:tc>
        <w:tc>
          <w:tcPr>
            <w:tcW w:w="2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2016</w:t>
            </w: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2,083</w:t>
            </w:r>
          </w:p>
        </w:tc>
        <w:tc>
          <w:tcPr>
            <w:tcW w:w="7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17.91</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96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2240" w:type="dxa"/>
            <w:vAlign w:val="bottom"/>
          </w:tcPr>
          <w:p>
            <w:pPr>
              <w:spacing w:after="0"/>
              <w:rPr>
                <w:sz w:val="19"/>
                <w:szCs w:val="19"/>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4,150</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16.49</w:t>
            </w:r>
          </w:p>
        </w:tc>
        <w:tc>
          <w:tcPr>
            <w:tcW w:w="620" w:type="dxa"/>
            <w:vAlign w:val="bottom"/>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ind w:left="460" w:right="180" w:hanging="452"/>
        <w:spacing w:after="0" w:line="261" w:lineRule="auto"/>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were withheld to pay for tax obligations due upon the vesting of restricted stock held by certain employees granted under the NN, Inc. 2011 Stock Incentive Plan. The NN, Inc. 2011 Stock Incentive Plan provides for the withholding of shares to satisfy tax obligations. It does not specify a maximum number of shares that can be withheld for this purpose. These shares may be deemed to be “issuer purchases” of shares that are required to be disclosed pursuant to this Item.</w:t>
      </w:r>
    </w:p>
    <w:p>
      <w:pPr>
        <w:spacing w:after="0" w:line="325"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70"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70"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exhibits listed in the accompanying Exhibit Index are filed, furnished or incorporated by reference as part of this Quarterly Report.</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00"/>
          </w:cols>
          <w:pgMar w:left="240" w:top="455" w:right="25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NN,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17145</wp:posOffset>
            </wp:positionV>
            <wp:extent cx="340487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(Registrant)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4, 2016</w:t>
      </w:r>
    </w:p>
    <w:p>
      <w:pPr>
        <w:spacing w:after="0" w:line="225"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/s/ Richard D.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17145</wp:posOffset>
            </wp:positionV>
            <wp:extent cx="340487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Richard D. Holder,</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(Duly Authorized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4, 2016</w:t>
      </w:r>
    </w:p>
    <w:p>
      <w:pPr>
        <w:spacing w:after="0" w:line="225"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/s/ Thomas C. Burwell,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17145</wp:posOffset>
            </wp:positionV>
            <wp:extent cx="340487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Thomas C. Burwell, Jr.</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Vice President, Chief Accounting Officer and Corporate Controller</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(Duly Authorized Officer)</w:t>
      </w:r>
    </w:p>
    <w:p>
      <w:pPr>
        <w:spacing w:after="0" w:line="13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20"/>
          </w:cols>
          <w:pgMar w:left="240" w:top="455" w:right="43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500" w:type="dxa"/>
            <w:vAlign w:val="bottom"/>
            <w:gridSpan w:val="3"/>
          </w:tcPr>
          <w:p>
            <w:pPr>
              <w:ind w:left="410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367"/>
        </w:trPr>
        <w:tc>
          <w:tcPr>
            <w:tcW w:w="120" w:type="dxa"/>
            <w:vAlign w:val="bottom"/>
          </w:tcPr>
          <w:p>
            <w:pPr>
              <w:spacing w:after="0"/>
              <w:rPr>
                <w:sz w:val="24"/>
                <w:szCs w:val="24"/>
                <w:color w:val="auto"/>
              </w:rPr>
            </w:pPr>
          </w:p>
        </w:tc>
        <w:tc>
          <w:tcPr>
            <w:tcW w:w="8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50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780" w:type="dxa"/>
            <w:vAlign w:val="bottom"/>
          </w:tcPr>
          <w:p>
            <w:pPr>
              <w:spacing w:after="0"/>
              <w:rPr>
                <w:sz w:val="24"/>
                <w:szCs w:val="24"/>
                <w:color w:val="auto"/>
              </w:rPr>
            </w:pPr>
          </w:p>
        </w:tc>
      </w:tr>
      <w:tr>
        <w:trPr>
          <w:trHeight w:val="187"/>
        </w:trPr>
        <w:tc>
          <w:tcPr>
            <w:tcW w:w="120" w:type="dxa"/>
            <w:vAlign w:val="bottom"/>
          </w:tcPr>
          <w:p>
            <w:pPr>
              <w:spacing w:after="0"/>
              <w:rPr>
                <w:sz w:val="16"/>
                <w:szCs w:val="16"/>
                <w:color w:val="auto"/>
              </w:rPr>
            </w:pPr>
          </w:p>
        </w:tc>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No.</w:t>
            </w:r>
          </w:p>
        </w:tc>
        <w:tc>
          <w:tcPr>
            <w:tcW w:w="340" w:type="dxa"/>
            <w:vAlign w:val="bottom"/>
          </w:tcPr>
          <w:p>
            <w:pPr>
              <w:spacing w:after="0"/>
              <w:rPr>
                <w:sz w:val="16"/>
                <w:szCs w:val="16"/>
                <w:color w:val="auto"/>
              </w:rPr>
            </w:pPr>
          </w:p>
        </w:tc>
        <w:tc>
          <w:tcPr>
            <w:tcW w:w="10500" w:type="dxa"/>
            <w:vAlign w:val="bottom"/>
            <w:gridSpan w:val="3"/>
          </w:tcPr>
          <w:p>
            <w:pPr>
              <w:ind w:left="502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0"/>
        </w:trPr>
        <w:tc>
          <w:tcPr>
            <w:tcW w:w="5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r>
      <w:tr>
        <w:trPr>
          <w:trHeight w:val="273"/>
        </w:trPr>
        <w:tc>
          <w:tcPr>
            <w:tcW w:w="58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10.1</w:t>
            </w:r>
          </w:p>
        </w:tc>
        <w:tc>
          <w:tcPr>
            <w:tcW w:w="340" w:type="dxa"/>
            <w:vAlign w:val="bottom"/>
          </w:tcPr>
          <w:p>
            <w:pPr>
              <w:spacing w:after="0"/>
              <w:rPr>
                <w:sz w:val="23"/>
                <w:szCs w:val="23"/>
                <w:color w:val="auto"/>
              </w:rPr>
            </w:pPr>
          </w:p>
        </w:tc>
        <w:tc>
          <w:tcPr>
            <w:tcW w:w="105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Separation Agreement and Release, dated as of April 4, 2016, by and between James H. Dorton and NN, Inc. (incorporated by reference to</w:t>
            </w:r>
          </w:p>
        </w:tc>
      </w:tr>
      <w:tr>
        <w:trPr>
          <w:trHeight w:val="234"/>
        </w:trPr>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5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Exhibit 10.1 to NN, Inc.’s Current Report on Form 8-K, filed on April 4, 2016).</w:t>
            </w:r>
          </w:p>
        </w:tc>
      </w:tr>
      <w:tr>
        <w:trPr>
          <w:trHeight w:val="306"/>
        </w:trPr>
        <w:tc>
          <w:tcPr>
            <w:tcW w:w="58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10.2</w:t>
            </w:r>
          </w:p>
        </w:tc>
        <w:tc>
          <w:tcPr>
            <w:tcW w:w="340" w:type="dxa"/>
            <w:vAlign w:val="bottom"/>
          </w:tcPr>
          <w:p>
            <w:pPr>
              <w:spacing w:after="0"/>
              <w:rPr>
                <w:sz w:val="24"/>
                <w:szCs w:val="24"/>
                <w:color w:val="auto"/>
              </w:rPr>
            </w:pPr>
          </w:p>
        </w:tc>
        <w:tc>
          <w:tcPr>
            <w:tcW w:w="105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Amended and Restated Registration Rights Agreement, dated as of June 10, 2016, by and among NN, Inc., the guarantors party thereto,</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5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SunTrust Robinson Humphrey, Inc., on behalf of itself and as representative of the initial purchasers, Spring Capital II Subsidiary, L.P.,</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5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w w:val="99"/>
              </w:rPr>
              <w:t>Summit Partners Credit Fund II, L.P, Summit Partners Credit Fund B-2, L.P., Summit Partners Credit Fund A-2, L.P., Summit Investors Credit</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5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II, LLC, Summit Investors Credit II (UK), L.P. and Summit Partners Credit Offshore Intermediate Fund II, L.P. (incorporated by reference to</w:t>
            </w:r>
          </w:p>
        </w:tc>
      </w:tr>
      <w:tr>
        <w:trPr>
          <w:trHeight w:val="234"/>
        </w:trPr>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5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Exhibit 10.1 to NN, Inc.’s Current Report on Form 8-K, filed on June 10, 2016).</w:t>
            </w:r>
          </w:p>
        </w:tc>
      </w:tr>
      <w:tr>
        <w:trPr>
          <w:trHeight w:val="306"/>
        </w:trPr>
        <w:tc>
          <w:tcPr>
            <w:tcW w:w="58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31.1</w:t>
            </w:r>
          </w:p>
        </w:tc>
        <w:tc>
          <w:tcPr>
            <w:tcW w:w="340" w:type="dxa"/>
            <w:vAlign w:val="bottom"/>
          </w:tcPr>
          <w:p>
            <w:pPr>
              <w:spacing w:after="0"/>
              <w:rPr>
                <w:sz w:val="24"/>
                <w:szCs w:val="24"/>
                <w:color w:val="auto"/>
              </w:rPr>
            </w:pPr>
          </w:p>
        </w:tc>
        <w:tc>
          <w:tcPr>
            <w:tcW w:w="105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Certification of Principal Executive Officer Pursuant to Rules 13a-14(a) and 15d-14(a) under the Securities Exchange Act of 1934, as</w:t>
            </w:r>
          </w:p>
        </w:tc>
      </w:tr>
      <w:tr>
        <w:trPr>
          <w:trHeight w:val="234"/>
        </w:trPr>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5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amended.</w:t>
            </w:r>
          </w:p>
        </w:tc>
      </w:tr>
      <w:tr>
        <w:trPr>
          <w:trHeight w:val="306"/>
        </w:trPr>
        <w:tc>
          <w:tcPr>
            <w:tcW w:w="58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31.2</w:t>
            </w:r>
          </w:p>
        </w:tc>
        <w:tc>
          <w:tcPr>
            <w:tcW w:w="340" w:type="dxa"/>
            <w:vAlign w:val="bottom"/>
          </w:tcPr>
          <w:p>
            <w:pPr>
              <w:spacing w:after="0"/>
              <w:rPr>
                <w:sz w:val="24"/>
                <w:szCs w:val="24"/>
                <w:color w:val="auto"/>
              </w:rPr>
            </w:pPr>
          </w:p>
        </w:tc>
        <w:tc>
          <w:tcPr>
            <w:tcW w:w="105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Certification of Principal Financial Officer Pursuant to Rules 13a-14(a) and 15d-14(a) under the Securities Exchange Act of 1934, as</w:t>
            </w:r>
          </w:p>
        </w:tc>
      </w:tr>
      <w:tr>
        <w:trPr>
          <w:trHeight w:val="234"/>
        </w:trPr>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5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amended.</w:t>
            </w:r>
          </w:p>
        </w:tc>
      </w:tr>
      <w:tr>
        <w:trPr>
          <w:trHeight w:val="324"/>
        </w:trPr>
        <w:tc>
          <w:tcPr>
            <w:tcW w:w="58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32.1</w:t>
            </w:r>
          </w:p>
        </w:tc>
        <w:tc>
          <w:tcPr>
            <w:tcW w:w="340" w:type="dxa"/>
            <w:vAlign w:val="bottom"/>
          </w:tcPr>
          <w:p>
            <w:pPr>
              <w:spacing w:after="0"/>
              <w:rPr>
                <w:sz w:val="24"/>
                <w:szCs w:val="24"/>
                <w:color w:val="auto"/>
              </w:rPr>
            </w:pPr>
          </w:p>
        </w:tc>
        <w:tc>
          <w:tcPr>
            <w:tcW w:w="105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Certification of Principal Executive Officer pursuant to Section 906 of the Sarbanes-Oxley Act of 2002.</w:t>
            </w:r>
          </w:p>
        </w:tc>
      </w:tr>
      <w:tr>
        <w:trPr>
          <w:trHeight w:val="324"/>
        </w:trPr>
        <w:tc>
          <w:tcPr>
            <w:tcW w:w="58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32.2</w:t>
            </w:r>
          </w:p>
        </w:tc>
        <w:tc>
          <w:tcPr>
            <w:tcW w:w="340" w:type="dxa"/>
            <w:vAlign w:val="bottom"/>
          </w:tcPr>
          <w:p>
            <w:pPr>
              <w:spacing w:after="0"/>
              <w:rPr>
                <w:sz w:val="24"/>
                <w:szCs w:val="24"/>
                <w:color w:val="auto"/>
              </w:rPr>
            </w:pPr>
          </w:p>
        </w:tc>
        <w:tc>
          <w:tcPr>
            <w:tcW w:w="105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Certification of Principal Financial Officer pursuant to Section 906 of the Sarbanes-Oxley Act of 2002.</w:t>
            </w:r>
          </w:p>
        </w:tc>
      </w:tr>
      <w:tr>
        <w:trPr>
          <w:trHeight w:val="324"/>
        </w:trPr>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101.INS</w:t>
            </w:r>
          </w:p>
        </w:tc>
        <w:tc>
          <w:tcPr>
            <w:tcW w:w="105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324"/>
        </w:trPr>
        <w:tc>
          <w:tcPr>
            <w:tcW w:w="92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rPr>
              <w:t>101.SCH</w:t>
            </w:r>
          </w:p>
        </w:tc>
        <w:tc>
          <w:tcPr>
            <w:tcW w:w="105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XBRL Taxonomy Extension Service</w:t>
            </w:r>
          </w:p>
        </w:tc>
      </w:tr>
      <w:tr>
        <w:trPr>
          <w:trHeight w:val="324"/>
        </w:trPr>
        <w:tc>
          <w:tcPr>
            <w:tcW w:w="92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rPr>
              <w:t>101.CAL</w:t>
            </w:r>
          </w:p>
        </w:tc>
        <w:tc>
          <w:tcPr>
            <w:tcW w:w="105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Taxonomy Calculation Linkbase</w:t>
            </w:r>
          </w:p>
        </w:tc>
      </w:tr>
      <w:tr>
        <w:trPr>
          <w:trHeight w:val="324"/>
        </w:trPr>
        <w:tc>
          <w:tcPr>
            <w:tcW w:w="92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rPr>
              <w:t>101.LAB</w:t>
            </w:r>
          </w:p>
        </w:tc>
        <w:tc>
          <w:tcPr>
            <w:tcW w:w="105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XBRL Taxonomy Label Linkbase</w:t>
            </w:r>
          </w:p>
        </w:tc>
      </w:tr>
      <w:tr>
        <w:trPr>
          <w:trHeight w:val="324"/>
        </w:trPr>
        <w:tc>
          <w:tcPr>
            <w:tcW w:w="92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rPr>
              <w:t>101.PRE</w:t>
            </w:r>
          </w:p>
        </w:tc>
        <w:tc>
          <w:tcPr>
            <w:tcW w:w="105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XBRL Presentation Linkbase Document</w:t>
            </w:r>
          </w:p>
        </w:tc>
      </w:tr>
      <w:tr>
        <w:trPr>
          <w:trHeight w:val="324"/>
        </w:trPr>
        <w:tc>
          <w:tcPr>
            <w:tcW w:w="92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rPr>
              <w:t>101.DEF</w:t>
            </w:r>
          </w:p>
        </w:tc>
        <w:tc>
          <w:tcPr>
            <w:tcW w:w="105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XBRL Definition Linkbase Document</w:t>
            </w:r>
          </w:p>
        </w:tc>
      </w:tr>
      <w:tr>
        <w:trPr>
          <w:trHeight w:val="365"/>
        </w:trPr>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20" w:type="dxa"/>
            <w:vAlign w:val="bottom"/>
          </w:tcPr>
          <w:p>
            <w:pPr>
              <w:ind w:left="4700"/>
              <w:spacing w:after="0"/>
              <w:rPr>
                <w:sz w:val="20"/>
                <w:szCs w:val="20"/>
                <w:color w:val="auto"/>
              </w:rPr>
            </w:pPr>
            <w:r>
              <w:rPr>
                <w:rFonts w:ascii="Times New Roman" w:cs="Times New Roman" w:eastAsia="Times New Roman" w:hAnsi="Times New Roman"/>
                <w:sz w:val="18"/>
                <w:szCs w:val="18"/>
                <w:color w:val="auto"/>
              </w:rPr>
              <w:t>29</w:t>
            </w:r>
          </w:p>
        </w:tc>
        <w:tc>
          <w:tcPr>
            <w:tcW w:w="700" w:type="dxa"/>
            <w:vAlign w:val="bottom"/>
          </w:tcPr>
          <w:p>
            <w:pPr>
              <w:spacing w:after="0"/>
              <w:rPr>
                <w:sz w:val="24"/>
                <w:szCs w:val="24"/>
                <w:color w:val="auto"/>
              </w:rPr>
            </w:pPr>
          </w:p>
        </w:tc>
        <w:tc>
          <w:tcPr>
            <w:tcW w:w="4780" w:type="dxa"/>
            <w:vAlign w:val="bottom"/>
          </w:tcPr>
          <w:p>
            <w:pPr>
              <w:spacing w:after="0"/>
              <w:rPr>
                <w:sz w:val="24"/>
                <w:szCs w:val="24"/>
                <w:color w:val="auto"/>
              </w:rPr>
            </w:pPr>
          </w:p>
        </w:tc>
      </w:tr>
    </w:tbl>
    <w:p>
      <w:pPr>
        <w:sectPr>
          <w:pgSz w:w="11900" w:h="16838" w:orient="portrait"/>
          <w:cols w:equalWidth="0" w:num="1">
            <w:col w:w="11420"/>
          </w:cols>
          <w:pgMar w:left="240" w:top="455" w:right="2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PRINCIPAL EXECUTIVE OFFICER PURSUANT TO RULES 13a-14(a) AND 15d-14(a)</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UNDER THE SECURITIES EXCHANGE ACT OF 1934, AS AMENDED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Richard D. Holder, certify that:</w:t>
      </w:r>
    </w:p>
    <w:p>
      <w:pPr>
        <w:spacing w:after="0" w:line="131" w:lineRule="exact"/>
        <w:rPr>
          <w:sz w:val="20"/>
          <w:szCs w:val="20"/>
          <w:color w:val="auto"/>
        </w:rPr>
      </w:pPr>
    </w:p>
    <w:p>
      <w:pPr>
        <w:ind w:left="460" w:hanging="452"/>
        <w:spacing w:after="0"/>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NN, Inc.;</w:t>
      </w:r>
    </w:p>
    <w:p>
      <w:pPr>
        <w:spacing w:after="0" w:line="130" w:lineRule="exact"/>
        <w:rPr>
          <w:rFonts w:ascii="Times New Roman" w:cs="Times New Roman" w:eastAsia="Times New Roman" w:hAnsi="Times New Roman"/>
          <w:sz w:val="18"/>
          <w:szCs w:val="18"/>
          <w:color w:val="auto"/>
        </w:rPr>
      </w:pPr>
    </w:p>
    <w:p>
      <w:pPr>
        <w:jc w:val="both"/>
        <w:ind w:left="460" w:right="500" w:hanging="452"/>
        <w:spacing w:after="0" w:line="266" w:lineRule="auto"/>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8"/>
          <w:szCs w:val="18"/>
          <w:color w:val="auto"/>
        </w:rPr>
      </w:pPr>
    </w:p>
    <w:p>
      <w:pPr>
        <w:ind w:left="460" w:right="460" w:hanging="452"/>
        <w:spacing w:after="0" w:line="282" w:lineRule="auto"/>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460" w:right="80" w:hanging="452"/>
        <w:spacing w:after="0" w:line="266" w:lineRule="auto"/>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1" w:lineRule="exact"/>
        <w:rPr>
          <w:rFonts w:ascii="Times New Roman" w:cs="Times New Roman" w:eastAsia="Times New Roman" w:hAnsi="Times New Roman"/>
          <w:sz w:val="18"/>
          <w:szCs w:val="18"/>
          <w:color w:val="auto"/>
        </w:rPr>
      </w:pPr>
    </w:p>
    <w:p>
      <w:pPr>
        <w:ind w:left="900" w:right="300" w:hanging="446"/>
        <w:spacing w:after="0" w:line="266" w:lineRule="auto"/>
        <w:tabs>
          <w:tab w:leader="none" w:pos="9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ind w:left="900" w:right="620" w:hanging="446"/>
        <w:spacing w:after="0" w:line="266" w:lineRule="auto"/>
        <w:tabs>
          <w:tab w:leader="none" w:pos="9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8"/>
          <w:szCs w:val="18"/>
          <w:color w:val="auto"/>
        </w:rPr>
      </w:pPr>
    </w:p>
    <w:p>
      <w:pPr>
        <w:jc w:val="both"/>
        <w:ind w:left="900" w:right="800" w:hanging="446"/>
        <w:spacing w:after="0" w:line="313" w:lineRule="auto"/>
        <w:tabs>
          <w:tab w:leader="none" w:pos="900" w:val="left"/>
        </w:tabs>
        <w:numPr>
          <w:ilvl w:val="1"/>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3" w:lineRule="exact"/>
        <w:rPr>
          <w:rFonts w:ascii="Times New Roman" w:cs="Times New Roman" w:eastAsia="Times New Roman" w:hAnsi="Times New Roman"/>
          <w:sz w:val="17"/>
          <w:szCs w:val="17"/>
          <w:color w:val="auto"/>
        </w:rPr>
      </w:pPr>
    </w:p>
    <w:p>
      <w:pPr>
        <w:ind w:left="900" w:right="300" w:hanging="446"/>
        <w:spacing w:after="0" w:line="266" w:lineRule="auto"/>
        <w:tabs>
          <w:tab w:leader="none" w:pos="9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 and</w:t>
      </w:r>
    </w:p>
    <w:p>
      <w:pPr>
        <w:spacing w:after="0" w:line="81" w:lineRule="exact"/>
        <w:rPr>
          <w:rFonts w:ascii="Times New Roman" w:cs="Times New Roman" w:eastAsia="Times New Roman" w:hAnsi="Times New Roman"/>
          <w:sz w:val="18"/>
          <w:szCs w:val="18"/>
          <w:color w:val="auto"/>
        </w:rPr>
      </w:pPr>
    </w:p>
    <w:p>
      <w:pPr>
        <w:ind w:left="460" w:right="380" w:hanging="452"/>
        <w:spacing w:after="0" w:line="282" w:lineRule="auto"/>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900" w:right="200" w:hanging="446"/>
        <w:spacing w:after="0" w:line="282" w:lineRule="auto"/>
        <w:tabs>
          <w:tab w:leader="none" w:pos="9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900" w:right="160" w:hanging="446"/>
        <w:spacing w:after="0" w:line="282" w:lineRule="auto"/>
        <w:tabs>
          <w:tab w:leader="none" w:pos="9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tabs>
          <w:tab w:leader="none" w:pos="6040" w:val="left"/>
        </w:tabs>
        <w:rPr>
          <w:sz w:val="20"/>
          <w:szCs w:val="20"/>
          <w:color w:val="auto"/>
        </w:rPr>
      </w:pPr>
      <w:r>
        <w:rPr>
          <w:rFonts w:ascii="Times New Roman" w:cs="Times New Roman" w:eastAsia="Times New Roman" w:hAnsi="Times New Roman"/>
          <w:sz w:val="18"/>
          <w:szCs w:val="18"/>
          <w:color w:val="auto"/>
        </w:rPr>
        <w:t>Date: August 4, 2016</w:t>
      </w:r>
      <w:r>
        <w:rPr>
          <w:sz w:val="20"/>
          <w:szCs w:val="20"/>
          <w:color w:val="auto"/>
        </w:rPr>
        <w:tab/>
      </w:r>
      <w:r>
        <w:rPr>
          <w:rFonts w:ascii="Times New Roman" w:cs="Times New Roman" w:eastAsia="Times New Roman" w:hAnsi="Times New Roman"/>
          <w:sz w:val="17"/>
          <w:szCs w:val="17"/>
          <w:color w:val="auto"/>
        </w:rPr>
        <w:t>/s/ Richard D.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17145</wp:posOffset>
            </wp:positionV>
            <wp:extent cx="340487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Richard D. Holder</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PRINCIPAL FINANCIAL OFFICER PURSUANT TO RULES 13a-14(a) AND 15d-14(a)</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UNDER THE SECURITIES EXCHANGE ACT OF 1934, AS AMENDED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Thomas C. Burwell, Jr., certify that:</w:t>
      </w:r>
    </w:p>
    <w:p>
      <w:pPr>
        <w:spacing w:after="0" w:line="131" w:lineRule="exact"/>
        <w:rPr>
          <w:sz w:val="20"/>
          <w:szCs w:val="20"/>
          <w:color w:val="auto"/>
        </w:rPr>
      </w:pPr>
    </w:p>
    <w:p>
      <w:pPr>
        <w:ind w:left="460" w:hanging="452"/>
        <w:spacing w:after="0"/>
        <w:tabs>
          <w:tab w:leader="none" w:pos="4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NN, Inc.;</w:t>
      </w:r>
    </w:p>
    <w:p>
      <w:pPr>
        <w:spacing w:after="0" w:line="130" w:lineRule="exact"/>
        <w:rPr>
          <w:rFonts w:ascii="Times New Roman" w:cs="Times New Roman" w:eastAsia="Times New Roman" w:hAnsi="Times New Roman"/>
          <w:sz w:val="18"/>
          <w:szCs w:val="18"/>
          <w:color w:val="auto"/>
        </w:rPr>
      </w:pPr>
    </w:p>
    <w:p>
      <w:pPr>
        <w:jc w:val="both"/>
        <w:ind w:left="460" w:right="500" w:hanging="452"/>
        <w:spacing w:after="0" w:line="266" w:lineRule="auto"/>
        <w:tabs>
          <w:tab w:leader="none" w:pos="4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8"/>
          <w:szCs w:val="18"/>
          <w:color w:val="auto"/>
        </w:rPr>
      </w:pPr>
    </w:p>
    <w:p>
      <w:pPr>
        <w:ind w:left="460" w:right="460" w:hanging="452"/>
        <w:spacing w:after="0" w:line="282" w:lineRule="auto"/>
        <w:tabs>
          <w:tab w:leader="none" w:pos="4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460" w:right="80" w:hanging="452"/>
        <w:spacing w:after="0" w:line="266" w:lineRule="auto"/>
        <w:tabs>
          <w:tab w:leader="none" w:pos="4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1" w:lineRule="exact"/>
        <w:rPr>
          <w:rFonts w:ascii="Times New Roman" w:cs="Times New Roman" w:eastAsia="Times New Roman" w:hAnsi="Times New Roman"/>
          <w:sz w:val="18"/>
          <w:szCs w:val="18"/>
          <w:color w:val="auto"/>
        </w:rPr>
      </w:pPr>
    </w:p>
    <w:p>
      <w:pPr>
        <w:ind w:left="900" w:right="300" w:hanging="446"/>
        <w:spacing w:after="0" w:line="266" w:lineRule="auto"/>
        <w:tabs>
          <w:tab w:leader="none" w:pos="9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ind w:left="900" w:right="620" w:hanging="446"/>
        <w:spacing w:after="0" w:line="266" w:lineRule="auto"/>
        <w:tabs>
          <w:tab w:leader="none" w:pos="9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8"/>
          <w:szCs w:val="18"/>
          <w:color w:val="auto"/>
        </w:rPr>
      </w:pPr>
    </w:p>
    <w:p>
      <w:pPr>
        <w:jc w:val="both"/>
        <w:ind w:left="900" w:right="800" w:hanging="446"/>
        <w:spacing w:after="0" w:line="313" w:lineRule="auto"/>
        <w:tabs>
          <w:tab w:leader="none" w:pos="900"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3" w:lineRule="exact"/>
        <w:rPr>
          <w:rFonts w:ascii="Times New Roman" w:cs="Times New Roman" w:eastAsia="Times New Roman" w:hAnsi="Times New Roman"/>
          <w:sz w:val="17"/>
          <w:szCs w:val="17"/>
          <w:color w:val="auto"/>
        </w:rPr>
      </w:pPr>
    </w:p>
    <w:p>
      <w:pPr>
        <w:ind w:left="900" w:right="300" w:hanging="446"/>
        <w:spacing w:after="0" w:line="266" w:lineRule="auto"/>
        <w:tabs>
          <w:tab w:leader="none" w:pos="9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 and</w:t>
      </w:r>
    </w:p>
    <w:p>
      <w:pPr>
        <w:spacing w:after="0" w:line="81" w:lineRule="exact"/>
        <w:rPr>
          <w:rFonts w:ascii="Times New Roman" w:cs="Times New Roman" w:eastAsia="Times New Roman" w:hAnsi="Times New Roman"/>
          <w:sz w:val="18"/>
          <w:szCs w:val="18"/>
          <w:color w:val="auto"/>
        </w:rPr>
      </w:pPr>
    </w:p>
    <w:p>
      <w:pPr>
        <w:ind w:left="460" w:right="380" w:hanging="452"/>
        <w:spacing w:after="0" w:line="282" w:lineRule="auto"/>
        <w:tabs>
          <w:tab w:leader="none" w:pos="4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900" w:right="200" w:hanging="446"/>
        <w:spacing w:after="0" w:line="282" w:lineRule="auto"/>
        <w:tabs>
          <w:tab w:leader="none" w:pos="9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900" w:right="160" w:hanging="446"/>
        <w:spacing w:after="0" w:line="282" w:lineRule="auto"/>
        <w:tabs>
          <w:tab w:leader="none" w:pos="9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tabs>
          <w:tab w:leader="none" w:pos="6040" w:val="left"/>
        </w:tabs>
        <w:rPr>
          <w:sz w:val="20"/>
          <w:szCs w:val="20"/>
          <w:color w:val="auto"/>
        </w:rPr>
      </w:pPr>
      <w:r>
        <w:rPr>
          <w:rFonts w:ascii="Times New Roman" w:cs="Times New Roman" w:eastAsia="Times New Roman" w:hAnsi="Times New Roman"/>
          <w:sz w:val="18"/>
          <w:szCs w:val="18"/>
          <w:color w:val="auto"/>
        </w:rPr>
        <w:t>Date: August 4, 2016</w:t>
      </w:r>
      <w:r>
        <w:rPr>
          <w:sz w:val="20"/>
          <w:szCs w:val="20"/>
          <w:color w:val="auto"/>
        </w:rPr>
        <w:tab/>
      </w:r>
      <w:r>
        <w:rPr>
          <w:rFonts w:ascii="Times New Roman" w:cs="Times New Roman" w:eastAsia="Times New Roman" w:hAnsi="Times New Roman"/>
          <w:sz w:val="17"/>
          <w:szCs w:val="17"/>
          <w:color w:val="auto"/>
        </w:rPr>
        <w:t>/s/ Thomas C. Burwell,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17145</wp:posOffset>
            </wp:positionV>
            <wp:extent cx="340487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Thomas C. Burwell, Jr.</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Vice President, Chief Accounting Officer and Corporate Controller</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420"/>
          </w:cols>
          <w:pgMar w:left="240" w:top="121" w:right="2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PRINCIPAL EXECUTIVE OFFICER PURSUANT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 SECTION 906 OF THE SARBANES-OXLEY ACT OF 2002</w:t>
      </w:r>
    </w:p>
    <w:p>
      <w:pPr>
        <w:spacing w:after="0" w:line="20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connection with the Quarterly Report of NN, Inc. (the “Company”) on Form 10-Q for the interim period ended June 30, 2016, as filed with the Securities and Exchange Commission on the date hereof (the “Report”), the undersigned, in the capacity and date indicated below, hereby certifies pursuant to 18 U.S.C. §1350, as adopted pursuant to §906 of the Sarbanes-Oxley Act of 2002, that, to my knowledge: (1) The Report fully complies with the requirements of Section 13(a) or 15(d) of the Securities Exchange Act of 1934, and (2) The information contained in the Report fairly presents, in all material respects, the financial condition and results of operations of the Company as of the dates and for the periods indicated.</w:t>
      </w:r>
    </w:p>
    <w:p>
      <w:pPr>
        <w:spacing w:after="0" w:line="211" w:lineRule="exact"/>
        <w:rPr>
          <w:sz w:val="20"/>
          <w:szCs w:val="20"/>
          <w:color w:val="auto"/>
        </w:rPr>
      </w:pPr>
    </w:p>
    <w:p>
      <w:pPr>
        <w:spacing w:after="0"/>
        <w:tabs>
          <w:tab w:leader="none" w:pos="6040" w:val="left"/>
        </w:tabs>
        <w:rPr>
          <w:sz w:val="20"/>
          <w:szCs w:val="20"/>
          <w:color w:val="auto"/>
        </w:rPr>
      </w:pPr>
      <w:r>
        <w:rPr>
          <w:rFonts w:ascii="Times New Roman" w:cs="Times New Roman" w:eastAsia="Times New Roman" w:hAnsi="Times New Roman"/>
          <w:sz w:val="18"/>
          <w:szCs w:val="18"/>
          <w:color w:val="auto"/>
        </w:rPr>
        <w:t>Date: August 4, 2016</w:t>
      </w:r>
      <w:r>
        <w:rPr>
          <w:sz w:val="20"/>
          <w:szCs w:val="20"/>
          <w:color w:val="auto"/>
        </w:rPr>
        <w:tab/>
      </w:r>
      <w:r>
        <w:rPr>
          <w:rFonts w:ascii="Times New Roman" w:cs="Times New Roman" w:eastAsia="Times New Roman" w:hAnsi="Times New Roman"/>
          <w:sz w:val="17"/>
          <w:szCs w:val="17"/>
          <w:color w:val="auto"/>
        </w:rPr>
        <w:t>/s/ Richard D.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17145</wp:posOffset>
            </wp:positionV>
            <wp:extent cx="340487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Richard D. Holder</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PRINCIPAL FINANCIAL OFFICER PURSUANT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 SECTION 906 OF THE SARBANES-OXLEY ACT OF 2002</w:t>
      </w:r>
    </w:p>
    <w:p>
      <w:pPr>
        <w:spacing w:after="0" w:line="20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connection with the Quarterly Report of NN, Inc. (the “Company”) on Form 10-Q for the interim period ended June 30, 2016, as filed with the Securities and Exchange Commission on the date hereof (the “Report”), the undersigned, in the capacity and date indicated below, hereby certifies pursuant to 18 U.S.C. §1350, as adopted pursuant to §906 of the Sarbanes-Oxley Act of 2002, that, to my knowledge: (1) The Report fully complies with the requirements of Section 13(a) or 15(d) of the Securities Exchange Act of 1934, and (2) The information contained in the Report fairly presents, in all material respects, the financial condition and results of operations of the Company as of the dates and for the periods indicated.</w:t>
      </w:r>
    </w:p>
    <w:p>
      <w:pPr>
        <w:spacing w:after="0" w:line="211" w:lineRule="exact"/>
        <w:rPr>
          <w:sz w:val="20"/>
          <w:szCs w:val="20"/>
          <w:color w:val="auto"/>
        </w:rPr>
      </w:pPr>
    </w:p>
    <w:p>
      <w:pPr>
        <w:spacing w:after="0"/>
        <w:tabs>
          <w:tab w:leader="none" w:pos="6040" w:val="left"/>
        </w:tabs>
        <w:rPr>
          <w:sz w:val="20"/>
          <w:szCs w:val="20"/>
          <w:color w:val="auto"/>
        </w:rPr>
      </w:pPr>
      <w:r>
        <w:rPr>
          <w:rFonts w:ascii="Times New Roman" w:cs="Times New Roman" w:eastAsia="Times New Roman" w:hAnsi="Times New Roman"/>
          <w:sz w:val="18"/>
          <w:szCs w:val="18"/>
          <w:color w:val="auto"/>
        </w:rPr>
        <w:t>Date: August 4, 2016</w:t>
      </w:r>
      <w:r>
        <w:rPr>
          <w:sz w:val="20"/>
          <w:szCs w:val="20"/>
          <w:color w:val="auto"/>
        </w:rPr>
        <w:tab/>
      </w:r>
      <w:r>
        <w:rPr>
          <w:rFonts w:ascii="Times New Roman" w:cs="Times New Roman" w:eastAsia="Times New Roman" w:hAnsi="Times New Roman"/>
          <w:sz w:val="17"/>
          <w:szCs w:val="17"/>
          <w:color w:val="auto"/>
        </w:rPr>
        <w:t>/s/ Thomas C. Burwell,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17145</wp:posOffset>
            </wp:positionV>
            <wp:extent cx="340487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Thomas C. Burwell, Jr.</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Vice President, Chief Accounting Officer and Corporate Controller</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(Principal Financial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1)"/>
      <w:numFmt w:val="decimal"/>
      <w:start w:val="1"/>
    </w:lvl>
  </w:abstractNum>
  <w:abstractNum w:abstractNumId="6">
    <w:nsid w:val="79E2A9E3"/>
    <w:multiLevelType w:val="hybridMultilevel"/>
    <w:lvl w:ilvl="0">
      <w:lvlJc w:val="left"/>
      <w:lvlText w:val="%1)"/>
      <w:numFmt w:val="decimal"/>
      <w:start w:val="1"/>
    </w:lvl>
    <w:lvl w:ilvl="1">
      <w:lvlJc w:val="left"/>
      <w:lvlText w:val="%2)"/>
      <w:numFmt w:val="lowerLetter"/>
      <w:start w:val="1"/>
    </w:lvl>
  </w:abstractNum>
  <w:abstractNum w:abstractNumId="7">
    <w:nsid w:val="7545E146"/>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2019-12-29T10:13:55Z</dcterms:created>
  <dcterms:modified xsi:type="dcterms:W3CDTF">2019-12-29T10:13:55Z</dcterms:modified>
</cp:coreProperties>
</file>