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1"/>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148590</wp:posOffset>
            </wp:positionH>
            <wp:positionV relativeFrom="page">
              <wp:posOffset>249555</wp:posOffset>
            </wp:positionV>
            <wp:extent cx="726440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36195"/>
                    </a:xfrm>
                    <a:prstGeom prst="rect">
                      <a:avLst/>
                    </a:prstGeom>
                    <a:noFill/>
                  </pic:spPr>
                </pic:pic>
              </a:graphicData>
            </a:graphic>
          </wp:anchor>
        </w:drawing>
        <w:t>UNITED STATES SECURITIES AND</w:t>
      </w:r>
    </w:p>
    <w:p>
      <w:pPr>
        <w:spacing w:after="0" w:line="37" w:lineRule="exact"/>
        <w:rPr>
          <w:sz w:val="24"/>
          <w:szCs w:val="24"/>
          <w:color w:val="auto"/>
        </w:rPr>
      </w:pPr>
    </w:p>
    <w:p>
      <w:pPr>
        <w:jc w:val="center"/>
        <w:ind w:right="-121"/>
        <w:spacing w:after="0"/>
        <w:rPr>
          <w:sz w:val="20"/>
          <w:szCs w:val="20"/>
          <w:color w:val="auto"/>
        </w:rPr>
      </w:pPr>
      <w:r>
        <w:rPr>
          <w:rFonts w:ascii="Times New Roman" w:cs="Times New Roman" w:eastAsia="Times New Roman" w:hAnsi="Times New Roman"/>
          <w:sz w:val="23"/>
          <w:szCs w:val="23"/>
          <w:b w:val="1"/>
          <w:bCs w:val="1"/>
          <w:color w:val="auto"/>
        </w:rPr>
        <w:t>EXCHANGE COMMISSION</w:t>
      </w:r>
    </w:p>
    <w:p>
      <w:pPr>
        <w:spacing w:after="0" w:line="17" w:lineRule="exact"/>
        <w:rPr>
          <w:sz w:val="24"/>
          <w:szCs w:val="24"/>
          <w:color w:val="auto"/>
        </w:rPr>
      </w:pPr>
    </w:p>
    <w:p>
      <w:pPr>
        <w:jc w:val="center"/>
        <w:ind w:right="-121"/>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1" w:lineRule="exact"/>
        <w:rPr>
          <w:sz w:val="24"/>
          <w:szCs w:val="24"/>
          <w:color w:val="auto"/>
        </w:rPr>
      </w:pPr>
    </w:p>
    <w:p>
      <w:pPr>
        <w:jc w:val="center"/>
        <w:ind w:right="-121"/>
        <w:spacing w:after="0"/>
        <w:rPr>
          <w:sz w:val="20"/>
          <w:szCs w:val="20"/>
          <w:color w:val="auto"/>
        </w:rPr>
      </w:pPr>
      <w:r>
        <w:rPr>
          <w:rFonts w:ascii="Times New Roman" w:cs="Times New Roman" w:eastAsia="Times New Roman" w:hAnsi="Times New Roman"/>
          <w:sz w:val="39"/>
          <w:szCs w:val="39"/>
          <w:b w:val="1"/>
          <w:bCs w:val="1"/>
          <w:color w:val="auto"/>
        </w:rPr>
        <w:t>FORM 10-Q</w:t>
      </w:r>
    </w:p>
    <w:p>
      <w:pPr>
        <w:spacing w:after="0" w:line="291"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color w:val="auto"/>
        </w:rPr>
        <w:t>x QUARTERLY REPORT PURSUANT TO SECTION 13 OR 15(d) OF THE SECURITIES EXCHANGE ACT OF 1934</w:t>
      </w:r>
    </w:p>
    <w:p>
      <w:pPr>
        <w:spacing w:after="0" w:line="253" w:lineRule="exact"/>
        <w:rPr>
          <w:sz w:val="24"/>
          <w:szCs w:val="24"/>
          <w:color w:val="auto"/>
        </w:rPr>
      </w:pPr>
    </w:p>
    <w:p>
      <w:pPr>
        <w:jc w:val="center"/>
        <w:ind w:right="-121"/>
        <w:spacing w:after="0"/>
        <w:rPr>
          <w:sz w:val="20"/>
          <w:szCs w:val="20"/>
          <w:color w:val="auto"/>
        </w:rPr>
      </w:pPr>
      <w:r>
        <w:rPr>
          <w:rFonts w:ascii="Times New Roman" w:cs="Times New Roman" w:eastAsia="Times New Roman" w:hAnsi="Times New Roman"/>
          <w:sz w:val="16"/>
          <w:szCs w:val="16"/>
          <w:color w:val="auto"/>
        </w:rPr>
        <w:t xml:space="preserve">For the quarterly period ended </w:t>
      </w:r>
      <w:r>
        <w:rPr>
          <w:rFonts w:ascii="Times New Roman" w:cs="Times New Roman" w:eastAsia="Times New Roman" w:hAnsi="Times New Roman"/>
          <w:sz w:val="16"/>
          <w:szCs w:val="16"/>
          <w:b w:val="1"/>
          <w:bCs w:val="1"/>
          <w:u w:val="single" w:color="auto"/>
          <w:color w:val="auto"/>
        </w:rPr>
        <w:t>March 31, 2006</w:t>
      </w:r>
    </w:p>
    <w:p>
      <w:pPr>
        <w:spacing w:after="0" w:line="261" w:lineRule="exact"/>
        <w:rPr>
          <w:sz w:val="24"/>
          <w:szCs w:val="24"/>
          <w:color w:val="auto"/>
        </w:rPr>
      </w:pPr>
    </w:p>
    <w:p>
      <w:pPr>
        <w:jc w:val="center"/>
        <w:ind w:right="-121"/>
        <w:spacing w:after="0"/>
        <w:rPr>
          <w:sz w:val="20"/>
          <w:szCs w:val="20"/>
          <w:color w:val="auto"/>
        </w:rPr>
      </w:pPr>
      <w:r>
        <w:rPr>
          <w:rFonts w:ascii="Times New Roman" w:cs="Times New Roman" w:eastAsia="Times New Roman" w:hAnsi="Times New Roman"/>
          <w:sz w:val="16"/>
          <w:szCs w:val="16"/>
          <w:color w:val="auto"/>
        </w:rPr>
        <w:t>OR</w:t>
      </w:r>
    </w:p>
    <w:p>
      <w:pPr>
        <w:spacing w:after="0" w:line="257" w:lineRule="exact"/>
        <w:rPr>
          <w:sz w:val="24"/>
          <w:szCs w:val="24"/>
          <w:color w:val="auto"/>
        </w:rPr>
      </w:pPr>
    </w:p>
    <w:p>
      <w:pPr>
        <w:ind w:left="3882" w:right="3260" w:hanging="3882"/>
        <w:spacing w:after="0" w:line="574" w:lineRule="auto"/>
        <w:tabs>
          <w:tab w:leader="none" w:pos="15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_________ to _________</w:t>
      </w:r>
    </w:p>
    <w:p>
      <w:pPr>
        <w:spacing w:after="0" w:line="1" w:lineRule="exact"/>
        <w:rPr>
          <w:rFonts w:ascii="Times New Roman" w:cs="Times New Roman" w:eastAsia="Times New Roman" w:hAnsi="Times New Roman"/>
          <w:sz w:val="16"/>
          <w:szCs w:val="16"/>
          <w:color w:val="auto"/>
        </w:rPr>
      </w:pPr>
    </w:p>
    <w:p>
      <w:pPr>
        <w:ind w:left="458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u w:val="single" w:color="auto"/>
          <w:color w:val="auto"/>
        </w:rPr>
        <w:t>0-23486</w:t>
      </w:r>
    </w:p>
    <w:p>
      <w:pPr>
        <w:spacing w:after="0" w:line="200" w:lineRule="exact"/>
        <w:rPr>
          <w:sz w:val="24"/>
          <w:szCs w:val="24"/>
          <w:color w:val="auto"/>
        </w:rPr>
      </w:pPr>
    </w:p>
    <w:p>
      <w:pPr>
        <w:spacing w:after="0" w:line="296" w:lineRule="exact"/>
        <w:rPr>
          <w:sz w:val="24"/>
          <w:szCs w:val="24"/>
          <w:color w:val="auto"/>
        </w:rPr>
      </w:pPr>
    </w:p>
    <w:p>
      <w:pPr>
        <w:jc w:val="center"/>
        <w:ind w:right="-121"/>
        <w:spacing w:after="0"/>
        <w:rPr>
          <w:sz w:val="20"/>
          <w:szCs w:val="20"/>
          <w:color w:val="auto"/>
        </w:rPr>
      </w:pPr>
      <w:r>
        <w:rPr>
          <w:rFonts w:ascii="Times New Roman" w:cs="Times New Roman" w:eastAsia="Times New Roman" w:hAnsi="Times New Roman"/>
          <w:sz w:val="39"/>
          <w:szCs w:val="39"/>
          <w:b w:val="1"/>
          <w:bCs w:val="1"/>
          <w:color w:val="auto"/>
        </w:rPr>
        <w:t>NN, Inc.</w:t>
      </w:r>
    </w:p>
    <w:p>
      <w:pPr>
        <w:spacing w:after="0" w:line="64" w:lineRule="exact"/>
        <w:rPr>
          <w:sz w:val="24"/>
          <w:szCs w:val="24"/>
          <w:color w:val="auto"/>
        </w:rPr>
      </w:pPr>
    </w:p>
    <w:p>
      <w:pPr>
        <w:jc w:val="center"/>
        <w:ind w:right="-121"/>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302"/>
          </w:cols>
          <w:pgMar w:left="238" w:top="738" w:right="359" w:bottom="1440" w:gutter="0" w:footer="0" w:header="0"/>
        </w:sectPr>
      </w:pPr>
    </w:p>
    <w:p>
      <w:pPr>
        <w:spacing w:after="0" w:line="265" w:lineRule="exact"/>
        <w:rPr>
          <w:sz w:val="24"/>
          <w:szCs w:val="24"/>
          <w:color w:val="auto"/>
        </w:rPr>
      </w:pPr>
    </w:p>
    <w:p>
      <w:pPr>
        <w:ind w:left="2562"/>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62-1096725</w:t>
      </w:r>
    </w:p>
    <w:p>
      <w:pPr>
        <w:spacing w:after="0" w:line="37" w:lineRule="exact"/>
        <w:rPr>
          <w:sz w:val="24"/>
          <w:szCs w:val="24"/>
          <w:color w:val="auto"/>
        </w:rPr>
      </w:pPr>
    </w:p>
    <w:p>
      <w:pPr>
        <w:sectPr>
          <w:pgSz w:w="11900" w:h="16838" w:orient="portrait"/>
          <w:cols w:equalWidth="0" w:num="2">
            <w:col w:w="7502" w:space="720"/>
            <w:col w:w="3080"/>
          </w:cols>
          <w:pgMar w:left="238" w:top="738" w:right="359" w:bottom="1440" w:gutter="0" w:footer="0" w:header="0"/>
          <w:type w:val="continuous"/>
        </w:sectPr>
      </w:pPr>
    </w:p>
    <w:p>
      <w:pPr>
        <w:ind w:left="94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6"/>
          <w:szCs w:val="16"/>
          <w:color w:val="auto"/>
        </w:rPr>
        <w:t>ncorporation or organization)</w:t>
      </w:r>
    </w:p>
    <w:p>
      <w:pPr>
        <w:spacing w:after="0" w:line="200" w:lineRule="exact"/>
        <w:rPr>
          <w:sz w:val="24"/>
          <w:szCs w:val="24"/>
          <w:color w:val="auto"/>
        </w:rPr>
      </w:pPr>
    </w:p>
    <w:p>
      <w:pPr>
        <w:sectPr>
          <w:pgSz w:w="11900" w:h="16838" w:orient="portrait"/>
          <w:cols w:equalWidth="0" w:num="2">
            <w:col w:w="2802" w:space="80"/>
            <w:col w:w="8420"/>
          </w:cols>
          <w:pgMar w:left="238" w:top="738" w:right="359" w:bottom="1440" w:gutter="0" w:footer="0" w:header="0"/>
          <w:type w:val="continuous"/>
        </w:sectPr>
      </w:pPr>
    </w:p>
    <w:p>
      <w:pPr>
        <w:spacing w:after="0" w:line="16" w:lineRule="exact"/>
        <w:rPr>
          <w:sz w:val="24"/>
          <w:szCs w:val="24"/>
          <w:color w:val="auto"/>
        </w:rPr>
      </w:pPr>
    </w:p>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2000 Waters Edge Drive</w:t>
      </w:r>
    </w:p>
    <w:p>
      <w:pPr>
        <w:spacing w:after="0" w:line="31" w:lineRule="exact"/>
        <w:rPr>
          <w:sz w:val="24"/>
          <w:szCs w:val="24"/>
          <w:color w:val="auto"/>
        </w:rPr>
      </w:pPr>
    </w:p>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Building C, Suite 12</w:t>
      </w:r>
    </w:p>
    <w:p>
      <w:pPr>
        <w:spacing w:after="0" w:line="12" w:lineRule="exact"/>
        <w:rPr>
          <w:sz w:val="24"/>
          <w:szCs w:val="24"/>
          <w:color w:val="auto"/>
        </w:rPr>
      </w:pPr>
    </w:p>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Johnson City, Tennessee 37604</w:t>
      </w:r>
    </w:p>
    <w:p>
      <w:pPr>
        <w:spacing w:after="0" w:line="12" w:lineRule="exact"/>
        <w:rPr>
          <w:sz w:val="24"/>
          <w:szCs w:val="24"/>
          <w:color w:val="auto"/>
        </w:rPr>
      </w:pPr>
    </w:p>
    <w:p>
      <w:pPr>
        <w:jc w:val="center"/>
        <w:ind w:right="-121"/>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237" w:lineRule="exact"/>
        <w:rPr>
          <w:sz w:val="24"/>
          <w:szCs w:val="24"/>
          <w:color w:val="auto"/>
        </w:rPr>
      </w:pPr>
    </w:p>
    <w:p>
      <w:pPr>
        <w:jc w:val="center"/>
        <w:ind w:right="-161"/>
        <w:spacing w:after="0"/>
        <w:rPr>
          <w:sz w:val="20"/>
          <w:szCs w:val="20"/>
          <w:color w:val="auto"/>
        </w:rPr>
      </w:pPr>
      <w:r>
        <w:rPr>
          <w:rFonts w:ascii="Times New Roman" w:cs="Times New Roman" w:eastAsia="Times New Roman" w:hAnsi="Times New Roman"/>
          <w:sz w:val="16"/>
          <w:szCs w:val="16"/>
          <w:b w:val="1"/>
          <w:bCs w:val="1"/>
          <w:color w:val="auto"/>
        </w:rPr>
        <w:t>(423) 743-9151</w:t>
      </w:r>
    </w:p>
    <w:p>
      <w:pPr>
        <w:spacing w:after="0" w:line="31" w:lineRule="exact"/>
        <w:rPr>
          <w:sz w:val="24"/>
          <w:szCs w:val="24"/>
          <w:color w:val="auto"/>
        </w:rPr>
      </w:pPr>
    </w:p>
    <w:p>
      <w:pPr>
        <w:jc w:val="center"/>
        <w:ind w:right="-12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0" w:lineRule="exact"/>
        <w:rPr>
          <w:sz w:val="24"/>
          <w:szCs w:val="24"/>
          <w:color w:val="auto"/>
        </w:rPr>
      </w:pPr>
    </w:p>
    <w:p>
      <w:pPr>
        <w:spacing w:after="0" w:line="286" w:lineRule="exact"/>
        <w:rPr>
          <w:sz w:val="24"/>
          <w:szCs w:val="24"/>
          <w:color w:val="auto"/>
        </w:rPr>
      </w:pPr>
    </w:p>
    <w:p>
      <w:pPr>
        <w:ind w:left="2"/>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ind w:left="2"/>
        <w:spacing w:after="0"/>
        <w:tabs>
          <w:tab w:leader="none" w:pos="1262" w:val="left"/>
          <w:tab w:leader="none" w:pos="2602" w:val="left"/>
        </w:tabs>
        <w:rPr>
          <w:sz w:val="20"/>
          <w:szCs w:val="20"/>
          <w:color w:val="auto"/>
        </w:rPr>
      </w:pPr>
      <w:r>
        <w:rPr>
          <w:rFonts w:ascii="Times New Roman" w:cs="Times New Roman" w:eastAsia="Times New Roman" w:hAnsi="Times New Roman"/>
          <w:sz w:val="16"/>
          <w:szCs w:val="16"/>
          <w:color w:val="auto"/>
        </w:rPr>
        <w:t>the past 90 days.</w:t>
        <w:tab/>
        <w:t>Yes x</w:t>
      </w:r>
      <w:r>
        <w:rPr>
          <w:sz w:val="20"/>
          <w:szCs w:val="20"/>
          <w:color w:val="auto"/>
        </w:rPr>
        <w:tab/>
      </w:r>
      <w:r>
        <w:rPr>
          <w:rFonts w:ascii="Times New Roman" w:cs="Times New Roman" w:eastAsia="Times New Roman" w:hAnsi="Times New Roman"/>
          <w:sz w:val="16"/>
          <w:szCs w:val="16"/>
          <w:color w:val="auto"/>
        </w:rPr>
        <w:t>No o</w:t>
      </w:r>
    </w:p>
    <w:p>
      <w:pPr>
        <w:spacing w:after="0" w:line="269" w:lineRule="exact"/>
        <w:rPr>
          <w:sz w:val="24"/>
          <w:szCs w:val="24"/>
          <w:color w:val="auto"/>
        </w:rPr>
      </w:pPr>
    </w:p>
    <w:p>
      <w:pPr>
        <w:ind w:left="2" w:right="620"/>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02"/>
          </w:cols>
          <w:pgMar w:left="238" w:top="738" w:right="359" w:bottom="1440" w:gutter="0" w:footer="0" w:header="0"/>
          <w:type w:val="continuous"/>
        </w:sectPr>
      </w:pPr>
    </w:p>
    <w:p>
      <w:pPr>
        <w:spacing w:after="0" w:line="1"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color w:val="auto"/>
        </w:rPr>
        <w:t>Large accelerated filer o</w:t>
      </w:r>
    </w:p>
    <w:p>
      <w:pPr>
        <w:spacing w:after="0" w:line="20" w:lineRule="exact"/>
        <w:rPr>
          <w:sz w:val="24"/>
          <w:szCs w:val="24"/>
          <w:color w:val="auto"/>
        </w:rPr>
      </w:pPr>
      <w:r>
        <w:rPr>
          <w:sz w:val="24"/>
          <w:szCs w:val="24"/>
          <w:color w:val="auto"/>
        </w:rPr>
        <w:br w:type="column"/>
      </w:r>
    </w:p>
    <w:p>
      <w:pPr>
        <w:jc w:val="center"/>
        <w:ind w:right="260"/>
        <w:spacing w:after="0"/>
        <w:rPr>
          <w:sz w:val="20"/>
          <w:szCs w:val="20"/>
          <w:color w:val="auto"/>
        </w:rPr>
      </w:pPr>
      <w:r>
        <w:rPr>
          <w:rFonts w:ascii="Times New Roman" w:cs="Times New Roman" w:eastAsia="Times New Roman" w:hAnsi="Times New Roman"/>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Non-accelerated filer o</w:t>
      </w:r>
    </w:p>
    <w:p>
      <w:pPr>
        <w:spacing w:after="0" w:line="200" w:lineRule="exact"/>
        <w:rPr>
          <w:sz w:val="24"/>
          <w:szCs w:val="24"/>
          <w:color w:val="auto"/>
        </w:rPr>
      </w:pPr>
    </w:p>
    <w:p>
      <w:pPr>
        <w:sectPr>
          <w:pgSz w:w="11900" w:h="16838" w:orient="portrait"/>
          <w:cols w:equalWidth="0" w:num="3">
            <w:col w:w="1842" w:space="720"/>
            <w:col w:w="1480" w:space="720"/>
            <w:col w:w="6540"/>
          </w:cols>
          <w:pgMar w:left="238" w:top="738" w:right="359" w:bottom="1440" w:gutter="0" w:footer="0" w:header="0"/>
          <w:type w:val="continuous"/>
        </w:sectPr>
      </w:pPr>
    </w:p>
    <w:p>
      <w:pPr>
        <w:spacing w:after="0" w:line="106"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 x</w:t>
      </w:r>
    </w:p>
    <w:p>
      <w:pPr>
        <w:spacing w:after="0" w:line="200" w:lineRule="exact"/>
        <w:rPr>
          <w:sz w:val="24"/>
          <w:szCs w:val="24"/>
          <w:color w:val="auto"/>
        </w:rPr>
      </w:pPr>
    </w:p>
    <w:p>
      <w:pPr>
        <w:sectPr>
          <w:pgSz w:w="11900" w:h="16838" w:orient="portrait"/>
          <w:cols w:equalWidth="0" w:num="2">
            <w:col w:w="7842" w:space="500"/>
            <w:col w:w="2960"/>
          </w:cols>
          <w:pgMar w:left="238" w:top="738" w:right="359" w:bottom="1440" w:gutter="0" w:footer="0" w:header="0"/>
          <w:type w:val="continuous"/>
        </w:sectPr>
      </w:pPr>
    </w:p>
    <w:p>
      <w:pPr>
        <w:spacing w:after="0" w:line="69"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color w:val="auto"/>
        </w:rPr>
        <w:t>As of May 8, 2006 there were 17,235,947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256540</wp:posOffset>
            </wp:positionV>
            <wp:extent cx="726440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412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707390</wp:posOffset>
            </wp:positionV>
            <wp:extent cx="726440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02"/>
          </w:cols>
          <w:pgMar w:left="238" w:top="738" w:right="359" w:bottom="1440" w:gutter="0" w:footer="0" w:header="0"/>
          <w:type w:val="continuous"/>
        </w:sectPr>
      </w:pPr>
    </w:p>
    <w:bookmarkStart w:id="1" w:name="page2"/>
    <w:bookmarkEnd w:id="1"/>
    <w:p>
      <w:pPr>
        <w:ind w:left="4800"/>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INDEX</w:t>
      </w:r>
    </w:p>
    <w:p>
      <w:pPr>
        <w:sectPr>
          <w:pgSz w:w="11900" w:h="16838" w:orient="portrait"/>
          <w:cols w:equalWidth="0" w:num="1">
            <w:col w:w="9599"/>
          </w:cols>
          <w:pgMar w:left="860" w:top="560"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75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Financial Information</w:t>
            </w:r>
          </w:p>
        </w:tc>
      </w:tr>
      <w:tr>
        <w:trPr>
          <w:trHeight w:val="205"/>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Financial Statements:</w:t>
            </w:r>
          </w:p>
        </w:tc>
      </w:tr>
      <w:tr>
        <w:trPr>
          <w:trHeight w:val="196"/>
        </w:trPr>
        <w:tc>
          <w:tcPr>
            <w:tcW w:w="108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Consolidated Statements of Income and Comprehensive Income for the three months ended March 31, 2006</w:t>
            </w:r>
          </w:p>
        </w:tc>
      </w:tr>
      <w:tr>
        <w:trPr>
          <w:trHeight w:val="208"/>
        </w:trPr>
        <w:tc>
          <w:tcPr>
            <w:tcW w:w="108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and 2005 (unaudited)</w:t>
            </w:r>
          </w:p>
        </w:tc>
      </w:tr>
      <w:tr>
        <w:trPr>
          <w:trHeight w:val="208"/>
        </w:trPr>
        <w:tc>
          <w:tcPr>
            <w:tcW w:w="108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Condensed Consolidated Balance Sheets at March 31, 2006 and December 31, 2005 (unaudited)</w:t>
            </w:r>
          </w:p>
        </w:tc>
      </w:tr>
      <w:tr>
        <w:trPr>
          <w:trHeight w:val="196"/>
        </w:trPr>
        <w:tc>
          <w:tcPr>
            <w:tcW w:w="1080" w:type="dxa"/>
            <w:vAlign w:val="bottom"/>
          </w:tcPr>
          <w:p>
            <w:pPr>
              <w:spacing w:after="0"/>
              <w:rPr>
                <w:sz w:val="17"/>
                <w:szCs w:val="17"/>
                <w:color w:val="auto"/>
              </w:rPr>
            </w:pP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 for the three months ended March 31, 2006 and</w:t>
            </w:r>
          </w:p>
        </w:tc>
      </w:tr>
      <w:tr>
        <w:trPr>
          <w:trHeight w:val="208"/>
        </w:trPr>
        <w:tc>
          <w:tcPr>
            <w:tcW w:w="108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2005 (unaudited)</w:t>
            </w:r>
          </w:p>
        </w:tc>
      </w:tr>
      <w:tr>
        <w:trPr>
          <w:trHeight w:val="211"/>
        </w:trPr>
        <w:tc>
          <w:tcPr>
            <w:tcW w:w="108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Consolidated Statements of Cash Flows for the three months ended March 31, 2006 and 2005 (unaudited)</w:t>
            </w:r>
          </w:p>
        </w:tc>
      </w:tr>
      <w:tr>
        <w:trPr>
          <w:trHeight w:val="220"/>
        </w:trPr>
        <w:tc>
          <w:tcPr>
            <w:tcW w:w="1080" w:type="dxa"/>
            <w:vAlign w:val="bottom"/>
          </w:tcPr>
          <w:p>
            <w:pPr>
              <w:spacing w:after="0"/>
              <w:rPr>
                <w:sz w:val="19"/>
                <w:szCs w:val="19"/>
                <w:color w:val="auto"/>
              </w:rPr>
            </w:pP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Notes to Consolidated Financial Statements (unaudited)</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r>
      <w:tr>
        <w:trPr>
          <w:trHeight w:val="217"/>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r>
      <w:tr>
        <w:trPr>
          <w:trHeight w:val="222"/>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Controls and Procedures</w:t>
            </w:r>
          </w:p>
        </w:tc>
      </w:tr>
      <w:tr>
        <w:trPr>
          <w:trHeight w:val="222"/>
        </w:trPr>
        <w:tc>
          <w:tcPr>
            <w:tcW w:w="1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Other Information</w:t>
            </w:r>
          </w:p>
        </w:tc>
      </w:tr>
      <w:tr>
        <w:trPr>
          <w:trHeight w:val="217"/>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Legal Proceedings</w:t>
            </w:r>
          </w:p>
        </w:tc>
      </w:tr>
      <w:tr>
        <w:trPr>
          <w:trHeight w:val="208"/>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Risk Factors</w:t>
            </w: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Unregistered Sales of Equity Securities and Use of Proceeds</w:t>
            </w: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Defaults Upon Senior Securities</w:t>
            </w: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Submission of Matters to a Vote of Security Holders</w:t>
            </w: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Information</w:t>
            </w: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7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Exhibits</w:t>
            </w:r>
          </w:p>
        </w:tc>
      </w:tr>
      <w:tr>
        <w:trPr>
          <w:trHeight w:val="211"/>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Signatures</w:t>
            </w:r>
          </w:p>
        </w:tc>
        <w:tc>
          <w:tcPr>
            <w:tcW w:w="7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 No.</w:t>
      </w:r>
    </w:p>
    <w:p>
      <w:pPr>
        <w:spacing w:after="0" w:line="200" w:lineRule="exact"/>
        <w:rPr>
          <w:sz w:val="20"/>
          <w:szCs w:val="20"/>
          <w:color w:val="auto"/>
        </w:rPr>
      </w:pPr>
    </w:p>
    <w:p>
      <w:pPr>
        <w:spacing w:after="0" w:line="3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2</w:t>
      </w:r>
    </w:p>
    <w:p>
      <w:pPr>
        <w:spacing w:after="0" w:line="1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3</w:t>
      </w:r>
    </w:p>
    <w:p>
      <w:pPr>
        <w:spacing w:after="0" w:line="1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4</w:t>
      </w:r>
    </w:p>
    <w:p>
      <w:pPr>
        <w:spacing w:after="0" w:line="1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5</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6</w:t>
      </w:r>
    </w:p>
    <w:p>
      <w:pPr>
        <w:spacing w:after="0" w:line="33"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6"/>
          <w:szCs w:val="16"/>
          <w:color w:val="auto"/>
        </w:rPr>
        <w:t>15</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18</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18</w:t>
      </w:r>
    </w:p>
    <w:p>
      <w:pPr>
        <w:spacing w:after="0" w:line="253"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6"/>
          <w:szCs w:val="16"/>
          <w:color w:val="auto"/>
        </w:rPr>
        <w:t>19</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19</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19</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19</w:t>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19</w:t>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19</w:t>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19</w:t>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20</w:t>
      </w:r>
    </w:p>
    <w:p>
      <w:pPr>
        <w:spacing w:after="0" w:line="211" w:lineRule="exact"/>
        <w:rPr>
          <w:sz w:val="20"/>
          <w:szCs w:val="20"/>
          <w:color w:val="auto"/>
        </w:rPr>
      </w:pPr>
    </w:p>
    <w:p>
      <w:pPr>
        <w:sectPr>
          <w:pgSz w:w="11900" w:h="16838" w:orient="portrait"/>
          <w:cols w:equalWidth="0" w:num="2">
            <w:col w:w="8620" w:space="120"/>
            <w:col w:w="859"/>
          </w:cols>
          <w:pgMar w:left="860" w:top="5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70485</wp:posOffset>
            </wp:positionV>
            <wp:extent cx="726440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9599"/>
          </w:cols>
          <w:pgMar w:left="860" w:top="560" w:right="1440" w:bottom="1440" w:gutter="0" w:footer="0" w:header="0"/>
          <w:type w:val="continuous"/>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Income and Comprehensive Income</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60" w:type="dxa"/>
            <w:vAlign w:val="bottom"/>
            <w:gridSpan w:val="3"/>
          </w:tcPr>
          <w:p>
            <w:pPr>
              <w:jc w:val="center"/>
              <w:ind w:left="151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5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60" w:type="dxa"/>
            <w:vAlign w:val="bottom"/>
            <w:gridSpan w:val="3"/>
          </w:tcPr>
          <w:p>
            <w:pPr>
              <w:jc w:val="center"/>
              <w:ind w:left="1518"/>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40"/>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(Thousands of Dollars, Except Per Share Data)</w:t>
            </w:r>
          </w:p>
        </w:tc>
        <w:tc>
          <w:tcPr>
            <w:tcW w:w="3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2006 (Unaudited)</w:t>
            </w:r>
          </w:p>
        </w:tc>
        <w:tc>
          <w:tcPr>
            <w:tcW w:w="16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b w:val="1"/>
                <w:bCs w:val="1"/>
                <w:color w:val="auto"/>
              </w:rPr>
              <w:t>2005</w:t>
            </w:r>
          </w:p>
        </w:tc>
        <w:tc>
          <w:tcPr>
            <w:tcW w:w="380" w:type="dxa"/>
            <w:vAlign w:val="bottom"/>
            <w:tcBorders>
              <w:bottom w:val="single" w:sz="8" w:color="auto"/>
            </w:tcBorders>
          </w:tcPr>
          <w:p>
            <w:pPr>
              <w:spacing w:after="0"/>
              <w:rPr>
                <w:sz w:val="20"/>
                <w:szCs w:val="20"/>
                <w:color w:val="auto"/>
              </w:rPr>
            </w:pPr>
          </w:p>
        </w:tc>
      </w:tr>
      <w:tr>
        <w:trPr>
          <w:trHeight w:val="21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$ 86,017</w:t>
            </w:r>
          </w:p>
        </w:tc>
        <w:tc>
          <w:tcPr>
            <w:tcW w:w="8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$ 86,715</w:t>
            </w:r>
          </w:p>
        </w:tc>
      </w:tr>
      <w:tr>
        <w:trPr>
          <w:trHeight w:val="179"/>
        </w:trPr>
        <w:tc>
          <w:tcPr>
            <w:tcW w:w="55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Cost of products sold (exclusive of depreciation</w:t>
            </w:r>
          </w:p>
        </w:tc>
        <w:tc>
          <w:tcPr>
            <w:tcW w:w="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12"/>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shown separately below)</w:t>
            </w:r>
          </w:p>
        </w:tc>
        <w:tc>
          <w:tcPr>
            <w:tcW w:w="3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65,999</w:t>
            </w:r>
          </w:p>
        </w:tc>
        <w:tc>
          <w:tcPr>
            <w:tcW w:w="80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67,666</w:t>
            </w:r>
          </w:p>
        </w:tc>
      </w:tr>
      <w:tr>
        <w:trPr>
          <w:trHeight w:val="221"/>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7,484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4,174</w:t>
            </w:r>
          </w:p>
        </w:tc>
      </w:tr>
      <w:tr>
        <w:trPr>
          <w:trHeight w:val="229"/>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on disposal of assets</w:t>
            </w:r>
          </w:p>
        </w:tc>
        <w:tc>
          <w:tcPr>
            <w:tcW w:w="36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(730)</w:t>
            </w:r>
          </w:p>
        </w:tc>
        <w:tc>
          <w:tcPr>
            <w:tcW w:w="8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55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08"/>
        </w:trPr>
        <w:tc>
          <w:tcPr>
            <w:tcW w:w="55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7,387</w:t>
            </w:r>
          </w:p>
        </w:tc>
      </w:tr>
      <w:tr>
        <w:trPr>
          <w:trHeight w:val="225"/>
        </w:trPr>
        <w:tc>
          <w:tcPr>
            <w:tcW w:w="5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3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986</w:t>
            </w:r>
          </w:p>
        </w:tc>
        <w:tc>
          <w:tcPr>
            <w:tcW w:w="80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984</w:t>
            </w:r>
          </w:p>
        </w:tc>
      </w:tr>
      <w:tr>
        <w:trPr>
          <w:trHeight w:val="229"/>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(209)</w:t>
            </w:r>
          </w:p>
        </w:tc>
        <w:tc>
          <w:tcPr>
            <w:tcW w:w="8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(171)</w:t>
            </w:r>
          </w:p>
        </w:tc>
      </w:tr>
      <w:tr>
        <w:trPr>
          <w:trHeight w:val="20"/>
        </w:trPr>
        <w:tc>
          <w:tcPr>
            <w:tcW w:w="55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08"/>
        </w:trPr>
        <w:tc>
          <w:tcPr>
            <w:tcW w:w="55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8,128</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6,574</w:t>
            </w:r>
          </w:p>
        </w:tc>
      </w:tr>
      <w:tr>
        <w:trPr>
          <w:trHeight w:val="229"/>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2,551</w:t>
            </w:r>
          </w:p>
        </w:tc>
      </w:tr>
      <w:tr>
        <w:trPr>
          <w:trHeight w:val="20"/>
        </w:trPr>
        <w:tc>
          <w:tcPr>
            <w:tcW w:w="55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08"/>
        </w:trPr>
        <w:tc>
          <w:tcPr>
            <w:tcW w:w="55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5,262</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4,023</w:t>
            </w:r>
          </w:p>
        </w:tc>
      </w:tr>
      <w:tr>
        <w:trPr>
          <w:trHeight w:val="225"/>
        </w:trPr>
        <w:tc>
          <w:tcPr>
            <w:tcW w:w="5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8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holding loss on securities,</w:t>
            </w:r>
          </w:p>
        </w:tc>
        <w:tc>
          <w:tcPr>
            <w:tcW w:w="36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212"/>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 tax</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(73)</w:t>
            </w:r>
          </w:p>
        </w:tc>
      </w:tr>
      <w:tr>
        <w:trPr>
          <w:trHeight w:val="211"/>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(4,070)</w:t>
            </w:r>
          </w:p>
        </w:tc>
      </w:tr>
      <w:tr>
        <w:trPr>
          <w:trHeight w:val="33"/>
        </w:trPr>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48"/>
        </w:trPr>
        <w:tc>
          <w:tcPr>
            <w:tcW w:w="55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$7,492</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(120)</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02"/>
        </w:trPr>
        <w:tc>
          <w:tcPr>
            <w:tcW w:w="5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20"/>
        </w:trPr>
        <w:tc>
          <w:tcPr>
            <w:tcW w:w="5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20"/>
        </w:trPr>
        <w:tc>
          <w:tcPr>
            <w:tcW w:w="5540" w:type="dxa"/>
            <w:vAlign w:val="bottom"/>
          </w:tcPr>
          <w:p>
            <w:pPr>
              <w:spacing w:after="0"/>
              <w:rPr>
                <w:sz w:val="19"/>
                <w:szCs w:val="19"/>
                <w:color w:val="auto"/>
              </w:rPr>
            </w:pPr>
          </w:p>
        </w:tc>
        <w:tc>
          <w:tcPr>
            <w:tcW w:w="3120" w:type="dxa"/>
            <w:vAlign w:val="bottom"/>
            <w:gridSpan w:val="3"/>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gridSpan w:val="2"/>
          </w:tcPr>
          <w:p>
            <w:pPr>
              <w:spacing w:after="0"/>
              <w:rPr>
                <w:sz w:val="19"/>
                <w:szCs w:val="19"/>
                <w:color w:val="auto"/>
              </w:rPr>
            </w:pPr>
          </w:p>
        </w:tc>
      </w:tr>
      <w:tr>
        <w:trPr>
          <w:trHeight w:val="25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income per common share:</w:t>
            </w:r>
          </w:p>
        </w:tc>
        <w:tc>
          <w:tcPr>
            <w:tcW w:w="360" w:type="dxa"/>
            <w:vAlign w:val="bottom"/>
            <w:shd w:val="clear" w:color="auto" w:fill="CCEEFF"/>
          </w:tcPr>
          <w:p>
            <w:pPr>
              <w:spacing w:after="0"/>
              <w:rPr>
                <w:sz w:val="22"/>
                <w:szCs w:val="22"/>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$ 0.31</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$ 0.24</w:t>
            </w:r>
          </w:p>
        </w:tc>
      </w:tr>
      <w:tr>
        <w:trPr>
          <w:trHeight w:val="202"/>
        </w:trPr>
        <w:tc>
          <w:tcPr>
            <w:tcW w:w="55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r>
      <w:tr>
        <w:trPr>
          <w:trHeight w:val="25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17,152</w:t>
            </w:r>
          </w:p>
        </w:tc>
        <w:tc>
          <w:tcPr>
            <w:tcW w:w="80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16,889</w:t>
            </w:r>
          </w:p>
        </w:tc>
      </w:tr>
      <w:tr>
        <w:trPr>
          <w:trHeight w:val="202"/>
        </w:trPr>
        <w:tc>
          <w:tcPr>
            <w:tcW w:w="55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r>
      <w:tr>
        <w:trPr>
          <w:trHeight w:val="220"/>
        </w:trPr>
        <w:tc>
          <w:tcPr>
            <w:tcW w:w="5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20"/>
        </w:trPr>
        <w:tc>
          <w:tcPr>
            <w:tcW w:w="5540" w:type="dxa"/>
            <w:vAlign w:val="bottom"/>
          </w:tcPr>
          <w:p>
            <w:pPr>
              <w:spacing w:after="0"/>
              <w:rPr>
                <w:sz w:val="19"/>
                <w:szCs w:val="19"/>
                <w:color w:val="auto"/>
              </w:rPr>
            </w:pPr>
          </w:p>
        </w:tc>
        <w:tc>
          <w:tcPr>
            <w:tcW w:w="3120" w:type="dxa"/>
            <w:vAlign w:val="bottom"/>
            <w:gridSpan w:val="3"/>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gridSpan w:val="2"/>
          </w:tcPr>
          <w:p>
            <w:pPr>
              <w:spacing w:after="0"/>
              <w:rPr>
                <w:sz w:val="19"/>
                <w:szCs w:val="19"/>
                <w:color w:val="auto"/>
              </w:rPr>
            </w:pPr>
          </w:p>
        </w:tc>
      </w:tr>
      <w:tr>
        <w:trPr>
          <w:trHeight w:val="25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income per common share:</w:t>
            </w:r>
          </w:p>
        </w:tc>
        <w:tc>
          <w:tcPr>
            <w:tcW w:w="360" w:type="dxa"/>
            <w:vAlign w:val="bottom"/>
            <w:shd w:val="clear" w:color="auto" w:fill="CCEEFF"/>
          </w:tcPr>
          <w:p>
            <w:pPr>
              <w:spacing w:after="0"/>
              <w:rPr>
                <w:sz w:val="22"/>
                <w:szCs w:val="22"/>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$ 0.30</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$ 0.23</w:t>
            </w:r>
          </w:p>
        </w:tc>
      </w:tr>
      <w:tr>
        <w:trPr>
          <w:trHeight w:val="202"/>
        </w:trPr>
        <w:tc>
          <w:tcPr>
            <w:tcW w:w="55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r>
      <w:tr>
        <w:trPr>
          <w:trHeight w:val="25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60" w:type="dxa"/>
            <w:vAlign w:val="bottom"/>
            <w:shd w:val="clear" w:color="auto" w:fill="CCEEFF"/>
          </w:tcPr>
          <w:p>
            <w:pPr>
              <w:spacing w:after="0"/>
              <w:rPr>
                <w:sz w:val="22"/>
                <w:szCs w:val="22"/>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17,376</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17,261</w:t>
            </w:r>
          </w:p>
        </w:tc>
      </w:tr>
      <w:tr>
        <w:trPr>
          <w:trHeight w:val="202"/>
        </w:trPr>
        <w:tc>
          <w:tcPr>
            <w:tcW w:w="55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r>
      <w:tr>
        <w:trPr>
          <w:trHeight w:val="23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per common share</w:t>
            </w:r>
          </w:p>
        </w:tc>
        <w:tc>
          <w:tcPr>
            <w:tcW w:w="360" w:type="dxa"/>
            <w:vAlign w:val="bottom"/>
            <w:shd w:val="clear" w:color="auto" w:fill="CCEEFF"/>
          </w:tcPr>
          <w:p>
            <w:pPr>
              <w:spacing w:after="0"/>
              <w:rPr>
                <w:sz w:val="20"/>
                <w:szCs w:val="20"/>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$ 0.08</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$ 0.08</w:t>
            </w: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See accompanying notes.</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6440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25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9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6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(Thousands of Dollars)</w:t>
            </w:r>
          </w:p>
        </w:tc>
        <w:tc>
          <w:tcPr>
            <w:tcW w:w="1920" w:type="dxa"/>
            <w:vAlign w:val="bottom"/>
          </w:tcPr>
          <w:p>
            <w:pPr>
              <w:jc w:val="right"/>
              <w:ind w:right="718"/>
              <w:spacing w:after="0"/>
              <w:rPr>
                <w:sz w:val="20"/>
                <w:szCs w:val="20"/>
                <w:color w:val="auto"/>
              </w:rPr>
            </w:pPr>
            <w:r>
              <w:rPr>
                <w:rFonts w:ascii="Times New Roman" w:cs="Times New Roman" w:eastAsia="Times New Roman" w:hAnsi="Times New Roman"/>
                <w:sz w:val="16"/>
                <w:szCs w:val="16"/>
                <w:b w:val="1"/>
                <w:bCs w:val="1"/>
                <w:color w:val="auto"/>
              </w:rPr>
              <w:t>2006</w:t>
            </w:r>
          </w:p>
        </w:tc>
        <w:tc>
          <w:tcPr>
            <w:tcW w:w="580" w:type="dxa"/>
            <w:vAlign w:val="bottom"/>
          </w:tcPr>
          <w:p>
            <w:pPr>
              <w:spacing w:after="0"/>
              <w:rPr>
                <w:sz w:val="19"/>
                <w:szCs w:val="19"/>
                <w:color w:val="auto"/>
              </w:rPr>
            </w:pPr>
          </w:p>
        </w:tc>
        <w:tc>
          <w:tcPr>
            <w:tcW w:w="1960" w:type="dxa"/>
            <w:vAlign w:val="bottom"/>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9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$ 7,537</w:t>
            </w:r>
          </w:p>
        </w:tc>
        <w:tc>
          <w:tcPr>
            <w:tcW w:w="5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$ 10,856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5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59,881</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Inventories, net</w:t>
            </w:r>
          </w:p>
        </w:tc>
        <w:tc>
          <w:tcPr>
            <w:tcW w:w="2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36,770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Income tax receivable</w:t>
            </w:r>
          </w:p>
        </w:tc>
        <w:tc>
          <w:tcPr>
            <w:tcW w:w="25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537</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9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Other current assets</w:t>
            </w:r>
          </w:p>
        </w:tc>
        <w:tc>
          <w:tcPr>
            <w:tcW w:w="25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10,596</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980" w:type="dxa"/>
            <w:vAlign w:val="bottom"/>
            <w:tcBorders>
              <w:top w:val="single" w:sz="8" w:color="CCEEFF"/>
            </w:tcBorders>
          </w:tcPr>
          <w:p>
            <w:pPr>
              <w:ind w:left="1200"/>
              <w:spacing w:after="0"/>
              <w:rPr>
                <w:sz w:val="20"/>
                <w:szCs w:val="20"/>
                <w:color w:val="auto"/>
              </w:rPr>
            </w:pPr>
            <w:r>
              <w:rPr>
                <w:rFonts w:ascii="Times New Roman" w:cs="Times New Roman" w:eastAsia="Times New Roman" w:hAnsi="Times New Roman"/>
                <w:sz w:val="16"/>
                <w:szCs w:val="16"/>
                <w:color w:val="auto"/>
              </w:rPr>
              <w:t>Total current assets</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115,321</w:t>
            </w:r>
          </w:p>
        </w:tc>
        <w:tc>
          <w:tcPr>
            <w:tcW w:w="580" w:type="dxa"/>
            <w:vAlign w:val="bottom"/>
            <w:tcBorders>
              <w:top w:val="single" w:sz="8" w:color="CCEEFF"/>
            </w:tcBorders>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9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5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117,605</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net</w:t>
            </w:r>
          </w:p>
        </w:tc>
        <w:tc>
          <w:tcPr>
            <w:tcW w:w="2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42,090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5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Total assets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$ 277,100</w:t>
            </w:r>
          </w:p>
        </w:tc>
        <w:tc>
          <w:tcPr>
            <w:tcW w:w="5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$ 269,655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Accounts payable</w:t>
            </w:r>
          </w:p>
        </w:tc>
        <w:tc>
          <w:tcPr>
            <w:tcW w:w="2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$ 40,884</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25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12,062</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Income taxes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5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5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9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6,596</w:t>
            </w:r>
          </w:p>
        </w:tc>
        <w:tc>
          <w:tcPr>
            <w:tcW w:w="5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980" w:type="dxa"/>
            <w:vAlign w:val="bottom"/>
            <w:tcBorders>
              <w:top w:val="single" w:sz="8" w:color="CCEEFF"/>
            </w:tcBorders>
          </w:tcPr>
          <w:p>
            <w:pPr>
              <w:ind w:left="1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65,531</w:t>
            </w:r>
          </w:p>
        </w:tc>
        <w:tc>
          <w:tcPr>
            <w:tcW w:w="580" w:type="dxa"/>
            <w:vAlign w:val="bottom"/>
            <w:tcBorders>
              <w:top w:val="single" w:sz="8" w:color="CCEEFF"/>
            </w:tcBorders>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9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Non-current deferred tax liability</w:t>
            </w:r>
          </w:p>
        </w:tc>
        <w:tc>
          <w:tcPr>
            <w:tcW w:w="25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15,337</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57,900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Accrued pension and other</w:t>
            </w:r>
          </w:p>
        </w:tc>
        <w:tc>
          <w:tcPr>
            <w:tcW w:w="25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16,175</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154,943</w:t>
            </w:r>
          </w:p>
        </w:tc>
        <w:tc>
          <w:tcPr>
            <w:tcW w:w="5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9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122,157</w:t>
            </w:r>
          </w:p>
        </w:tc>
        <w:tc>
          <w:tcPr>
            <w:tcW w:w="5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116,074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980" w:type="dxa"/>
            <w:vAlign w:val="bottom"/>
            <w:tcBorders>
              <w:top w:val="single" w:sz="8" w:color="CCEEFF"/>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$ 277,100</w:t>
            </w:r>
          </w:p>
        </w:tc>
        <w:tc>
          <w:tcPr>
            <w:tcW w:w="5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$ 269,655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See accompanying notes.</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6440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60" w:type="dxa"/>
            <w:vAlign w:val="bottom"/>
          </w:tcPr>
          <w:p>
            <w:pPr>
              <w:spacing w:after="0"/>
              <w:rPr>
                <w:sz w:val="18"/>
                <w:szCs w:val="18"/>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Common Stock</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Additional</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paid in capital</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Accumulated</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unearned</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Number Of</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Additional</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compen-</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Retained</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Comprehensive</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(Thousands of Dollars and Shares)</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Shares</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paid in capital</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sation</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Earnings</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Income (Loss)</w:t>
            </w: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433"/>
        </w:trPr>
        <w:tc>
          <w:tcPr>
            <w:tcW w:w="33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2005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16,777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$ 168</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$ 53,423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$ 45,676</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$ 15,873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$ 115,140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Shares issued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988</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4,023</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Dividends declared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(1,351)</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Foreign exchange translation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(4,070)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360" w:type="dxa"/>
            <w:vAlign w:val="bottom"/>
          </w:tcPr>
          <w:p>
            <w:pPr>
              <w:ind w:left="600"/>
              <w:spacing w:after="0" w:line="179" w:lineRule="exact"/>
              <w:rPr>
                <w:sz w:val="20"/>
                <w:szCs w:val="20"/>
                <w:color w:val="auto"/>
              </w:rPr>
            </w:pPr>
            <w:r>
              <w:rPr>
                <w:rFonts w:ascii="Times New Roman" w:cs="Times New Roman" w:eastAsia="Times New Roman" w:hAnsi="Times New Roman"/>
                <w:sz w:val="16"/>
                <w:szCs w:val="16"/>
                <w:color w:val="auto"/>
              </w:rPr>
              <w:t>Write-off of unrealized holding gain</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on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49"/>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2005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16,911</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$ 170</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$ 54,411</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$ 48,348</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$ 11,730</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$ 114,659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2006</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17,206</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$ 172</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$ 57,754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$ 55,218</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$ 3,397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$ 116,074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Reclassification of unearned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(467)</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467</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Shares issued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Repurchase of outstanding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(246)</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360" w:type="dxa"/>
            <w:vAlign w:val="bottom"/>
          </w:tcPr>
          <w:p>
            <w:pPr>
              <w:ind w:left="600"/>
              <w:spacing w:after="0" w:line="179" w:lineRule="exact"/>
              <w:rPr>
                <w:sz w:val="20"/>
                <w:szCs w:val="20"/>
                <w:color w:val="auto"/>
              </w:rPr>
            </w:pPr>
            <w:r>
              <w:rPr>
                <w:rFonts w:ascii="Times New Roman" w:cs="Times New Roman" w:eastAsia="Times New Roman" w:hAnsi="Times New Roman"/>
                <w:sz w:val="16"/>
                <w:szCs w:val="16"/>
                <w:color w:val="auto"/>
              </w:rPr>
              <w:t>Elimination of variable stock option</w:t>
            </w:r>
          </w:p>
        </w:tc>
        <w:tc>
          <w:tcPr>
            <w:tcW w:w="94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72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line="179" w:lineRule="exact"/>
              <w:rPr>
                <w:sz w:val="20"/>
                <w:szCs w:val="20"/>
                <w:color w:val="auto"/>
              </w:rPr>
            </w:pPr>
            <w:r>
              <w:rPr>
                <w:rFonts w:ascii="Times New Roman" w:cs="Times New Roman" w:eastAsia="Times New Roman" w:hAnsi="Times New Roman"/>
                <w:sz w:val="16"/>
                <w:szCs w:val="16"/>
                <w:color w:val="auto"/>
              </w:rPr>
              <w:t>8</w:t>
            </w:r>
          </w:p>
        </w:tc>
        <w:tc>
          <w:tcPr>
            <w:tcW w:w="9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line="179"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40"/>
              <w:spacing w:after="0" w:line="179"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liability</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5,262</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Amortization of restricted stock award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Dividends declared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(1,377)</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Foreign exchange translation gain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2,230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2006</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17,198</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$ 172</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$ 57,255</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$ 59,103</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$ 5,627</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$ 122,157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See accompanying notes.</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6440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00" w:type="dxa"/>
            <w:vAlign w:val="bottom"/>
          </w:tcPr>
          <w:p>
            <w:pPr>
              <w:spacing w:after="0"/>
              <w:rPr>
                <w:sz w:val="18"/>
                <w:szCs w:val="18"/>
                <w:color w:val="auto"/>
              </w:rPr>
            </w:pPr>
          </w:p>
        </w:tc>
        <w:tc>
          <w:tcPr>
            <w:tcW w:w="296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20"/>
        </w:trPr>
        <w:tc>
          <w:tcPr>
            <w:tcW w:w="8500" w:type="dxa"/>
            <w:vAlign w:val="bottom"/>
          </w:tcPr>
          <w:p>
            <w:pPr>
              <w:spacing w:after="0"/>
              <w:rPr>
                <w:sz w:val="19"/>
                <w:szCs w:val="19"/>
                <w:color w:val="auto"/>
              </w:rPr>
            </w:pPr>
          </w:p>
        </w:tc>
        <w:tc>
          <w:tcPr>
            <w:tcW w:w="1980" w:type="dxa"/>
            <w:vAlign w:val="bottom"/>
            <w:gridSpan w:val="3"/>
          </w:tcPr>
          <w:p>
            <w:pPr>
              <w:jc w:val="center"/>
              <w:ind w:left="878"/>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(Thousands of Dollars)</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380" w:type="dxa"/>
            <w:vAlign w:val="bottom"/>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2006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$ 5,262</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$ 4,023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5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Adjustments to reconcile net income to net cash used by operating</w:t>
            </w: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activities: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on disposal of property, plant and equipment</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(730)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expense from issuance of restricted stock</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103</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benefit from variable stock accounting</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Accounts receivable</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(11,938)</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Inventories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Other assets</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(1,318)</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Accounts payable</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(3,640)</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Other liabilities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0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Net cash by used by operating activities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w:t>
            </w:r>
          </w:p>
        </w:tc>
        <w:tc>
          <w:tcPr>
            <w:tcW w:w="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500" w:type="dxa"/>
            <w:vAlign w:val="bottom"/>
            <w:tcBorders>
              <w:top w:val="single" w:sz="8" w:color="CCEEFF"/>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r>
              <w:rPr>
                <w:rFonts w:ascii="Times New Roman" w:cs="Times New Roman" w:eastAsia="Times New Roman" w:hAnsi="Times New Roman"/>
                <w:sz w:val="16"/>
                <w:szCs w:val="16"/>
                <w:color w:val="auto"/>
              </w:rPr>
              <w:t>:</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(1,869)</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disposals of property, plant and equipment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0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0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Net cash provided by (used by) investing activities</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961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500" w:type="dxa"/>
            <w:vAlign w:val="bottom"/>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cash from book overdraft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(4,738)</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(8,398)</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short-term debt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payment on capital lease</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(246)</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stock, excluding tax benefit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used by financing activities</w:t>
            </w: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00" w:type="dxa"/>
            <w:vAlign w:val="bottom"/>
            <w:tcBorders>
              <w:bottom w:val="single" w:sz="8" w:color="CCEEFF"/>
            </w:tcBorders>
            <w:vMerge w:val="continue"/>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(1,239)</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500" w:type="dxa"/>
            <w:vAlign w:val="bottom"/>
            <w:tcBorders>
              <w:top w:val="single" w:sz="8" w:color="CCEEFF"/>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131</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(3,319)</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10,856</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$ 7,537</w:t>
            </w:r>
          </w:p>
        </w:tc>
        <w:tc>
          <w:tcPr>
            <w:tcW w:w="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$ 4,445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6440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Note 1.</w:t>
      </w:r>
      <w:r>
        <w:rPr>
          <w:sz w:val="20"/>
          <w:szCs w:val="20"/>
          <w:color w:val="auto"/>
        </w:rPr>
        <w:tab/>
      </w:r>
      <w:r>
        <w:rPr>
          <w:rFonts w:ascii="Times New Roman" w:cs="Times New Roman" w:eastAsia="Times New Roman" w:hAnsi="Times New Roman"/>
          <w:sz w:val="16"/>
          <w:szCs w:val="16"/>
          <w:b w:val="1"/>
          <w:bCs w:val="1"/>
          <w:color w:val="auto"/>
        </w:rPr>
        <w:t>Interim Financial Statements</w:t>
      </w:r>
    </w:p>
    <w:p>
      <w:pPr>
        <w:spacing w:after="0" w:line="27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The accompanying consolidated financial statements of NN, Inc. (the “Company”) have not been audited, except that the balance sheet at December 31, 2005 is derived from the Company’s consolidated audited financial statements. In the opinion of the Company’s management, the financial statements reflect all adjustments necessary to present fairly the results of operations for the three month periods ended March 31, 2006 and 2005, the Company’s financial position at March 31, 2006 and December 31, 2005, and the cash flows for the three month periods ended March 31, 2006 and 2005. These adjustments are of a normal recurring nature and are, in the opinion of management, necessary for fair presentation of the financial position and operating results for the interim periods. As used in this Quarterly Report on Form 10-Q, the terms “NN”, “the Company”, “we”, “our”, or “us” mean NN, Inc. and its subsidiaries.</w:t>
      </w:r>
    </w:p>
    <w:p>
      <w:pPr>
        <w:spacing w:after="0" w:line="21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consolidated and unaudited, consolidated financial statements should be read in conjunction with our audited consolidated financial statements and the notes thereto included in our most recent annual report on Form 10-K for the year ended December 31, 2005 which we filed with the Securities and Exchange Commission on March 16, 2006.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results for the first quarter of 2006 are not necessarily indicative of results for the year ending December 31, 2006 or any other future results.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2.</w:t>
            </w:r>
          </w:p>
        </w:tc>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53"/>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 are stated at the lower of cost or market. Cost is determined using the first-in, first-out method.</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1"/>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 are comprised of the following (in thousands):</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1"/>
        </w:trPr>
        <w:tc>
          <w:tcPr>
            <w:tcW w:w="6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30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90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7"/>
        </w:trPr>
        <w:tc>
          <w:tcPr>
            <w:tcW w:w="6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00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b w:val="1"/>
                <w:bCs w:val="1"/>
                <w:color w:val="auto"/>
              </w:rPr>
              <w:t>2006</w:t>
            </w:r>
          </w:p>
        </w:tc>
        <w:tc>
          <w:tcPr>
            <w:tcW w:w="300" w:type="dxa"/>
            <w:vAlign w:val="bottom"/>
          </w:tcPr>
          <w:p>
            <w:pPr>
              <w:spacing w:after="0"/>
              <w:rPr>
                <w:sz w:val="19"/>
                <w:szCs w:val="19"/>
                <w:color w:val="auto"/>
              </w:rPr>
            </w:pPr>
          </w:p>
        </w:tc>
        <w:tc>
          <w:tcPr>
            <w:tcW w:w="1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6"/>
                <w:szCs w:val="16"/>
                <w:b w:val="1"/>
                <w:bCs w:val="1"/>
                <w:color w:val="auto"/>
              </w:rPr>
              <w:t>2005</w:t>
            </w:r>
          </w:p>
        </w:tc>
        <w:tc>
          <w:tcPr>
            <w:tcW w:w="20" w:type="dxa"/>
            <w:vAlign w:val="bottom"/>
          </w:tcPr>
          <w:p>
            <w:pPr>
              <w:spacing w:after="0"/>
              <w:rPr>
                <w:sz w:val="19"/>
                <w:szCs w:val="19"/>
                <w:color w:val="auto"/>
              </w:rPr>
            </w:pPr>
          </w:p>
        </w:tc>
      </w:tr>
      <w:tr>
        <w:trPr>
          <w:trHeight w:val="219"/>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$ 9,332</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$ 10,153</w:t>
            </w:r>
          </w:p>
        </w:tc>
        <w:tc>
          <w:tcPr>
            <w:tcW w:w="20" w:type="dxa"/>
            <w:vAlign w:val="bottom"/>
          </w:tcPr>
          <w:p>
            <w:pPr>
              <w:spacing w:after="0"/>
              <w:rPr>
                <w:sz w:val="19"/>
                <w:szCs w:val="19"/>
                <w:color w:val="auto"/>
              </w:rPr>
            </w:pPr>
          </w:p>
        </w:tc>
      </w:tr>
      <w:tr>
        <w:trPr>
          <w:trHeight w:val="211"/>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5,845</w:t>
            </w:r>
          </w:p>
        </w:tc>
        <w:tc>
          <w:tcPr>
            <w:tcW w:w="20" w:type="dxa"/>
            <w:vAlign w:val="bottom"/>
          </w:tcPr>
          <w:p>
            <w:pPr>
              <w:spacing w:after="0"/>
              <w:rPr>
                <w:sz w:val="18"/>
                <w:szCs w:val="18"/>
                <w:color w:val="auto"/>
              </w:rPr>
            </w:pPr>
          </w:p>
        </w:tc>
      </w:tr>
      <w:tr>
        <w:trPr>
          <w:trHeight w:val="229"/>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22,568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23,587</w:t>
            </w:r>
          </w:p>
        </w:tc>
        <w:tc>
          <w:tcPr>
            <w:tcW w:w="20" w:type="dxa"/>
            <w:vAlign w:val="bottom"/>
          </w:tcPr>
          <w:p>
            <w:pPr>
              <w:spacing w:after="0"/>
              <w:rPr>
                <w:sz w:val="19"/>
                <w:szCs w:val="19"/>
                <w:color w:val="auto"/>
              </w:rPr>
            </w:pPr>
          </w:p>
        </w:tc>
      </w:tr>
      <w:tr>
        <w:trPr>
          <w:trHeight w:val="211"/>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inventory reserves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20" w:type="dxa"/>
            <w:vAlign w:val="bottom"/>
          </w:tcPr>
          <w:p>
            <w:pPr>
              <w:spacing w:after="0"/>
              <w:rPr>
                <w:sz w:val="18"/>
                <w:szCs w:val="18"/>
                <w:color w:val="auto"/>
              </w:rPr>
            </w:pPr>
          </w:p>
        </w:tc>
      </w:tr>
      <w:tr>
        <w:trPr>
          <w:trHeight w:val="33"/>
        </w:trPr>
        <w:tc>
          <w:tcPr>
            <w:tcW w:w="6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8"/>
        </w:trPr>
        <w:tc>
          <w:tcPr>
            <w:tcW w:w="6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$ 36,770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$ 38,096</w:t>
            </w:r>
          </w:p>
        </w:tc>
        <w:tc>
          <w:tcPr>
            <w:tcW w:w="20" w:type="dxa"/>
            <w:vAlign w:val="bottom"/>
          </w:tcPr>
          <w:p>
            <w:pPr>
              <w:spacing w:after="0"/>
              <w:rPr>
                <w:sz w:val="18"/>
                <w:szCs w:val="18"/>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Inventories on consignment at customer locations as of March 31, 2006 and December 31, 2005 totaled $5,068 and $4,669, respectively.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3.</w:t>
            </w:r>
          </w:p>
        </w:tc>
        <w:tc>
          <w:tcPr>
            <w:tcW w:w="39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Net Income Per Share</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40" w:type="dxa"/>
            <w:vAlign w:val="bottom"/>
            <w:gridSpan w:val="3"/>
            <w:vMerge w:val="restart"/>
          </w:tcPr>
          <w:p>
            <w:pPr>
              <w:jc w:val="center"/>
              <w:ind w:left="1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2006</w:t>
            </w:r>
          </w:p>
        </w:tc>
        <w:tc>
          <w:tcPr>
            <w:tcW w:w="1840" w:type="dxa"/>
            <w:vAlign w:val="bottom"/>
            <w:gridSpan w:val="3"/>
          </w:tcPr>
          <w:p>
            <w:pPr>
              <w:jc w:val="center"/>
              <w:ind w:left="18"/>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300" w:type="dxa"/>
            <w:vAlign w:val="bottom"/>
            <w:vMerge w:val="restart"/>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2005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(Thousands of Dollars, Except Share and Per Share Data)</w:t>
            </w:r>
          </w:p>
        </w:tc>
        <w:tc>
          <w:tcPr>
            <w:tcW w:w="316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4740" w:type="dxa"/>
            <w:vAlign w:val="bottom"/>
            <w:tcBorders>
              <w:bottom w:val="single" w:sz="8" w:color="auto"/>
            </w:tcBorders>
            <w:gridSpan w:val="2"/>
            <w:vMerge w:val="continue"/>
          </w:tcPr>
          <w:p>
            <w:pPr>
              <w:spacing w:after="0"/>
              <w:rPr>
                <w:sz w:val="6"/>
                <w:szCs w:val="6"/>
                <w:color w:val="auto"/>
              </w:rPr>
            </w:pPr>
          </w:p>
        </w:tc>
        <w:tc>
          <w:tcPr>
            <w:tcW w:w="1960" w:type="dxa"/>
            <w:vAlign w:val="bottom"/>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8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39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$ 5,262</w:t>
            </w:r>
          </w:p>
        </w:tc>
        <w:tc>
          <w:tcPr>
            <w:tcW w:w="3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$ 4,023</w:t>
            </w: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basic shares</w:t>
            </w:r>
          </w:p>
        </w:tc>
        <w:tc>
          <w:tcPr>
            <w:tcW w:w="19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17,151,957</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16,888,524</w:t>
            </w:r>
          </w:p>
        </w:tc>
        <w:tc>
          <w:tcPr>
            <w:tcW w:w="0" w:type="dxa"/>
            <w:vAlign w:val="bottom"/>
          </w:tcPr>
          <w:p>
            <w:pPr>
              <w:spacing w:after="0"/>
              <w:rPr>
                <w:sz w:val="1"/>
                <w:szCs w:val="1"/>
                <w:color w:val="auto"/>
              </w:rPr>
            </w:pPr>
          </w:p>
        </w:tc>
      </w:tr>
      <w:tr>
        <w:trPr>
          <w:trHeight w:val="211"/>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dilutive stock options</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223,634</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372,260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4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dilutive shares outstanding</w:t>
            </w:r>
          </w:p>
        </w:tc>
        <w:tc>
          <w:tcPr>
            <w:tcW w:w="1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17,375,591</w:t>
            </w: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17,260,784</w:t>
            </w:r>
          </w:p>
        </w:tc>
        <w:tc>
          <w:tcPr>
            <w:tcW w:w="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740" w:type="dxa"/>
            <w:vAlign w:val="bottom"/>
            <w:gridSpan w:val="2"/>
          </w:tcPr>
          <w:p>
            <w:pPr>
              <w:spacing w:after="0"/>
              <w:rPr>
                <w:sz w:val="17"/>
                <w:szCs w:val="17"/>
                <w:color w:val="auto"/>
              </w:rPr>
            </w:pPr>
          </w:p>
        </w:tc>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19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$ 0.31</w:t>
            </w:r>
          </w:p>
        </w:tc>
        <w:tc>
          <w:tcPr>
            <w:tcW w:w="3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$ 0.24</w:t>
            </w: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1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$ 0.30</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$ 0.23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60" w:type="dxa"/>
            <w:vAlign w:val="bottom"/>
            <w:vMerge w:val="restart"/>
          </w:tcPr>
          <w:p>
            <w:pPr>
              <w:jc w:val="right"/>
              <w:ind w:right="887"/>
              <w:spacing w:after="0"/>
              <w:rPr>
                <w:sz w:val="20"/>
                <w:szCs w:val="20"/>
                <w:color w:val="auto"/>
              </w:rPr>
            </w:pPr>
            <w:r>
              <w:rPr>
                <w:rFonts w:ascii="Times New Roman" w:cs="Times New Roman" w:eastAsia="Times New Roman" w:hAnsi="Times New Roman"/>
                <w:sz w:val="13"/>
                <w:szCs w:val="13"/>
                <w:color w:val="auto"/>
              </w:rPr>
              <w:t>6</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8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820" w:type="dxa"/>
            <w:vAlign w:val="bottom"/>
            <w:tcBorders>
              <w:bottom w:val="single" w:sz="8" w:color="808080"/>
            </w:tcBorders>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6"/>
          <w:szCs w:val="16"/>
          <w:color w:val="auto"/>
        </w:rPr>
        <w:t>Excluded from the shares outstanding for the period ended March 31, 2005 were 357,000 anti-dilutive options which had exercise prices of $12.62. There were no anti-dilutive options in the three month period ended March 31, 2006.</w:t>
      </w:r>
    </w:p>
    <w:p>
      <w:pPr>
        <w:spacing w:after="0" w:line="24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Note 4.</w:t>
      </w:r>
      <w:r>
        <w:rPr>
          <w:sz w:val="20"/>
          <w:szCs w:val="20"/>
          <w:color w:val="auto"/>
        </w:rPr>
        <w:tab/>
      </w:r>
      <w:r>
        <w:rPr>
          <w:rFonts w:ascii="Times New Roman" w:cs="Times New Roman" w:eastAsia="Times New Roman" w:hAnsi="Times New Roman"/>
          <w:sz w:val="16"/>
          <w:szCs w:val="16"/>
          <w:b w:val="1"/>
          <w:bCs w:val="1"/>
          <w:color w:val="auto"/>
        </w:rPr>
        <w:t>Segment Information</w:t>
      </w:r>
    </w:p>
    <w:p>
      <w:pPr>
        <w:spacing w:after="0" w:line="27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During 2006 and 2005, our reportable segments are based on differences in product lines and geographic locations and are divided among Domestic Ball and Roller, European operations (“NN Europe”) and Plastic and Rubber Components. The Domestic Ball and Roller Segment is comprised of two manufacturing facilities in the eastern United States. Additionally, costs related to our start-up operation in China and corporate office cost are included in the Domestic Ball and Roller Segment. The NN Europe Segment is comprised of precision ball, roller and metal cage manufacturing facilities located in Kilkenny, Ireland; Eltmann, Germany; Pinerolo, Italy; Kysucke Nove Mesto, Slovakia; and Veenendaal, The Netherlands (“Veenendaal”). All of the facilities in the Domestic Ball and Roller Segment are engaged in the production of precision balls and rollers used primarily in the bearing industry. All of the facilities in the NN Europe Segment are engaged in the production of precision balls used primarily in the bearing industry, except for Veenendaal which is engaged in the production of tapered rollers and cages for use primarily in the bearing industry. The Plastic and Rubber Components Segment is comprised of the Industrial Molding Corporation (“IMC”) business, located in Lubbock, Texas and The Delta Rubber Company (“Delta”) business, located in Danielson, Connecticut. IMC is engaged in the production of plastic injection molded products for the bearing, automotive, instrumentation, and fiber optic markets. Delta is engaged principally in the production of engineered bearing seals used principally in automotive, industrial, agricultural, mining and aerospace applications.</w:t>
      </w:r>
    </w:p>
    <w:p>
      <w:pPr>
        <w:spacing w:after="0" w:line="21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accounting policies of each segment are the same as those described in the summary of significant accounting policies in our Annual Report on Form 10-K for the fiscal year ended December 31, 2005. We evaluate segment performance based on profit or loss from operations before income taxes. We account for inter-segment sales and transfers at current market prices. We did not have any material inter-segment transactions during the three month period ended March 31, 2005. For the period ended March 31, 2006, we had inter-segment sales of $312 which were eliminated in consolidation and from the segment financials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130810</wp:posOffset>
            </wp:positionV>
            <wp:extent cx="7284720" cy="1051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1051560"/>
                    </a:xfrm>
                    <a:prstGeom prst="rect">
                      <a:avLst/>
                    </a:prstGeom>
                    <a:noFill/>
                  </pic:spPr>
                </pic:pic>
              </a:graphicData>
            </a:graphic>
          </wp:anchor>
        </w:drawing>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740" w:type="dxa"/>
            <w:vAlign w:val="bottom"/>
            <w:tcBorders>
              <w:top w:val="single" w:sz="8" w:color="2C2C2C"/>
              <w:bottom w:val="single" w:sz="8" w:color="2C2C2C"/>
            </w:tcBorders>
          </w:tcPr>
          <w:p>
            <w:pPr>
              <w:spacing w:after="0"/>
              <w:rPr>
                <w:sz w:val="21"/>
                <w:szCs w:val="21"/>
                <w:color w:val="auto"/>
              </w:rPr>
            </w:pPr>
          </w:p>
        </w:tc>
        <w:tc>
          <w:tcPr>
            <w:tcW w:w="1260" w:type="dxa"/>
            <w:vAlign w:val="bottom"/>
            <w:tcBorders>
              <w:top w:val="single" w:sz="8" w:color="2C2C2C"/>
              <w:bottom w:val="single" w:sz="8" w:color="2C2C2C"/>
            </w:tcBorders>
          </w:tcPr>
          <w:p>
            <w:pPr>
              <w:spacing w:after="0"/>
              <w:rPr>
                <w:sz w:val="21"/>
                <w:szCs w:val="21"/>
                <w:color w:val="auto"/>
              </w:rPr>
            </w:pPr>
          </w:p>
        </w:tc>
        <w:tc>
          <w:tcPr>
            <w:tcW w:w="1420" w:type="dxa"/>
            <w:vAlign w:val="bottom"/>
            <w:tcBorders>
              <w:top w:val="single" w:sz="8" w:color="2C2C2C"/>
              <w:bottom w:val="single" w:sz="8" w:color="2C2C2C"/>
            </w:tcBorders>
          </w:tcPr>
          <w:p>
            <w:pPr>
              <w:spacing w:after="0"/>
              <w:rPr>
                <w:sz w:val="21"/>
                <w:szCs w:val="21"/>
                <w:color w:val="auto"/>
              </w:rPr>
            </w:pPr>
          </w:p>
        </w:tc>
        <w:tc>
          <w:tcPr>
            <w:tcW w:w="3000" w:type="dxa"/>
            <w:vAlign w:val="bottom"/>
            <w:tcBorders>
              <w:top w:val="single" w:sz="8" w:color="2C2C2C"/>
              <w:bottom w:val="single" w:sz="8" w:color="2C2C2C"/>
            </w:tcBorders>
            <w:gridSpan w:val="2"/>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40" w:type="dxa"/>
            <w:vAlign w:val="bottom"/>
            <w:tcBorders>
              <w:top w:val="single" w:sz="8" w:color="2C2C2C"/>
              <w:bottom w:val="single" w:sz="8" w:color="2C2C2C"/>
            </w:tcBorders>
          </w:tcPr>
          <w:p>
            <w:pPr>
              <w:spacing w:after="0"/>
              <w:rPr>
                <w:sz w:val="21"/>
                <w:szCs w:val="21"/>
                <w:color w:val="auto"/>
              </w:rPr>
            </w:pPr>
          </w:p>
        </w:tc>
        <w:tc>
          <w:tcPr>
            <w:tcW w:w="1560" w:type="dxa"/>
            <w:vAlign w:val="bottom"/>
            <w:tcBorders>
              <w:top w:val="single" w:sz="8" w:color="2C2C2C"/>
              <w:bottom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740" w:type="dxa"/>
            <w:vAlign w:val="bottom"/>
            <w:tcBorders>
              <w:left w:val="single" w:sz="8" w:color="2C2C2C"/>
              <w:right w:val="single" w:sz="8" w:color="2C2C2C"/>
            </w:tcBorders>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2006</w:t>
            </w:r>
          </w:p>
        </w:tc>
        <w:tc>
          <w:tcPr>
            <w:tcW w:w="1580" w:type="dxa"/>
            <w:vAlign w:val="bottom"/>
            <w:tcBorders>
              <w:right w:val="single" w:sz="8" w:color="2C2C2C"/>
            </w:tcBorders>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2005</w:t>
            </w: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740" w:type="dxa"/>
            <w:vAlign w:val="bottom"/>
            <w:tcBorders>
              <w:left w:val="single" w:sz="8" w:color="2C2C2C"/>
              <w:bottom w:val="single" w:sz="8" w:color="2C2C2C"/>
              <w:right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right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740" w:type="dxa"/>
            <w:vAlign w:val="bottom"/>
            <w:tcBorders>
              <w:left w:val="single" w:sz="8" w:color="2C2C2C"/>
              <w:right w:val="single" w:sz="8" w:color="2C2C2C"/>
            </w:tcBorders>
          </w:tcPr>
          <w:p>
            <w:pPr>
              <w:spacing w:after="0"/>
              <w:rPr>
                <w:sz w:val="14"/>
                <w:szCs w:val="14"/>
                <w:color w:val="auto"/>
              </w:rPr>
            </w:pPr>
          </w:p>
        </w:tc>
        <w:tc>
          <w:tcPr>
            <w:tcW w:w="1260" w:type="dxa"/>
            <w:vAlign w:val="bottom"/>
            <w:tcBorders>
              <w:right w:val="single" w:sz="8" w:color="2C2C2C"/>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Domestic Ball &amp;</w:t>
            </w:r>
          </w:p>
        </w:tc>
        <w:tc>
          <w:tcPr>
            <w:tcW w:w="1420" w:type="dxa"/>
            <w:vAlign w:val="bottom"/>
            <w:tcBorders>
              <w:right w:val="single" w:sz="8" w:color="2C2C2C"/>
            </w:tcBorders>
          </w:tcPr>
          <w:p>
            <w:pPr>
              <w:jc w:val="right"/>
              <w:ind w:right="238"/>
              <w:spacing w:after="0" w:line="168" w:lineRule="exact"/>
              <w:rPr>
                <w:sz w:val="20"/>
                <w:szCs w:val="20"/>
                <w:color w:val="auto"/>
              </w:rPr>
            </w:pPr>
            <w:r>
              <w:rPr>
                <w:rFonts w:ascii="Times New Roman" w:cs="Times New Roman" w:eastAsia="Times New Roman" w:hAnsi="Times New Roman"/>
                <w:sz w:val="16"/>
                <w:szCs w:val="16"/>
                <w:b w:val="1"/>
                <w:bCs w:val="1"/>
                <w:color w:val="auto"/>
              </w:rPr>
              <w:t>NN Europe</w:t>
            </w:r>
          </w:p>
        </w:tc>
        <w:tc>
          <w:tcPr>
            <w:tcW w:w="1580" w:type="dxa"/>
            <w:vAlign w:val="bottom"/>
            <w:tcBorders>
              <w:right w:val="single" w:sz="8" w:color="2C2C2C"/>
            </w:tcBorders>
          </w:tcPr>
          <w:p>
            <w:pPr>
              <w:jc w:val="right"/>
              <w:ind w:right="58"/>
              <w:spacing w:after="0" w:line="168" w:lineRule="exact"/>
              <w:rPr>
                <w:sz w:val="20"/>
                <w:szCs w:val="20"/>
                <w:color w:val="auto"/>
              </w:rPr>
            </w:pPr>
            <w:r>
              <w:rPr>
                <w:rFonts w:ascii="Times New Roman" w:cs="Times New Roman" w:eastAsia="Times New Roman" w:hAnsi="Times New Roman"/>
                <w:sz w:val="16"/>
                <w:szCs w:val="16"/>
                <w:b w:val="1"/>
                <w:bCs w:val="1"/>
                <w:color w:val="auto"/>
              </w:rPr>
              <w:t>Plastic and Rubber</w:t>
            </w:r>
          </w:p>
        </w:tc>
        <w:tc>
          <w:tcPr>
            <w:tcW w:w="1420" w:type="dxa"/>
            <w:vAlign w:val="bottom"/>
            <w:tcBorders>
              <w:right w:val="single" w:sz="8" w:color="2C2C2C"/>
            </w:tcBorders>
          </w:tcPr>
          <w:p>
            <w:pPr>
              <w:jc w:val="right"/>
              <w:ind w:right="78"/>
              <w:spacing w:after="0" w:line="168" w:lineRule="exact"/>
              <w:rPr>
                <w:sz w:val="20"/>
                <w:szCs w:val="20"/>
                <w:color w:val="auto"/>
              </w:rPr>
            </w:pPr>
            <w:r>
              <w:rPr>
                <w:rFonts w:ascii="Times New Roman" w:cs="Times New Roman" w:eastAsia="Times New Roman" w:hAnsi="Times New Roman"/>
                <w:sz w:val="16"/>
                <w:szCs w:val="16"/>
                <w:b w:val="1"/>
                <w:bCs w:val="1"/>
                <w:color w:val="auto"/>
              </w:rPr>
              <w:t>Domestic Ball &amp;</w:t>
            </w:r>
          </w:p>
        </w:tc>
        <w:tc>
          <w:tcPr>
            <w:tcW w:w="1440" w:type="dxa"/>
            <w:vAlign w:val="bottom"/>
            <w:tcBorders>
              <w:right w:val="single" w:sz="8" w:color="2C2C2C"/>
            </w:tcBorders>
          </w:tcPr>
          <w:p>
            <w:pPr>
              <w:jc w:val="right"/>
              <w:ind w:right="258"/>
              <w:spacing w:after="0" w:line="168" w:lineRule="exact"/>
              <w:rPr>
                <w:sz w:val="20"/>
                <w:szCs w:val="20"/>
                <w:color w:val="auto"/>
              </w:rPr>
            </w:pPr>
            <w:r>
              <w:rPr>
                <w:rFonts w:ascii="Times New Roman" w:cs="Times New Roman" w:eastAsia="Times New Roman" w:hAnsi="Times New Roman"/>
                <w:sz w:val="16"/>
                <w:szCs w:val="16"/>
                <w:b w:val="1"/>
                <w:bCs w:val="1"/>
                <w:color w:val="auto"/>
              </w:rPr>
              <w:t>NN Europe</w:t>
            </w:r>
          </w:p>
        </w:tc>
        <w:tc>
          <w:tcPr>
            <w:tcW w:w="1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Plastic and Rubber</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740" w:type="dxa"/>
            <w:vAlign w:val="bottom"/>
            <w:tcBorders>
              <w:left w:val="single" w:sz="8" w:color="2C2C2C"/>
              <w:right w:val="single" w:sz="8" w:color="2C2C2C"/>
            </w:tcBorders>
          </w:tcPr>
          <w:p>
            <w:pPr>
              <w:spacing w:after="0"/>
              <w:rPr>
                <w:sz w:val="19"/>
                <w:szCs w:val="19"/>
                <w:color w:val="auto"/>
              </w:rPr>
            </w:pPr>
          </w:p>
        </w:tc>
        <w:tc>
          <w:tcPr>
            <w:tcW w:w="1260" w:type="dxa"/>
            <w:vAlign w:val="bottom"/>
            <w:tcBorders>
              <w:right w:val="single" w:sz="8" w:color="2C2C2C"/>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Roller</w:t>
            </w:r>
          </w:p>
        </w:tc>
        <w:tc>
          <w:tcPr>
            <w:tcW w:w="1420" w:type="dxa"/>
            <w:vAlign w:val="bottom"/>
            <w:tcBorders>
              <w:right w:val="single" w:sz="8" w:color="2C2C2C"/>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580" w:type="dxa"/>
            <w:vAlign w:val="bottom"/>
            <w:tcBorders>
              <w:right w:val="single" w:sz="8" w:color="2C2C2C"/>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1420" w:type="dxa"/>
            <w:vAlign w:val="bottom"/>
            <w:tcBorders>
              <w:right w:val="single" w:sz="8" w:color="2C2C2C"/>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Roller</w:t>
            </w:r>
          </w:p>
        </w:tc>
        <w:tc>
          <w:tcPr>
            <w:tcW w:w="1440" w:type="dxa"/>
            <w:vAlign w:val="bottom"/>
            <w:tcBorders>
              <w:right w:val="single" w:sz="8" w:color="2C2C2C"/>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0" w:type="dxa"/>
            <w:vAlign w:val="bottom"/>
          </w:tcPr>
          <w:p>
            <w:pPr>
              <w:spacing w:after="0"/>
              <w:rPr>
                <w:sz w:val="1"/>
                <w:szCs w:val="1"/>
                <w:color w:val="auto"/>
              </w:rPr>
            </w:pPr>
          </w:p>
        </w:tc>
      </w:tr>
      <w:tr>
        <w:trPr>
          <w:trHeight w:val="199"/>
        </w:trPr>
        <w:tc>
          <w:tcPr>
            <w:tcW w:w="2740" w:type="dxa"/>
            <w:vAlign w:val="bottom"/>
            <w:tcBorders>
              <w:top w:val="single" w:sz="8" w:color="2C2C2C"/>
              <w:left w:val="single" w:sz="8" w:color="CCEEFF"/>
              <w:bottom w:val="single" w:sz="8" w:color="2C2C2C"/>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260" w:type="dxa"/>
            <w:vAlign w:val="bottom"/>
            <w:tcBorders>
              <w:top w:val="single" w:sz="8" w:color="2C2C2C"/>
              <w:bottom w:val="single" w:sz="8" w:color="2C2C2C"/>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$ 19,764</w:t>
            </w:r>
          </w:p>
        </w:tc>
        <w:tc>
          <w:tcPr>
            <w:tcW w:w="1420" w:type="dxa"/>
            <w:vAlign w:val="bottom"/>
            <w:tcBorders>
              <w:top w:val="single" w:sz="8" w:color="2C2C2C"/>
              <w:bottom w:val="single" w:sz="8" w:color="2C2C2C"/>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$ 51,576</w:t>
            </w:r>
          </w:p>
        </w:tc>
        <w:tc>
          <w:tcPr>
            <w:tcW w:w="1580" w:type="dxa"/>
            <w:vAlign w:val="bottom"/>
            <w:tcBorders>
              <w:top w:val="single" w:sz="8" w:color="2C2C2C"/>
              <w:bottom w:val="single" w:sz="8" w:color="2C2C2C"/>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$ 14,677</w:t>
            </w:r>
          </w:p>
        </w:tc>
        <w:tc>
          <w:tcPr>
            <w:tcW w:w="1420" w:type="dxa"/>
            <w:vAlign w:val="bottom"/>
            <w:tcBorders>
              <w:top w:val="single" w:sz="8" w:color="2C2C2C"/>
              <w:bottom w:val="single" w:sz="8" w:color="2C2C2C"/>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$ 15,927</w:t>
            </w:r>
          </w:p>
        </w:tc>
        <w:tc>
          <w:tcPr>
            <w:tcW w:w="1440" w:type="dxa"/>
            <w:vAlign w:val="bottom"/>
            <w:tcBorders>
              <w:top w:val="single" w:sz="8" w:color="2C2C2C"/>
              <w:bottom w:val="single" w:sz="8" w:color="2C2C2C"/>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$ 55,937</w:t>
            </w:r>
          </w:p>
        </w:tc>
        <w:tc>
          <w:tcPr>
            <w:tcW w:w="1560" w:type="dxa"/>
            <w:vAlign w:val="bottom"/>
            <w:tcBorders>
              <w:top w:val="single" w:sz="8" w:color="2C2C2C"/>
              <w:bottom w:val="single" w:sz="8" w:color="2C2C2C"/>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auto"/>
              </w:rPr>
              <w:t>Pretax profit</w:t>
            </w:r>
          </w:p>
        </w:tc>
        <w:tc>
          <w:tcPr>
            <w:tcW w:w="12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auto"/>
              </w:rPr>
              <w:t>5,991</w:t>
            </w:r>
          </w:p>
        </w:tc>
        <w:tc>
          <w:tcPr>
            <w:tcW w:w="1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5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40" w:type="dxa"/>
            <w:vAlign w:val="bottom"/>
            <w:tcBorders>
              <w:left w:val="single" w:sz="8" w:color="CCEEFF"/>
              <w:bottom w:val="single" w:sz="8" w:color="2C2C2C"/>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60" w:type="dxa"/>
            <w:vAlign w:val="bottom"/>
            <w:tcBorders>
              <w:bottom w:val="single" w:sz="8" w:color="2C2C2C"/>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61,648</w:t>
            </w:r>
          </w:p>
        </w:tc>
        <w:tc>
          <w:tcPr>
            <w:tcW w:w="1420" w:type="dxa"/>
            <w:vAlign w:val="bottom"/>
            <w:tcBorders>
              <w:bottom w:val="single" w:sz="8" w:color="2C2C2C"/>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159,829</w:t>
            </w:r>
          </w:p>
        </w:tc>
        <w:tc>
          <w:tcPr>
            <w:tcW w:w="1580" w:type="dxa"/>
            <w:vAlign w:val="bottom"/>
            <w:tcBorders>
              <w:bottom w:val="single" w:sz="8" w:color="2C2C2C"/>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55,623</w:t>
            </w:r>
          </w:p>
        </w:tc>
        <w:tc>
          <w:tcPr>
            <w:tcW w:w="1420" w:type="dxa"/>
            <w:vAlign w:val="bottom"/>
            <w:tcBorders>
              <w:bottom w:val="single" w:sz="8" w:color="2C2C2C"/>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52,250</w:t>
            </w:r>
          </w:p>
        </w:tc>
        <w:tc>
          <w:tcPr>
            <w:tcW w:w="1440" w:type="dxa"/>
            <w:vAlign w:val="bottom"/>
            <w:tcBorders>
              <w:bottom w:val="single" w:sz="8" w:color="2C2C2C"/>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171,380</w:t>
            </w:r>
          </w:p>
        </w:tc>
        <w:tc>
          <w:tcPr>
            <w:tcW w:w="1560" w:type="dxa"/>
            <w:vAlign w:val="bottom"/>
            <w:tcBorders>
              <w:bottom w:val="single" w:sz="8" w:color="2C2C2C"/>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60,954</w:t>
            </w:r>
          </w:p>
        </w:tc>
        <w:tc>
          <w:tcPr>
            <w:tcW w:w="2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Note 5.</w:t>
        <w:tab/>
        <w:t>Recent Investing Activity</w:t>
      </w:r>
    </w:p>
    <w:p>
      <w:pPr>
        <w:spacing w:after="0" w:line="261"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6"/>
          <w:szCs w:val="16"/>
          <w:color w:val="auto"/>
        </w:rPr>
        <w:t>Our wholly-owned subsidiary in China, NN Precision Bearing Products Company, LTD, (“NN Asia”) started full operations in the first quarter of 2006. The costs incurred as a result of the start-up for the three month period ended March 31, 2005 of approximately $0.2 million were classified as selling, general and administrative expense.</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October 7, 2005, we entered into an agreement with SNR Roulements (“SNR”) to purchase all of SNR’s internal precision ball producing equipment for approximately 5,000 Euros ($6,000). As part of the agreement, we entered into a five year supply agreement to provide SNR with an additional $9,000 of annual ball requirements. Approximately $2,100 was paid in 2005 and $3,900 is expected to be paid during 2006 to complete the equipment purchase. During the first quarter of 2006, the Company did not acquire any SNR equipment. As of March 31, 2006, $1,636 is recorded in tangible fixed assets and $484 in intangible assets relating to this transaction.</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6440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Note 6.</w:t>
      </w:r>
      <w:r>
        <w:rPr>
          <w:sz w:val="20"/>
          <w:szCs w:val="20"/>
          <w:color w:val="auto"/>
        </w:rPr>
        <w:tab/>
      </w:r>
      <w:r>
        <w:rPr>
          <w:rFonts w:ascii="Times New Roman" w:cs="Times New Roman" w:eastAsia="Times New Roman" w:hAnsi="Times New Roman"/>
          <w:sz w:val="16"/>
          <w:szCs w:val="16"/>
          <w:b w:val="1"/>
          <w:bCs w:val="1"/>
          <w:color w:val="auto"/>
        </w:rPr>
        <w:t>Pensions</w:t>
      </w:r>
    </w:p>
    <w:p>
      <w:pPr>
        <w:spacing w:after="0" w:line="273"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We have a defined benefit pension plan covering the employees at our Eltmann, Germany facility. The benefits are based on the expected years of service including the rate of compensation increase. The plan is unfunded. There were no prior service costs recognized in the three-months ended March 31, 2006 and 2005.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Net Periodic Pension Cost:</w:t>
      </w:r>
    </w:p>
    <w:p>
      <w:pPr>
        <w:spacing w:after="0" w:line="257"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1"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2" w:lineRule="exact"/>
        <w:rPr>
          <w:sz w:val="20"/>
          <w:szCs w:val="20"/>
          <w:color w:val="auto"/>
        </w:rPr>
      </w:pPr>
    </w:p>
    <w:tbl>
      <w:tblPr>
        <w:tblLayout w:type="fixed"/>
        <w:tblInd w:w="2280" w:type="dxa"/>
        <w:tblCellMar>
          <w:top w:w="0" w:type="dxa"/>
          <w:left w:w="0" w:type="dxa"/>
          <w:bottom w:w="0" w:type="dxa"/>
          <w:right w:w="0" w:type="dxa"/>
        </w:tblCellMar>
      </w:tblPr>
      <w:tr>
        <w:trPr>
          <w:trHeight w:val="214"/>
        </w:trPr>
        <w:tc>
          <w:tcPr>
            <w:tcW w:w="27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2006</w:t>
            </w: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13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$ 25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25</w:t>
            </w:r>
          </w:p>
        </w:tc>
        <w:tc>
          <w:tcPr>
            <w:tcW w:w="0" w:type="dxa"/>
            <w:vAlign w:val="bottom"/>
          </w:tcPr>
          <w:p>
            <w:pPr>
              <w:spacing w:after="0"/>
              <w:rPr>
                <w:sz w:val="1"/>
                <w:szCs w:val="1"/>
                <w:color w:val="auto"/>
              </w:rPr>
            </w:pPr>
          </w:p>
        </w:tc>
      </w:tr>
      <w:tr>
        <w:trPr>
          <w:trHeight w:val="245"/>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132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62</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net gain</w:t>
            </w:r>
          </w:p>
        </w:tc>
        <w:tc>
          <w:tcPr>
            <w:tcW w:w="1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12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periodic pension cost</w:t>
            </w:r>
          </w:p>
        </w:tc>
        <w:tc>
          <w:tcPr>
            <w:tcW w:w="1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720" w:type="dxa"/>
            <w:vAlign w:val="bottom"/>
            <w:vMerge w:val="continue"/>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$ 99</w:t>
            </w:r>
          </w:p>
        </w:tc>
        <w:tc>
          <w:tcPr>
            <w:tcW w:w="840" w:type="dxa"/>
            <w:vAlign w:val="bottom"/>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$ 87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-147320</wp:posOffset>
            </wp:positionV>
            <wp:extent cx="2626995" cy="147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26995" cy="1479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expect to contribute approximately $336 to the Eltmann, Germany pension plan in 2006. As of March 31, 2006, approximately $84 of contributions had been made.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Severance Indemnity</w:t>
      </w:r>
    </w:p>
    <w:p>
      <w:pPr>
        <w:spacing w:after="0" w:line="26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at March 31, 2006 and 2005:</w:t>
      </w:r>
    </w:p>
    <w:p>
      <w:pPr>
        <w:spacing w:after="0" w:line="186" w:lineRule="exact"/>
        <w:rPr>
          <w:sz w:val="20"/>
          <w:szCs w:val="20"/>
          <w:color w:val="auto"/>
        </w:rPr>
      </w:pPr>
    </w:p>
    <w:p>
      <w:pPr>
        <w:jc w:val="center"/>
        <w:ind w:left="2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1" w:lineRule="exact"/>
        <w:rPr>
          <w:sz w:val="20"/>
          <w:szCs w:val="20"/>
          <w:color w:val="auto"/>
        </w:rPr>
      </w:pPr>
    </w:p>
    <w:p>
      <w:pPr>
        <w:jc w:val="center"/>
        <w:ind w:left="29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0" w:type="dxa"/>
            <w:vAlign w:val="bottom"/>
          </w:tcPr>
          <w:p>
            <w:pPr>
              <w:spacing w:after="0"/>
              <w:rPr>
                <w:sz w:val="18"/>
                <w:szCs w:val="18"/>
                <w:color w:val="auto"/>
              </w:rPr>
            </w:pPr>
          </w:p>
        </w:tc>
        <w:tc>
          <w:tcPr>
            <w:tcW w:w="4540" w:type="dxa"/>
            <w:vAlign w:val="bottom"/>
            <w:gridSpan w:val="2"/>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2006</w:t>
            </w:r>
          </w:p>
        </w:tc>
        <w:tc>
          <w:tcPr>
            <w:tcW w:w="6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2005</w:t>
            </w:r>
          </w:p>
        </w:tc>
      </w:tr>
      <w:tr>
        <w:trPr>
          <w:trHeight w:val="188"/>
        </w:trPr>
        <w:tc>
          <w:tcPr>
            <w:tcW w:w="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1</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(6,644)</w:t>
            </w:r>
          </w:p>
        </w:tc>
        <w:tc>
          <w:tcPr>
            <w:tcW w:w="1780" w:type="dxa"/>
            <w:vAlign w:val="bottom"/>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rPr>
              <w:t>$(7,503)</w:t>
            </w:r>
          </w:p>
        </w:tc>
      </w:tr>
      <w:tr>
        <w:trPr>
          <w:trHeight w:val="196"/>
        </w:trPr>
        <w:tc>
          <w:tcPr>
            <w:tcW w:w="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Amounts accrued</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(256)</w:t>
            </w:r>
          </w:p>
        </w:tc>
        <w:tc>
          <w:tcPr>
            <w:tcW w:w="178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(263)</w:t>
            </w:r>
          </w:p>
        </w:tc>
      </w:tr>
      <w:tr>
        <w:trPr>
          <w:trHeight w:val="196"/>
        </w:trPr>
        <w:tc>
          <w:tcPr>
            <w:tcW w:w="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119</w:t>
            </w:r>
          </w:p>
        </w:tc>
        <w:tc>
          <w:tcPr>
            <w:tcW w:w="178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6"/>
                <w:szCs w:val="16"/>
                <w:color w:val="auto"/>
              </w:rPr>
              <w:t>177</w:t>
            </w:r>
          </w:p>
        </w:tc>
      </w:tr>
      <w:tr>
        <w:trPr>
          <w:trHeight w:val="196"/>
        </w:trPr>
        <w:tc>
          <w:tcPr>
            <w:tcW w:w="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Exchange and other</w:t>
            </w:r>
          </w:p>
        </w:tc>
        <w:tc>
          <w:tcPr>
            <w:tcW w:w="1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(169)</w:t>
            </w:r>
          </w:p>
        </w:tc>
        <w:tc>
          <w:tcPr>
            <w:tcW w:w="178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6"/>
                <w:szCs w:val="16"/>
                <w:color w:val="auto"/>
              </w:rPr>
              <w:t>328</w:t>
            </w:r>
          </w:p>
        </w:tc>
      </w:tr>
      <w:tr>
        <w:trPr>
          <w:trHeight w:val="228"/>
        </w:trPr>
        <w:tc>
          <w:tcPr>
            <w:tcW w:w="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w:t>
            </w:r>
          </w:p>
        </w:tc>
        <w:tc>
          <w:tcPr>
            <w:tcW w:w="1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(6,950)</w:t>
            </w:r>
          </w:p>
        </w:tc>
        <w:tc>
          <w:tcPr>
            <w:tcW w:w="1780" w:type="dxa"/>
            <w:vAlign w:val="bottom"/>
            <w:tcBorders>
              <w:bottom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16"/>
                <w:szCs w:val="16"/>
                <w:color w:val="auto"/>
              </w:rPr>
              <w:t>$ (7,261)</w:t>
            </w:r>
          </w:p>
        </w:tc>
      </w:tr>
      <w:tr>
        <w:trPr>
          <w:trHeight w:val="453"/>
        </w:trPr>
        <w:tc>
          <w:tcPr>
            <w:tcW w:w="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7.</w:t>
            </w:r>
          </w:p>
        </w:tc>
        <w:tc>
          <w:tcPr>
            <w:tcW w:w="5640" w:type="dxa"/>
            <w:vAlign w:val="bottom"/>
            <w:gridSpan w:val="3"/>
          </w:tcPr>
          <w:p>
            <w:pPr>
              <w:jc w:val="right"/>
              <w:ind w:right="2998"/>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On December 16, 2004, the FASB issued SFAS No. 123R, “Share-Based Payment,” which requires companies to expense the value of employee stock options and similar awards and establishes standards for the accounting for transactions in which an entity exchanges its equity instruments for goods. SFAS No. 123R is effective for annual periods beginning after June 15, 2005 and applies to all outstanding and unvested share-based payment awards. This Statement requires a public entity to measure the cost of employee services received in exchange for an award of equity instruments based on the grant-date fair value of the award (with limited exception). That cost will be recognized over the period during which an employee is required to provide service in exchange for the award - the requisite service period (usually the vesting period). We adopted SFAS 123(R) effective January 1, 2006. See Note 11 Stock Compensation.</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November 2004, the FASB issued SFAS No. 151, “Inventory Costs”. SFAS No. 151 clarifies the accounting for abnormal amounts of idle facility expense, freight, handling costs and wasted material (spoilage). SFAS No. 151 requires that these items be recognized as current-period charges. In addition, SFAS No. 151 requires that the allocation of fixed production overheads to the costs of conversion be based on the normal capacity of the production facilities. This statement is effective for fiscal years beginning after June 15, 2005. We adopted SFAS No. 151 effective January 1, 2006. SFAS No. 151 has not had a material impact on our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440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Note 8.</w:t>
      </w:r>
      <w:r>
        <w:rPr>
          <w:sz w:val="20"/>
          <w:szCs w:val="20"/>
          <w:color w:val="auto"/>
        </w:rPr>
        <w:tab/>
      </w:r>
      <w:r>
        <w:rPr>
          <w:rFonts w:ascii="Times New Roman" w:cs="Times New Roman" w:eastAsia="Times New Roman" w:hAnsi="Times New Roman"/>
          <w:sz w:val="16"/>
          <w:szCs w:val="16"/>
          <w:b w:val="1"/>
          <w:bCs w:val="1"/>
          <w:color w:val="auto"/>
        </w:rPr>
        <w:t>Long-Term Debt and Short-Term Debt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 at March 31, 2006 and December 31, 2005 consisted of the following:</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740" w:type="dxa"/>
            <w:vAlign w:val="bottom"/>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24"/>
                <w:szCs w:val="24"/>
                <w:color w:val="auto"/>
              </w:rPr>
            </w:pPr>
          </w:p>
        </w:tc>
        <w:tc>
          <w:tcPr>
            <w:tcW w:w="174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740" w:type="dxa"/>
            <w:vAlign w:val="bottom"/>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2006</w:t>
            </w:r>
          </w:p>
        </w:tc>
        <w:tc>
          <w:tcPr>
            <w:tcW w:w="1860" w:type="dxa"/>
            <w:vAlign w:val="bottom"/>
            <w:gridSpan w:val="2"/>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2005</w:t>
            </w: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55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Borrowings under our $30,000 revolving credit facility bearing interest at a floating</w:t>
            </w:r>
          </w:p>
        </w:tc>
        <w:tc>
          <w:tcPr>
            <w:tcW w:w="17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rate equal to LIBOR (5.00% at March 31, 2006) plus an applicable margin of</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1.25 to 2.0, expiring on June 30, 2007</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$ 19,409</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$ 17,900</w:t>
            </w:r>
          </w:p>
        </w:tc>
        <w:tc>
          <w:tcPr>
            <w:tcW w:w="0" w:type="dxa"/>
            <w:vAlign w:val="bottom"/>
          </w:tcPr>
          <w:p>
            <w:pPr>
              <w:spacing w:after="0"/>
              <w:rPr>
                <w:sz w:val="1"/>
                <w:szCs w:val="1"/>
                <w:color w:val="auto"/>
              </w:rPr>
            </w:pPr>
          </w:p>
        </w:tc>
      </w:tr>
      <w:tr>
        <w:trPr>
          <w:trHeight w:val="220"/>
        </w:trPr>
        <w:tc>
          <w:tcPr>
            <w:tcW w:w="114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140" w:type="dxa"/>
            <w:vAlign w:val="bottom"/>
            <w:vMerge w:val="continue"/>
          </w:tcPr>
          <w:p>
            <w:pPr>
              <w:spacing w:after="0"/>
              <w:rPr>
                <w:sz w:val="15"/>
                <w:szCs w:val="15"/>
                <w:color w:val="auto"/>
              </w:rPr>
            </w:pPr>
          </w:p>
        </w:tc>
        <w:tc>
          <w:tcPr>
            <w:tcW w:w="55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Borrowings under our 26,300 Euro term loan expiring on May 1, 2008, bearing</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at a floating rate equal to Euro LIBOR (2.817% at March 31, 2006) plus</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an applicable margin of 1.25 to 2.0 payable in quarterly installments of Euro</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1,314 beginning July 1, 2003 through April 1, 2008</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0" w:type="dxa"/>
            <w:vAlign w:val="bottom"/>
          </w:tcPr>
          <w:p>
            <w:pPr>
              <w:spacing w:after="0"/>
              <w:rPr>
                <w:sz w:val="1"/>
                <w:szCs w:val="1"/>
                <w:color w:val="auto"/>
              </w:rPr>
            </w:pPr>
          </w:p>
        </w:tc>
      </w:tr>
      <w:tr>
        <w:trPr>
          <w:trHeight w:val="220"/>
        </w:trPr>
        <w:tc>
          <w:tcPr>
            <w:tcW w:w="114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140" w:type="dxa"/>
            <w:vAlign w:val="bottom"/>
            <w:vMerge w:val="continue"/>
          </w:tcPr>
          <w:p>
            <w:pPr>
              <w:spacing w:after="0"/>
              <w:rPr>
                <w:sz w:val="15"/>
                <w:szCs w:val="15"/>
                <w:color w:val="auto"/>
              </w:rPr>
            </w:pPr>
          </w:p>
        </w:tc>
        <w:tc>
          <w:tcPr>
            <w:tcW w:w="55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Borrowings under our $40,000 aggregate principal amount of senior notes bearing</w:t>
            </w: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at a fixed rate of 4.89% maturing on April 26, 2014. Annual principal</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payments of $5,714 begin on April 26, 2008 and extend through the date of</w:t>
            </w: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maturity.</w:t>
            </w:r>
          </w:p>
        </w:tc>
        <w:tc>
          <w:tcPr>
            <w:tcW w:w="1740" w:type="dxa"/>
            <w:vAlign w:val="bottom"/>
            <w:vMerge w:val="continue"/>
            <w:shd w:val="clear" w:color="auto" w:fill="CCEEFF"/>
          </w:tcPr>
          <w:p>
            <w:pPr>
              <w:spacing w:after="0"/>
              <w:rPr>
                <w:sz w:val="17"/>
                <w:szCs w:val="17"/>
                <w:color w:val="auto"/>
              </w:rPr>
            </w:pPr>
          </w:p>
        </w:tc>
        <w:tc>
          <w:tcPr>
            <w:tcW w:w="1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140" w:type="dxa"/>
            <w:vAlign w:val="bottom"/>
          </w:tcPr>
          <w:p>
            <w:pPr>
              <w:spacing w:after="0"/>
              <w:rPr>
                <w:sz w:val="24"/>
                <w:szCs w:val="24"/>
                <w:color w:val="auto"/>
              </w:rPr>
            </w:pPr>
          </w:p>
        </w:tc>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long-term debt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59,409</w:t>
            </w:r>
          </w:p>
        </w:tc>
        <w:tc>
          <w:tcPr>
            <w:tcW w:w="186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6"/>
                <w:szCs w:val="16"/>
                <w:color w:val="auto"/>
              </w:rPr>
              <w:t>62,568</w:t>
            </w: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Long-term debt, excluding current maturities of long-term debt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$ 57,900</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$ 57,900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6"/>
          <w:szCs w:val="16"/>
          <w:color w:val="auto"/>
        </w:rPr>
        <w:t>The $1,509 classified as current portion of long-term debt at March 31, 2006 are short-term borrowings under the revolving credit facility that are associated with a lockbox arrangement, resulting in this portion being classified as current. There were no amounts outstanding under this portion of the revolving credit facility at December 31, 2005. The $4,668 under the Euro term loan classified as current portion of long-term debt at December 31, 2005 was repaid in the first quarter of 2006.</w:t>
      </w:r>
    </w:p>
    <w:p>
      <w:pPr>
        <w:spacing w:after="0" w:line="20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The borrowings under the 26,300 Euro term loan have all been repaid as of March 31, 2006. We were in compliance with all covenants related to the $90 million credit facility and the $40 million senior notes as of March 31, 2006.</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440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6"/>
          <w:szCs w:val="16"/>
          <w:color w:val="auto"/>
        </w:rPr>
        <w:t>The fair value of our fixed rate long-term borrowing is estimated using discounted cash flow analysis based on our incremental borrowing rates for similar types of borrowing arrangements. We estimate the fair value of the $40 million notes to be $38,014 and $38,739 at March 31, 2006 and December 31, 2005, respectively.</w:t>
      </w:r>
    </w:p>
    <w:p>
      <w:pPr>
        <w:spacing w:after="0" w:line="24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9.</w:t>
      </w:r>
      <w:r>
        <w:rPr>
          <w:sz w:val="20"/>
          <w:szCs w:val="20"/>
          <w:color w:val="auto"/>
        </w:rPr>
        <w:tab/>
      </w:r>
      <w:r>
        <w:rPr>
          <w:rFonts w:ascii="Times New Roman" w:cs="Times New Roman" w:eastAsia="Times New Roman" w:hAnsi="Times New Roman"/>
          <w:sz w:val="16"/>
          <w:szCs w:val="16"/>
          <w:b w:val="1"/>
          <w:bCs w:val="1"/>
          <w:color w:val="auto"/>
        </w:rPr>
        <w:t>Goodwill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the carrying amount of goodwill for the three month period ended March 31, 2006 and the twelve month period ended December 31, 2005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080" w:type="dxa"/>
            <w:vAlign w:val="bottom"/>
            <w:gridSpan w:val="3"/>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Plastic and Rubber Components</w:t>
            </w:r>
          </w:p>
        </w:tc>
        <w:tc>
          <w:tcPr>
            <w:tcW w:w="1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60" w:type="dxa"/>
            <w:vAlign w:val="bottom"/>
          </w:tcPr>
          <w:p>
            <w:pPr>
              <w:jc w:val="right"/>
              <w:ind w:right="938"/>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96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NN Europe Segment</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9"/>
        </w:trPr>
        <w:tc>
          <w:tcPr>
            <w:tcW w:w="4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2005</w:t>
            </w:r>
          </w:p>
        </w:tc>
        <w:tc>
          <w:tcPr>
            <w:tcW w:w="4080" w:type="dxa"/>
            <w:vAlign w:val="bottom"/>
            <w:tcBorders>
              <w:top w:val="single" w:sz="8" w:color="auto"/>
            </w:tcBorders>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$ 25,755</w:t>
            </w:r>
          </w:p>
        </w:tc>
        <w:tc>
          <w:tcPr>
            <w:tcW w:w="196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$ 18,702</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$ 44,457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Currency impacts</w:t>
            </w:r>
          </w:p>
        </w:tc>
        <w:tc>
          <w:tcPr>
            <w:tcW w:w="1820" w:type="dxa"/>
            <w:vAlign w:val="bottom"/>
            <w:gridSpan w:val="2"/>
          </w:tcPr>
          <w:p>
            <w:pPr>
              <w:spacing w:after="0"/>
              <w:rPr>
                <w:sz w:val="17"/>
                <w:szCs w:val="17"/>
                <w:color w:val="auto"/>
              </w:rPr>
            </w:pPr>
          </w:p>
        </w:tc>
        <w:tc>
          <w:tcPr>
            <w:tcW w:w="22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(2,809)</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2005</w:t>
            </w:r>
          </w:p>
        </w:tc>
        <w:tc>
          <w:tcPr>
            <w:tcW w:w="1820" w:type="dxa"/>
            <w:vAlign w:val="bottom"/>
            <w:tcBorders>
              <w:bottom w:val="single" w:sz="8" w:color="CCEEFF"/>
            </w:tcBorders>
            <w:gridSpan w:val="2"/>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$ 25,755</w:t>
            </w:r>
          </w:p>
        </w:tc>
        <w:tc>
          <w:tcPr>
            <w:tcW w:w="196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$ 15,893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19"/>
                <w:szCs w:val="19"/>
                <w:color w:val="auto"/>
              </w:rPr>
            </w:pPr>
          </w:p>
        </w:tc>
        <w:tc>
          <w:tcPr>
            <w:tcW w:w="1800" w:type="dxa"/>
            <w:vAlign w:val="bottom"/>
          </w:tcPr>
          <w:p>
            <w:pPr>
              <w:spacing w:after="0"/>
              <w:rPr>
                <w:sz w:val="19"/>
                <w:szCs w:val="19"/>
                <w:color w:val="auto"/>
              </w:rPr>
            </w:pPr>
          </w:p>
        </w:tc>
        <w:tc>
          <w:tcPr>
            <w:tcW w:w="2280" w:type="dxa"/>
            <w:vAlign w:val="bottom"/>
            <w:gridSpan w:val="2"/>
          </w:tcPr>
          <w:p>
            <w:pPr>
              <w:spacing w:after="0"/>
              <w:rPr>
                <w:sz w:val="19"/>
                <w:szCs w:val="19"/>
                <w:color w:val="auto"/>
              </w:rPr>
            </w:pPr>
          </w:p>
        </w:tc>
        <w:tc>
          <w:tcPr>
            <w:tcW w:w="1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2006</w:t>
            </w:r>
          </w:p>
        </w:tc>
        <w:tc>
          <w:tcPr>
            <w:tcW w:w="408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$ 25,755</w:t>
            </w:r>
          </w:p>
        </w:tc>
        <w:tc>
          <w:tcPr>
            <w:tcW w:w="196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$ 15,893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$ 41,648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Currency impacts</w:t>
            </w:r>
          </w:p>
        </w:tc>
        <w:tc>
          <w:tcPr>
            <w:tcW w:w="1800" w:type="dxa"/>
            <w:vAlign w:val="bottom"/>
          </w:tcPr>
          <w:p>
            <w:pPr>
              <w:spacing w:after="0"/>
              <w:rPr>
                <w:sz w:val="17"/>
                <w:szCs w:val="17"/>
                <w:color w:val="auto"/>
              </w:rPr>
            </w:pPr>
          </w:p>
        </w:tc>
        <w:tc>
          <w:tcPr>
            <w:tcW w:w="2280" w:type="dxa"/>
            <w:vAlign w:val="bottom"/>
            <w:tcBorders>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rPr>
              <w:t>442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March 31, 2006</w:t>
            </w:r>
          </w:p>
        </w:tc>
        <w:tc>
          <w:tcPr>
            <w:tcW w:w="408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$ 25,755</w:t>
            </w:r>
          </w:p>
        </w:tc>
        <w:tc>
          <w:tcPr>
            <w:tcW w:w="196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$ 16,335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$ 42,090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Note 10.</w:t>
            </w:r>
          </w:p>
        </w:tc>
        <w:tc>
          <w:tcPr>
            <w:tcW w:w="330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Stock Compensation</w:t>
            </w:r>
          </w:p>
        </w:tc>
        <w:tc>
          <w:tcPr>
            <w:tcW w:w="18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On January 1, 2006, the Company adopted SFAS No. 123(R) “Share-Based Payment.” SFAS No. 123(R) replaces SFAS No. 123 “Accounting for Stock-Based Compensation” and supersedes Accounting Principles Board Opinion ("APB") No. 25 “Accounting for Stock Issued to Employees” and amends SFAS No. 95 “Statement of Cash Flows.” Prior to adoption of SFAS No. 123(R), the Company followed the disclosure-only requirements of SFAS No. 123 and continued to account for stock compensation under the requirements of APB No. 25.</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 adopted SFAS No. 123(R) using the modified prospective method that requires compensation expense of all employee and non-employee director share-based compensation awards be recognized in the financial statements based upon their fair value over the requisite service or vesting period for all new awards granted after the effective date and for all awards granted prior to the effective date of SFAS No. 123(R) that remain unvested on the effective date. Under the requirements of APB No. 25, the Company was required to recognize compensation cost only for stock option awards granted at a price lower than the market stock price at the date of grant. Effective with adoption of SFAS No. 123(R), compensation expense related to stock option awards are recognized in the financial statements at the fair value of the award. The Company accounts for restricted share awards by recognizing the fair value of the awarded stock at the grant date as compensation expense ratably over the vesting period, less anticipated forfeitures.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440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In accordance with implementation requirements of SFAS No. 123(R) under the modified prospective method, the Company did not restate prior fiscal periods and is required to continue the same disclosure only requirements of SFAS No. 123 for comparative purposes until all periods reported are comparable on the same basis. The following table illustrates the effect on net earnings and earnings per share as formerly provided under SFAS No. 123:</w:t>
      </w:r>
    </w:p>
    <w:p>
      <w:pPr>
        <w:spacing w:after="0" w:line="208"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1"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6"/>
          <w:szCs w:val="16"/>
          <w:b w:val="1"/>
          <w:bCs w:val="1"/>
          <w:color w:val="auto"/>
        </w:rPr>
        <w:t>March 31, 2005</w:t>
      </w:r>
    </w:p>
    <w:p>
      <w:pPr>
        <w:sectPr>
          <w:pgSz w:w="11900" w:h="16838" w:orient="portrait"/>
          <w:cols w:equalWidth="0" w:num="1">
            <w:col w:w="11440"/>
          </w:cols>
          <w:pgMar w:left="240" w:top="119" w:right="219" w:bottom="1440" w:gutter="0" w:footer="0" w:header="0"/>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7259320" cy="147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1479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based compensation income, net of income tax, included in net income as reported</w:t>
      </w:r>
    </w:p>
    <w:p>
      <w:pPr>
        <w:spacing w:after="0" w:line="27" w:lineRule="exact"/>
        <w:rPr>
          <w:sz w:val="20"/>
          <w:szCs w:val="20"/>
          <w:color w:val="auto"/>
        </w:rPr>
      </w:pPr>
    </w:p>
    <w:p>
      <w:pPr>
        <w:ind w:left="300" w:right="1700" w:hanging="293"/>
        <w:spacing w:after="0" w:line="269" w:lineRule="auto"/>
        <w:rPr>
          <w:sz w:val="20"/>
          <w:szCs w:val="20"/>
          <w:color w:val="auto"/>
        </w:rPr>
      </w:pPr>
      <w:r>
        <w:rPr>
          <w:rFonts w:ascii="Times New Roman" w:cs="Times New Roman" w:eastAsia="Times New Roman" w:hAnsi="Times New Roman"/>
          <w:sz w:val="16"/>
          <w:szCs w:val="16"/>
          <w:color w:val="auto"/>
        </w:rPr>
        <w:t>Stock based compensation costs, net of income tax, that would have been included in net income if the fair value method had been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259320" cy="248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320" cy="2489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Net income - pro-forma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9320" cy="139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320" cy="139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 w:hanging="119"/>
        <w:spacing w:after="0"/>
        <w:tabs>
          <w:tab w:leader="none" w:pos="1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4,023</w:t>
      </w:r>
    </w:p>
    <w:p>
      <w:pPr>
        <w:spacing w:after="0" w:line="57" w:lineRule="exact"/>
        <w:rPr>
          <w:rFonts w:ascii="Times New Roman" w:cs="Times New Roman" w:eastAsia="Times New Roman" w:hAnsi="Times New Roman"/>
          <w:sz w:val="16"/>
          <w:szCs w:val="16"/>
          <w:color w:val="auto"/>
        </w:rPr>
      </w:pPr>
    </w:p>
    <w:p>
      <w:pPr>
        <w:ind w:left="2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(61)</w:t>
      </w:r>
    </w:p>
    <w:p>
      <w:pPr>
        <w:spacing w:after="0" w:line="1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(251)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$ 3,711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15875</wp:posOffset>
            </wp:positionV>
            <wp:extent cx="13525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2550" cy="762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31750</wp:posOffset>
            </wp:positionV>
            <wp:extent cx="13525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10220" w:space="720"/>
            <w:col w:w="500"/>
          </w:cols>
          <w:pgMar w:left="240" w:top="119" w:right="21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share - as reported</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$ 0.24</w:t>
            </w:r>
          </w:p>
        </w:tc>
        <w:tc>
          <w:tcPr>
            <w:tcW w:w="0" w:type="dxa"/>
            <w:vAlign w:val="bottom"/>
          </w:tcPr>
          <w:p>
            <w:pPr>
              <w:spacing w:after="0"/>
              <w:rPr>
                <w:sz w:val="1"/>
                <w:szCs w:val="1"/>
                <w:color w:val="auto"/>
              </w:rPr>
            </w:pPr>
          </w:p>
        </w:tc>
      </w:tr>
      <w:tr>
        <w:trPr>
          <w:trHeight w:val="221"/>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 income, net of income tax, included in net income as reported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3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Stock based compensation costs, net of income tax, that would have been included in net income if the fair value method had been</w:t>
            </w:r>
          </w:p>
        </w:tc>
        <w:tc>
          <w:tcPr>
            <w:tcW w:w="2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0"/>
        </w:trPr>
        <w:tc>
          <w:tcPr>
            <w:tcW w:w="9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applied</w:t>
            </w:r>
          </w:p>
        </w:tc>
        <w:tc>
          <w:tcPr>
            <w:tcW w:w="2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earnings per share - pro-forma</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9300" w:type="dxa"/>
            <w:vAlign w:val="bottom"/>
          </w:tcPr>
          <w:p>
            <w:pPr>
              <w:spacing w:after="0"/>
              <w:rPr>
                <w:sz w:val="17"/>
                <w:szCs w:val="17"/>
                <w:color w:val="auto"/>
              </w:rPr>
            </w:pPr>
          </w:p>
        </w:tc>
        <w:tc>
          <w:tcPr>
            <w:tcW w:w="2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share-assuming dilution - as reported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300" w:type="dxa"/>
            <w:vAlign w:val="bottom"/>
          </w:tcPr>
          <w:p>
            <w:pPr>
              <w:spacing w:after="0"/>
              <w:rPr>
                <w:sz w:val="21"/>
                <w:szCs w:val="21"/>
                <w:color w:val="auto"/>
              </w:rPr>
            </w:pPr>
          </w:p>
        </w:tc>
        <w:tc>
          <w:tcPr>
            <w:tcW w:w="2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 income, net of income tax, included in net income as reported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3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Stock based compensation costs, net of income tax, that would have been included in net income if the fair value method had been</w:t>
            </w:r>
          </w:p>
        </w:tc>
        <w:tc>
          <w:tcPr>
            <w:tcW w:w="2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0"/>
        </w:trPr>
        <w:tc>
          <w:tcPr>
            <w:tcW w:w="9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applied</w:t>
            </w:r>
          </w:p>
        </w:tc>
        <w:tc>
          <w:tcPr>
            <w:tcW w:w="2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assuming dilution-pro-forma</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In the first quarter 2006, approximately $103 of compensation expense was recognized in selling, general and administrative expense for all share-based awards. The cost recognized was related to the restricted stock awards. No compensation expense was recognized related to stock options in the first quarter of 2006, as there were not any new stock option awards and all existing stock options were fully vested as of December 31, 2005. The impact on net income of all stock compensation expense in the first quarter of 2006 was approximately $66, net of tax benefits of $37.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Option Awards</w:t>
      </w:r>
    </w:p>
    <w:p>
      <w:pPr>
        <w:spacing w:after="0" w:line="26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Option awards are typically granted to non-employee directors and key employees on an annual basis. A single option grant is typically awarded to eligible employees in the third quarter of each year if and when granted by the Compensation Committee of the Board of Directors and occasional individual grants are awarded to eligible employees throughout the year. All employee and non-employee directors are awarded options at an exercise price equal to the closing price of the Company's stock on the date of grant. The term life of options is ten years with vesting periods of generally three years. Actual vesting usually occurs ratably or at the end of the vesting period. The fair value of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 As the Company did not grant any options in the first quarter of 2006, the assumptions relevant to options granted in the first quarter 2005 are identified in the table below:</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440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type w:val="continuous"/>
        </w:sectPr>
      </w:pPr>
    </w:p>
    <w:bookmarkStart w:id="12" w:name="page13"/>
    <w:bookmarkEnd w:id="12"/>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41" w:lineRule="exact"/>
        <w:rPr>
          <w:sz w:val="20"/>
          <w:szCs w:val="20"/>
          <w:color w:val="auto"/>
        </w:rPr>
      </w:pPr>
    </w:p>
    <w:tbl>
      <w:tblPr>
        <w:tblLayout w:type="fixed"/>
        <w:tblInd w:w="2862"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Term</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Vesting period</w:t>
            </w:r>
          </w:p>
        </w:tc>
      </w:tr>
      <w:tr>
        <w:trPr>
          <w:trHeight w:val="196"/>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Risk free interest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4.00%</w:t>
            </w:r>
          </w:p>
        </w:tc>
      </w:tr>
      <w:tr>
        <w:trPr>
          <w:trHeight w:val="196"/>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2.60%</w:t>
            </w:r>
          </w:p>
        </w:tc>
      </w:tr>
      <w:tr>
        <w:trPr>
          <w:trHeight w:val="196"/>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48.38%</w:t>
            </w:r>
          </w:p>
        </w:tc>
      </w:tr>
      <w:tr>
        <w:trPr>
          <w:trHeight w:val="211"/>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Expected forfeitures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w:t>
            </w:r>
          </w:p>
        </w:tc>
      </w:tr>
    </w:tbl>
    <w:p>
      <w:pPr>
        <w:spacing w:after="0" w:line="229" w:lineRule="exact"/>
        <w:rPr>
          <w:sz w:val="20"/>
          <w:szCs w:val="20"/>
          <w:color w:val="auto"/>
        </w:rPr>
      </w:pPr>
    </w:p>
    <w:p>
      <w:pPr>
        <w:ind w:left="2" w:right="340"/>
        <w:spacing w:after="0" w:line="291" w:lineRule="auto"/>
        <w:rPr>
          <w:sz w:val="20"/>
          <w:szCs w:val="20"/>
          <w:color w:val="auto"/>
        </w:rPr>
      </w:pPr>
      <w:r>
        <w:rPr>
          <w:rFonts w:ascii="Times New Roman" w:cs="Times New Roman" w:eastAsia="Times New Roman" w:hAnsi="Times New Roman"/>
          <w:sz w:val="16"/>
          <w:szCs w:val="16"/>
          <w:color w:val="auto"/>
        </w:rPr>
        <w:t>The volatility rate is derived from actual Company common stock volatility over the same time period as the expected term. The volatility rate is derived by mathematical formula utilizing daily closing price data.</w:t>
      </w:r>
    </w:p>
    <w:p>
      <w:pPr>
        <w:spacing w:after="0" w:line="190" w:lineRule="exact"/>
        <w:rPr>
          <w:sz w:val="20"/>
          <w:szCs w:val="20"/>
          <w:color w:val="auto"/>
        </w:rPr>
      </w:pPr>
    </w:p>
    <w:p>
      <w:pPr>
        <w:ind w:left="2" w:right="120"/>
        <w:spacing w:after="0" w:line="291" w:lineRule="auto"/>
        <w:rPr>
          <w:sz w:val="20"/>
          <w:szCs w:val="20"/>
          <w:color w:val="auto"/>
        </w:rPr>
      </w:pPr>
      <w:r>
        <w:rPr>
          <w:rFonts w:ascii="Times New Roman" w:cs="Times New Roman" w:eastAsia="Times New Roman" w:hAnsi="Times New Roman"/>
          <w:sz w:val="16"/>
          <w:szCs w:val="16"/>
          <w:color w:val="auto"/>
        </w:rPr>
        <w:t>The expected dividend yield is derived by mathematical formula which uses the expected Company annual dividends over the expected term divided by the fair market value of the Company's common stock at the grant date.</w:t>
      </w:r>
    </w:p>
    <w:p>
      <w:pPr>
        <w:spacing w:after="0" w:line="190" w:lineRule="exact"/>
        <w:rPr>
          <w:sz w:val="20"/>
          <w:szCs w:val="20"/>
          <w:color w:val="auto"/>
        </w:rPr>
      </w:pPr>
    </w:p>
    <w:p>
      <w:pPr>
        <w:ind w:left="2" w:right="100"/>
        <w:spacing w:after="0" w:line="291" w:lineRule="auto"/>
        <w:rPr>
          <w:sz w:val="20"/>
          <w:szCs w:val="20"/>
          <w:color w:val="auto"/>
        </w:rPr>
      </w:pPr>
      <w:r>
        <w:rPr>
          <w:rFonts w:ascii="Times New Roman" w:cs="Times New Roman" w:eastAsia="Times New Roman" w:hAnsi="Times New Roman"/>
          <w:sz w:val="16"/>
          <w:szCs w:val="16"/>
          <w:color w:val="auto"/>
        </w:rPr>
        <w:t>The average risk-free interest rate is derived from United States Department of Treasury published interest rates of daily yield curves for the same time period as the expected term.</w:t>
      </w:r>
    </w:p>
    <w:p>
      <w:pPr>
        <w:spacing w:after="0" w:line="190" w:lineRule="exact"/>
        <w:rPr>
          <w:sz w:val="20"/>
          <w:szCs w:val="20"/>
          <w:color w:val="auto"/>
        </w:rPr>
      </w:pPr>
    </w:p>
    <w:p>
      <w:pPr>
        <w:ind w:left="2" w:right="380"/>
        <w:spacing w:after="0" w:line="291" w:lineRule="auto"/>
        <w:rPr>
          <w:sz w:val="20"/>
          <w:szCs w:val="20"/>
          <w:color w:val="auto"/>
        </w:rPr>
      </w:pPr>
      <w:r>
        <w:rPr>
          <w:rFonts w:ascii="Times New Roman" w:cs="Times New Roman" w:eastAsia="Times New Roman" w:hAnsi="Times New Roman"/>
          <w:sz w:val="16"/>
          <w:szCs w:val="16"/>
          <w:color w:val="auto"/>
        </w:rPr>
        <w:t>Prior to adoption of SFAS No. 123(R), the Company estimated forfeitures at a standard 5% and recognized them as they occurred for pro forma disclosure of share-based compensation expense. With adoption of SFAS No. 123(R), the company will estimate the forfeiture rate based on detailed statistical analysis of prior forfeitures.</w:t>
      </w:r>
    </w:p>
    <w:p>
      <w:pPr>
        <w:spacing w:after="0" w:line="1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provides a reconciliation of option activity through the end of the first quarter 2006:</w:t>
      </w:r>
    </w:p>
    <w:p>
      <w:pPr>
        <w:spacing w:after="0" w:line="253"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320" w:type="dxa"/>
            <w:vAlign w:val="bottom"/>
          </w:tcPr>
          <w:p>
            <w:pPr>
              <w:spacing w:after="0"/>
              <w:rPr>
                <w:sz w:val="17"/>
                <w:szCs w:val="17"/>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Aggregate Intrinsic Value</w:t>
            </w:r>
          </w:p>
        </w:tc>
      </w:tr>
      <w:tr>
        <w:trPr>
          <w:trHeight w:val="216"/>
        </w:trPr>
        <w:tc>
          <w:tcPr>
            <w:tcW w:w="420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Shares (000)</w:t>
            </w:r>
          </w:p>
        </w:tc>
        <w:tc>
          <w:tcPr>
            <w:tcW w:w="320" w:type="dxa"/>
            <w:vAlign w:val="bottom"/>
          </w:tcPr>
          <w:p>
            <w:pPr>
              <w:spacing w:after="0"/>
              <w:rPr>
                <w:sz w:val="18"/>
                <w:szCs w:val="18"/>
                <w:color w:val="auto"/>
              </w:rPr>
            </w:pPr>
          </w:p>
        </w:tc>
        <w:tc>
          <w:tcPr>
            <w:tcW w:w="14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30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320" w:type="dxa"/>
            <w:vAlign w:val="bottom"/>
          </w:tcPr>
          <w:p>
            <w:pPr>
              <w:spacing w:after="0"/>
              <w:rPr>
                <w:sz w:val="18"/>
                <w:szCs w:val="18"/>
                <w:color w:val="auto"/>
              </w:rPr>
            </w:pPr>
          </w:p>
        </w:tc>
        <w:tc>
          <w:tcPr>
            <w:tcW w:w="180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($000)</w:t>
            </w:r>
          </w:p>
        </w:tc>
        <w:tc>
          <w:tcPr>
            <w:tcW w:w="20" w:type="dxa"/>
            <w:vAlign w:val="bottom"/>
          </w:tcPr>
          <w:p>
            <w:pPr>
              <w:spacing w:after="0"/>
              <w:rPr>
                <w:sz w:val="18"/>
                <w:szCs w:val="18"/>
                <w:color w:val="auto"/>
              </w:rPr>
            </w:pPr>
          </w:p>
        </w:tc>
      </w:tr>
      <w:tr>
        <w:trPr>
          <w:trHeight w:val="21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January 1, 2006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$ 9.56</w:t>
            </w: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7.24</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expired</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March 31, 2006</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$ 9.58</w:t>
            </w:r>
          </w:p>
        </w:tc>
        <w:tc>
          <w:tcPr>
            <w:tcW w:w="3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3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$ 4,632 (1)</w:t>
            </w:r>
          </w:p>
        </w:tc>
        <w:tc>
          <w:tcPr>
            <w:tcW w:w="20" w:type="dxa"/>
            <w:vAlign w:val="bottom"/>
          </w:tcPr>
          <w:p>
            <w:pPr>
              <w:spacing w:after="0"/>
              <w:rPr>
                <w:sz w:val="19"/>
                <w:szCs w:val="19"/>
                <w:color w:val="auto"/>
              </w:rPr>
            </w:pPr>
          </w:p>
        </w:tc>
      </w:tr>
      <w:tr>
        <w:trPr>
          <w:trHeight w:val="173"/>
        </w:trPr>
        <w:tc>
          <w:tcPr>
            <w:tcW w:w="420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Exercisable at March 31, 2006</w:t>
            </w:r>
          </w:p>
        </w:tc>
        <w:tc>
          <w:tcPr>
            <w:tcW w:w="142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1,391</w:t>
            </w:r>
          </w:p>
        </w:tc>
        <w:tc>
          <w:tcPr>
            <w:tcW w:w="320" w:type="dxa"/>
            <w:vAlign w:val="bottom"/>
          </w:tcPr>
          <w:p>
            <w:pPr>
              <w:spacing w:after="0"/>
              <w:rPr>
                <w:sz w:val="15"/>
                <w:szCs w:val="15"/>
                <w:color w:val="auto"/>
              </w:rPr>
            </w:pPr>
          </w:p>
        </w:tc>
        <w:tc>
          <w:tcPr>
            <w:tcW w:w="1760" w:type="dxa"/>
            <w:vAlign w:val="bottom"/>
            <w:gridSpan w:val="2"/>
          </w:tcPr>
          <w:p>
            <w:pPr>
              <w:jc w:val="right"/>
              <w:ind w:right="300"/>
              <w:spacing w:after="0" w:line="173" w:lineRule="exact"/>
              <w:rPr>
                <w:sz w:val="20"/>
                <w:szCs w:val="20"/>
                <w:color w:val="auto"/>
              </w:rPr>
            </w:pPr>
            <w:r>
              <w:rPr>
                <w:rFonts w:ascii="Times New Roman" w:cs="Times New Roman" w:eastAsia="Times New Roman" w:hAnsi="Times New Roman"/>
                <w:sz w:val="16"/>
                <w:szCs w:val="16"/>
                <w:color w:val="auto"/>
              </w:rPr>
              <w:t>$ 9.58</w:t>
            </w:r>
          </w:p>
        </w:tc>
        <w:tc>
          <w:tcPr>
            <w:tcW w:w="16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6.4</w:t>
            </w:r>
          </w:p>
        </w:tc>
        <w:tc>
          <w:tcPr>
            <w:tcW w:w="212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color w:val="auto"/>
              </w:rPr>
              <w:t>$ 4,632 (1)</w:t>
            </w:r>
          </w:p>
        </w:tc>
        <w:tc>
          <w:tcPr>
            <w:tcW w:w="20" w:type="dxa"/>
            <w:vAlign w:val="bottom"/>
          </w:tcPr>
          <w:p>
            <w:pPr>
              <w:spacing w:after="0"/>
              <w:rPr>
                <w:sz w:val="15"/>
                <w:szCs w:val="15"/>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9" w:lineRule="exact"/>
        <w:rPr>
          <w:sz w:val="20"/>
          <w:szCs w:val="20"/>
          <w:color w:val="auto"/>
        </w:rPr>
      </w:pPr>
    </w:p>
    <w:p>
      <w:pPr>
        <w:ind w:left="202" w:hanging="202"/>
        <w:spacing w:after="0"/>
        <w:tabs>
          <w:tab w:leader="none" w:pos="202"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Intrinsic value is the amount by which the market price of the stock or the market price at the exercise date underlying the option exceeds the exercise price of the option.</w:t>
      </w:r>
    </w:p>
    <w:p>
      <w:pPr>
        <w:spacing w:after="0" w:line="229" w:lineRule="exact"/>
        <w:rPr>
          <w:sz w:val="20"/>
          <w:szCs w:val="20"/>
          <w:color w:val="auto"/>
        </w:rPr>
      </w:pPr>
    </w:p>
    <w:p>
      <w:pPr>
        <w:jc w:val="both"/>
        <w:ind w:left="2" w:right="20" w:firstLine="38"/>
        <w:spacing w:after="0" w:line="267" w:lineRule="auto"/>
        <w:rPr>
          <w:sz w:val="20"/>
          <w:szCs w:val="20"/>
          <w:color w:val="auto"/>
        </w:rPr>
      </w:pPr>
      <w:r>
        <w:rPr>
          <w:rFonts w:ascii="Times New Roman" w:cs="Times New Roman" w:eastAsia="Times New Roman" w:hAnsi="Times New Roman"/>
          <w:sz w:val="16"/>
          <w:szCs w:val="16"/>
          <w:color w:val="auto"/>
        </w:rPr>
        <w:t>At December 31, 2005, all options were fully vested and there was no compensation cost incurred from existing options. Cash proceeds from the exercise of options in first quarter 2006 totaled approximately $87 with a related tax benefit of approximately $16. In the first quarter of 2005, the Company received $990 in cash proceeds from the issuance of stock options. For both quarters ended March 31, 2006 and 2005, proceeds from stock options were presented net of tax benefits in the Consolidated Statement of Cash Flows.</w:t>
      </w:r>
    </w:p>
    <w:p>
      <w:pPr>
        <w:spacing w:after="0" w:line="209" w:lineRule="exact"/>
        <w:rPr>
          <w:sz w:val="20"/>
          <w:szCs w:val="20"/>
          <w:color w:val="auto"/>
        </w:rPr>
      </w:pPr>
    </w:p>
    <w:p>
      <w:pPr>
        <w:jc w:val="both"/>
        <w:ind w:left="2" w:right="20"/>
        <w:spacing w:after="0" w:line="291" w:lineRule="auto"/>
        <w:rPr>
          <w:sz w:val="20"/>
          <w:szCs w:val="20"/>
          <w:color w:val="auto"/>
        </w:rPr>
      </w:pPr>
      <w:r>
        <w:rPr>
          <w:rFonts w:ascii="Times New Roman" w:cs="Times New Roman" w:eastAsia="Times New Roman" w:hAnsi="Times New Roman"/>
          <w:sz w:val="16"/>
          <w:szCs w:val="16"/>
          <w:color w:val="auto"/>
        </w:rPr>
        <w:t>No stock options were granted during the first quarter of 2006 and 2005. The total intrinsic value of the options exercised during the first quarters of 2006 and 2005 were $68 and $730, respectively.</w:t>
      </w:r>
    </w:p>
    <w:p>
      <w:pPr>
        <w:spacing w:after="0" w:line="18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Restricted Stock Awards</w:t>
      </w:r>
    </w:p>
    <w:p>
      <w:pPr>
        <w:spacing w:after="0" w:line="261" w:lineRule="exact"/>
        <w:rPr>
          <w:sz w:val="20"/>
          <w:szCs w:val="20"/>
          <w:color w:val="auto"/>
        </w:rPr>
      </w:pPr>
    </w:p>
    <w:p>
      <w:pPr>
        <w:ind w:left="2" w:right="200"/>
        <w:spacing w:after="0" w:line="291" w:lineRule="auto"/>
        <w:rPr>
          <w:sz w:val="20"/>
          <w:szCs w:val="20"/>
          <w:color w:val="auto"/>
        </w:rPr>
      </w:pPr>
      <w:r>
        <w:rPr>
          <w:rFonts w:ascii="Times New Roman" w:cs="Times New Roman" w:eastAsia="Times New Roman" w:hAnsi="Times New Roman"/>
          <w:sz w:val="16"/>
          <w:szCs w:val="16"/>
          <w:color w:val="auto"/>
        </w:rPr>
        <w:t>In addition to stock option awards, the Company has restricted stock awards, the first grant of which was in July 2005. The Company’s policy for issuing restricted shares is similar to that described under “Stock Option Awards”. The recognized compensation cost before tax for these restricted stock awards in the</w:t>
      </w:r>
    </w:p>
    <w:p>
      <w:pPr>
        <w:spacing w:after="0" w:line="18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26440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19" w:right="2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6"/>
          <w:szCs w:val="16"/>
          <w:color w:val="auto"/>
        </w:rPr>
        <w:t>first quarter 2006 and first quarter 2005 was approximately $103 and $0, respectively. The unrecognized compensation cost before tax for these awards in the first quarter 2006 and first quarter 2005 total approximately $364 and $0, respectively, to be recognized over approximately two years. The forfeiture rate of the awards granted is currently estimated at 0%. Below is a summary of the status of the restricted shares as of March 31, 2006 and changes during the quarter: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196"/>
        </w:trPr>
        <w:tc>
          <w:tcPr>
            <w:tcW w:w="14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2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Average Grant-</w:t>
            </w:r>
          </w:p>
        </w:tc>
      </w:tr>
      <w:tr>
        <w:trPr>
          <w:trHeight w:val="216"/>
        </w:trPr>
        <w:tc>
          <w:tcPr>
            <w:tcW w:w="1440" w:type="dxa"/>
            <w:vAlign w:val="bottom"/>
          </w:tcPr>
          <w:p>
            <w:pPr>
              <w:spacing w:after="0"/>
              <w:rPr>
                <w:sz w:val="18"/>
                <w:szCs w:val="18"/>
                <w:color w:val="auto"/>
              </w:rPr>
            </w:pPr>
          </w:p>
        </w:tc>
        <w:tc>
          <w:tcPr>
            <w:tcW w:w="4040" w:type="dxa"/>
            <w:vAlign w:val="bottom"/>
          </w:tcPr>
          <w:p>
            <w:pPr>
              <w:ind w:left="1240"/>
              <w:spacing w:after="0"/>
              <w:rPr>
                <w:sz w:val="20"/>
                <w:szCs w:val="20"/>
                <w:color w:val="auto"/>
              </w:rPr>
            </w:pPr>
            <w:r>
              <w:rPr>
                <w:rFonts w:ascii="Times New Roman" w:cs="Times New Roman" w:eastAsia="Times New Roman" w:hAnsi="Times New Roman"/>
                <w:sz w:val="16"/>
                <w:szCs w:val="16"/>
                <w:b w:val="1"/>
                <w:bCs w:val="1"/>
                <w:color w:val="auto"/>
              </w:rPr>
              <w:t>Non-vested Shares</w:t>
            </w:r>
          </w:p>
        </w:tc>
        <w:tc>
          <w:tcPr>
            <w:tcW w:w="10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(000)</w:t>
            </w:r>
          </w:p>
        </w:tc>
        <w:tc>
          <w:tcPr>
            <w:tcW w:w="280" w:type="dxa"/>
            <w:vAlign w:val="bottom"/>
          </w:tcPr>
          <w:p>
            <w:pPr>
              <w:spacing w:after="0"/>
              <w:rPr>
                <w:sz w:val="18"/>
                <w:szCs w:val="18"/>
                <w:color w:val="auto"/>
              </w:rPr>
            </w:pPr>
          </w:p>
        </w:tc>
        <w:tc>
          <w:tcPr>
            <w:tcW w:w="3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20" w:type="dxa"/>
            <w:vAlign w:val="bottom"/>
          </w:tcPr>
          <w:p>
            <w:pPr>
              <w:spacing w:after="0"/>
              <w:rPr>
                <w:sz w:val="18"/>
                <w:szCs w:val="18"/>
                <w:color w:val="auto"/>
              </w:rPr>
            </w:pPr>
          </w:p>
        </w:tc>
      </w:tr>
      <w:tr>
        <w:trPr>
          <w:trHeight w:val="213"/>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January 1, 2006</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53</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$ 12.70</w:t>
            </w:r>
          </w:p>
        </w:tc>
        <w:tc>
          <w:tcPr>
            <w:tcW w:w="20" w:type="dxa"/>
            <w:vAlign w:val="bottom"/>
          </w:tcPr>
          <w:p>
            <w:pPr>
              <w:spacing w:after="0"/>
              <w:rPr>
                <w:sz w:val="18"/>
                <w:szCs w:val="18"/>
                <w:color w:val="auto"/>
              </w:rPr>
            </w:pPr>
          </w:p>
        </w:tc>
      </w:tr>
      <w:tr>
        <w:trPr>
          <w:trHeight w:val="220"/>
        </w:trPr>
        <w:tc>
          <w:tcPr>
            <w:tcW w:w="14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144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8"/>
        </w:trPr>
        <w:tc>
          <w:tcPr>
            <w:tcW w:w="14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28"/>
        </w:trPr>
        <w:tc>
          <w:tcPr>
            <w:tcW w:w="144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March 31, 2006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$ 12.70</w:t>
            </w:r>
          </w:p>
        </w:tc>
        <w:tc>
          <w:tcPr>
            <w:tcW w:w="20" w:type="dxa"/>
            <w:vAlign w:val="bottom"/>
          </w:tcPr>
          <w:p>
            <w:pPr>
              <w:spacing w:after="0"/>
              <w:rPr>
                <w:sz w:val="19"/>
                <w:szCs w:val="19"/>
                <w:color w:val="auto"/>
              </w:rPr>
            </w:pPr>
          </w:p>
        </w:tc>
      </w:tr>
      <w:tr>
        <w:trPr>
          <w:trHeight w:val="392"/>
        </w:trPr>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11. Common Stock Repurchase</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During the first quarter of 2006, the Company’s Board of Directors authorized a stock repurchase program under which the Company is authorized to repurchase up to $10 million in common stock of the Company, during the next 18 months in the open market or in private transactions, in accordance with applicable laws and regulations. This amount represents approximately 5% of the Company’s outstanding stock. During March 2006, the Company repurchased 20,474 shares at approximately $12.00 a share for a total of $246. These shares will be retired and were recorded as an offset to additional paid in capital.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Restructuring Charges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Eltmann, Germany Restructuring</w:t>
      </w:r>
    </w:p>
    <w:p>
      <w:pPr>
        <w:spacing w:after="0" w:line="26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color w:val="auto"/>
        </w:rPr>
        <w:t>During the fourth quarter of 2004, we announced a reduction in staffing at our Eltmann, Germany ball production facility, a component of our NN Europe Segment. This restructuring affected approximately 83 employees and is expected be completed during 2006. As a result, we recorded restructuring charges of approximately 1.7 million Euros ($2.3 million) related to severance costs of approximately $2.1 million and other related charges of approximately $0.2 million at December 31, 2004. The workforce reduction is a result of our continuing strategy of rationalizing our global manufacturing capacity and the transfer of production principally to our facility in Kysucke Nove Mesto, Slovakia. The charges were recorded in restructuring and impairment costs, a component of income from operations in the fourth quarter of 2004.</w:t>
      </w:r>
    </w:p>
    <w:p>
      <w:pPr>
        <w:spacing w:after="0" w:line="212"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The following summarizes the restructuring charges related to the restructuring at the Company’s Eltmann, Germany facility for the twelve months ended December 31, 2005 and the three months ended March 31, 2006: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Twelve months ended December 31, 2005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Reserve Balance at</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Adjustment to</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Reserve Balance at</w:t>
            </w:r>
          </w:p>
        </w:tc>
      </w:tr>
      <w:tr>
        <w:trPr>
          <w:trHeight w:val="216"/>
        </w:trPr>
        <w:tc>
          <w:tcPr>
            <w:tcW w:w="294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01/01/05</w:t>
            </w:r>
          </w:p>
        </w:tc>
        <w:tc>
          <w:tcPr>
            <w:tcW w:w="3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Paid in 2005</w:t>
            </w:r>
          </w:p>
        </w:tc>
        <w:tc>
          <w:tcPr>
            <w:tcW w:w="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 Impacts</w:t>
            </w: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12/31/05</w:t>
            </w:r>
          </w:p>
        </w:tc>
      </w:tr>
      <w:tr>
        <w:trPr>
          <w:trHeight w:val="201"/>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Severance and other employee costs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$ 2,290</w:t>
            </w:r>
          </w:p>
        </w:tc>
        <w:tc>
          <w:tcPr>
            <w:tcW w:w="32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(342)</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 (884)</w:t>
            </w:r>
          </w:p>
        </w:tc>
        <w:tc>
          <w:tcPr>
            <w:tcW w:w="3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(219)</w:t>
            </w:r>
          </w:p>
        </w:tc>
        <w:tc>
          <w:tcPr>
            <w:tcW w:w="3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$ 845</w:t>
            </w:r>
          </w:p>
        </w:tc>
      </w:tr>
      <w:tr>
        <w:trPr>
          <w:trHeight w:val="228"/>
        </w:trPr>
        <w:tc>
          <w:tcPr>
            <w:tcW w:w="29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$ 2,290</w:t>
            </w:r>
          </w:p>
        </w:tc>
        <w:tc>
          <w:tcPr>
            <w:tcW w:w="1620" w:type="dxa"/>
            <w:vAlign w:val="bottom"/>
            <w:gridSpan w:val="2"/>
            <w:shd w:val="clear" w:color="auto" w:fill="CCEEFF"/>
          </w:tcPr>
          <w:p>
            <w:pPr>
              <w:jc w:val="center"/>
              <w:ind w:left="218"/>
              <w:spacing w:after="0"/>
              <w:rPr>
                <w:sz w:val="20"/>
                <w:szCs w:val="20"/>
                <w:color w:val="auto"/>
              </w:rPr>
            </w:pPr>
            <w:r>
              <w:rPr>
                <w:rFonts w:ascii="Times New Roman" w:cs="Times New Roman" w:eastAsia="Times New Roman" w:hAnsi="Times New Roman"/>
                <w:sz w:val="16"/>
                <w:szCs w:val="16"/>
                <w:color w:val="auto"/>
              </w:rPr>
              <w:t>$ (342)</w:t>
            </w:r>
          </w:p>
        </w:tc>
        <w:tc>
          <w:tcPr>
            <w:tcW w:w="14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 (884)</w:t>
            </w:r>
          </w:p>
        </w:tc>
        <w:tc>
          <w:tcPr>
            <w:tcW w:w="1800" w:type="dxa"/>
            <w:vAlign w:val="bottom"/>
            <w:gridSpan w:val="2"/>
            <w:shd w:val="clear" w:color="auto" w:fill="CCEEFF"/>
          </w:tcPr>
          <w:p>
            <w:pPr>
              <w:jc w:val="center"/>
              <w:ind w:left="238"/>
              <w:spacing w:after="0"/>
              <w:rPr>
                <w:sz w:val="20"/>
                <w:szCs w:val="20"/>
                <w:color w:val="auto"/>
              </w:rPr>
            </w:pPr>
            <w:r>
              <w:rPr>
                <w:rFonts w:ascii="Times New Roman" w:cs="Times New Roman" w:eastAsia="Times New Roman" w:hAnsi="Times New Roman"/>
                <w:sz w:val="16"/>
                <w:szCs w:val="16"/>
                <w:color w:val="auto"/>
              </w:rPr>
              <w:t>$ (219)</w:t>
            </w:r>
          </w:p>
        </w:tc>
        <w:tc>
          <w:tcPr>
            <w:tcW w:w="2000" w:type="dxa"/>
            <w:vAlign w:val="bottom"/>
            <w:gridSpan w:val="2"/>
            <w:shd w:val="clear" w:color="auto" w:fill="CCEEFF"/>
          </w:tcPr>
          <w:p>
            <w:pPr>
              <w:jc w:val="center"/>
              <w:ind w:left="238"/>
              <w:spacing w:after="0"/>
              <w:rPr>
                <w:sz w:val="20"/>
                <w:szCs w:val="20"/>
                <w:color w:val="auto"/>
              </w:rPr>
            </w:pPr>
            <w:r>
              <w:rPr>
                <w:rFonts w:ascii="Times New Roman" w:cs="Times New Roman" w:eastAsia="Times New Roman" w:hAnsi="Times New Roman"/>
                <w:sz w:val="16"/>
                <w:szCs w:val="16"/>
                <w:color w:val="auto"/>
                <w:w w:val="99"/>
              </w:rPr>
              <w:t>$ 845</w:t>
            </w:r>
          </w:p>
        </w:tc>
      </w:tr>
      <w:tr>
        <w:trPr>
          <w:trHeight w:val="417"/>
        </w:trPr>
        <w:tc>
          <w:tcPr>
            <w:tcW w:w="2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2006</w:t>
            </w:r>
          </w:p>
        </w:tc>
        <w:tc>
          <w:tcPr>
            <w:tcW w:w="164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176"/>
        </w:trPr>
        <w:tc>
          <w:tcPr>
            <w:tcW w:w="294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Reserve Balance at</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Reserve Balance at</w:t>
            </w:r>
          </w:p>
        </w:tc>
      </w:tr>
      <w:tr>
        <w:trPr>
          <w:trHeight w:val="216"/>
        </w:trPr>
        <w:tc>
          <w:tcPr>
            <w:tcW w:w="294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01/01/06</w:t>
            </w:r>
          </w:p>
        </w:tc>
        <w:tc>
          <w:tcPr>
            <w:tcW w:w="3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Paid in 2006</w:t>
            </w:r>
          </w:p>
        </w:tc>
        <w:tc>
          <w:tcPr>
            <w:tcW w:w="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 Impacts</w:t>
            </w: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03/31/06</w:t>
            </w:r>
          </w:p>
        </w:tc>
      </w:tr>
      <w:tr>
        <w:trPr>
          <w:trHeight w:val="213"/>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Severance and other employee costs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$845</w:t>
            </w:r>
          </w:p>
        </w:tc>
        <w:tc>
          <w:tcPr>
            <w:tcW w:w="3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$(510)</w:t>
            </w:r>
          </w:p>
        </w:tc>
        <w:tc>
          <w:tcPr>
            <w:tcW w:w="3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$ 16</w:t>
            </w:r>
          </w:p>
        </w:tc>
        <w:tc>
          <w:tcPr>
            <w:tcW w:w="3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$ 351</w:t>
            </w:r>
          </w:p>
        </w:tc>
      </w:tr>
      <w:tr>
        <w:trPr>
          <w:trHeight w:val="229"/>
        </w:trPr>
        <w:tc>
          <w:tcPr>
            <w:tcW w:w="29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$ 845</w:t>
            </w:r>
          </w:p>
        </w:tc>
        <w:tc>
          <w:tcPr>
            <w:tcW w:w="3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 (510)</w:t>
            </w:r>
          </w:p>
        </w:tc>
        <w:tc>
          <w:tcPr>
            <w:tcW w:w="3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$ 16</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$ 351</w:t>
            </w:r>
          </w:p>
        </w:tc>
      </w:tr>
    </w:tbl>
    <w:p>
      <w:pPr>
        <w:spacing w:after="0" w:line="228" w:lineRule="exact"/>
        <w:rPr>
          <w:sz w:val="20"/>
          <w:szCs w:val="20"/>
          <w:color w:val="auto"/>
        </w:rPr>
      </w:pPr>
    </w:p>
    <w:p>
      <w:pPr>
        <w:jc w:val="both"/>
        <w:ind w:right="180"/>
        <w:spacing w:after="0" w:line="291" w:lineRule="auto"/>
        <w:rPr>
          <w:sz w:val="20"/>
          <w:szCs w:val="20"/>
          <w:color w:val="auto"/>
        </w:rPr>
      </w:pPr>
      <w:r>
        <w:rPr>
          <w:rFonts w:ascii="Times New Roman" w:cs="Times New Roman" w:eastAsia="Times New Roman" w:hAnsi="Times New Roman"/>
          <w:sz w:val="16"/>
          <w:szCs w:val="16"/>
          <w:color w:val="auto"/>
        </w:rPr>
        <w:t>No additional charges are expected to be incurred related to the 2004 restructuring program. We expect to pay all amounts by 2007, as some employees have elected to defer their severance payments.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440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6"/>
          <w:szCs w:val="16"/>
          <w:b w:val="1"/>
          <w:bCs w:val="1"/>
          <w:color w:val="auto"/>
        </w:rPr>
        <w:t>Note 13.</w:t>
      </w:r>
      <w:r>
        <w:rPr>
          <w:sz w:val="20"/>
          <w:szCs w:val="20"/>
          <w:color w:val="auto"/>
        </w:rPr>
        <w:tab/>
      </w:r>
      <w:r>
        <w:rPr>
          <w:rFonts w:ascii="Times New Roman" w:cs="Times New Roman" w:eastAsia="Times New Roman" w:hAnsi="Times New Roman"/>
          <w:sz w:val="16"/>
          <w:szCs w:val="16"/>
          <w:b w:val="1"/>
          <w:bCs w:val="1"/>
          <w:color w:val="auto"/>
        </w:rPr>
        <w:t>Property, Plant and Equipment</w:t>
      </w:r>
    </w:p>
    <w:p>
      <w:pPr>
        <w:spacing w:after="0" w:line="2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During the first quarter of 2006, we completed a sale of excess land and two buildings at NN Europe’s Pinerolo, Italy plant. The net book value of this land and buildings was $1,013 and was classified as held for sale at December 31, 2005. The proceeds from the sale were $2,804 resulting in a pre-tax gain of $1,791. In addition, the Pinerolo plant disposed of excess machinery in the first quarter of 2006 with a net book value of $1,087 resulting in a pre-tax loss of $1,062.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6440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1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61"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6"/>
          <w:szCs w:val="16"/>
          <w:color w:val="auto"/>
        </w:rPr>
        <w:t>Our risk factors are disclosed in our Annual Report on Form 10-K for the fiscal year ended December 31, 2005 under Item 1.A. “Risk Factors”. There have been no material changes to these risk factors since December 31, 2005.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Quarter in Review</w:t>
      </w:r>
    </w:p>
    <w:p>
      <w:pPr>
        <w:spacing w:after="0" w:line="26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6"/>
          <w:szCs w:val="16"/>
          <w:color w:val="auto"/>
        </w:rPr>
        <w:t>Net sales for the first quarter of 2006 were $86.0 million, a decrease of 1.0% from $86.7 million for the same period of 2005. Net income for the first quarter of 2006 totaled $5.3 million or $0.30 per diluted share and includes an after-tax gain from the sale of excess land of $1.5 million or $0.08 per diluted share and an after-tax write-off of certain unused equipment of $0.7 million or $0.04 per diluted share. This compares to net income of $4.0 million, or $0.23 per diluted share for the first quarter of 2005.</w:t>
      </w:r>
    </w:p>
    <w:p>
      <w:pPr>
        <w:spacing w:after="0" w:line="204"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6"/>
          <w:szCs w:val="16"/>
          <w:color w:val="auto"/>
        </w:rPr>
        <w:t>Revenues in the first quarter of 2006 were down $0.7 million from the first quarter of 2005. Increases in volume and mix of approximately $1.6 million as well as selling price increases related to material cost pass through of approximately $2.8 million were offset by the negative result of currency exchange of $5.1 million.</w:t>
      </w:r>
    </w:p>
    <w:p>
      <w:pPr>
        <w:spacing w:after="0" w:line="19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color w:val="auto"/>
        </w:rPr>
        <w:t>As a percentage of net sales, 2006 first quarter cost of products sold (exclusive of depreciation) was 76.7% of net sales as compared to the 2005 first quarter cost of products sold (exclusive of depreciation) of 78.0%. Our Level 3 initiatives made a major contribution to this improvement. In addition, price increases from raw material inflation passed through to customers and the positive impacts of increased sales volume reduced our percentage of cost of products sold (exclusive of depreciation). As a percentage of net sales, selling, general and administrative expenses for the first quarter of 2006 was 8.9% as compared to 8.6% for the same period in 2005. This increase was mainly due to stock compensation related expenses.</w:t>
      </w:r>
    </w:p>
    <w:p>
      <w:pPr>
        <w:spacing w:after="0" w:line="212" w:lineRule="exact"/>
        <w:rPr>
          <w:sz w:val="20"/>
          <w:szCs w:val="20"/>
          <w:color w:val="auto"/>
        </w:rPr>
      </w:pPr>
    </w:p>
    <w:p>
      <w:pPr>
        <w:jc w:val="both"/>
        <w:ind w:right="140"/>
        <w:spacing w:after="0" w:line="273" w:lineRule="auto"/>
        <w:rPr>
          <w:sz w:val="20"/>
          <w:szCs w:val="20"/>
          <w:color w:val="auto"/>
        </w:rPr>
      </w:pPr>
      <w:r>
        <w:rPr>
          <w:rFonts w:ascii="Times New Roman" w:cs="Times New Roman" w:eastAsia="Times New Roman" w:hAnsi="Times New Roman"/>
          <w:sz w:val="16"/>
          <w:szCs w:val="16"/>
          <w:color w:val="auto"/>
        </w:rPr>
        <w:t>Our reported net income of $5.3 million or $0.30 per diluted share includes a net gain of approximately $0.8 million or $0.04 per diluted share comprised of an after-tax gain from the sale of excess land located at our Pinerolo, Italy facility of $1.5 million or $0.08 per diluted share and offsetting this gain, the write-off of certain equipment of $0.7 million or $0.04 per diluted share, after-tax.</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2006 Compared to the Three Months Ended March 31, 2005 by Business Segment</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17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w:t>
            </w:r>
          </w:p>
        </w:tc>
        <w:tc>
          <w:tcPr>
            <w:tcW w:w="2720" w:type="dxa"/>
            <w:vAlign w:val="bottom"/>
            <w:tcBorders>
              <w:top w:val="single" w:sz="8" w:color="auto"/>
              <w:right w:val="single" w:sz="8" w:color="auto"/>
            </w:tcBorders>
            <w:gridSpan w:val="3"/>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Domestic Ball &amp; Roller</w:t>
            </w: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NN Europe</w:t>
            </w:r>
          </w:p>
        </w:tc>
        <w:tc>
          <w:tcPr>
            <w:tcW w:w="760" w:type="dxa"/>
            <w:vAlign w:val="bottom"/>
            <w:tcBorders>
              <w:top w:val="single" w:sz="8" w:color="auto"/>
              <w:right w:val="single" w:sz="8" w:color="auto"/>
            </w:tcBorders>
          </w:tcPr>
          <w:p>
            <w:pPr>
              <w:spacing w:after="0"/>
              <w:rPr>
                <w:sz w:val="17"/>
                <w:szCs w:val="17"/>
                <w:color w:val="auto"/>
              </w:rPr>
            </w:pPr>
          </w:p>
        </w:tc>
        <w:tc>
          <w:tcPr>
            <w:tcW w:w="2340" w:type="dxa"/>
            <w:vAlign w:val="bottom"/>
            <w:tcBorders>
              <w:top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Plastics and Rubber</w:t>
            </w:r>
          </w:p>
        </w:tc>
        <w:tc>
          <w:tcPr>
            <w:tcW w:w="7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80" w:type="dxa"/>
            <w:vAlign w:val="bottom"/>
            <w:tcBorders>
              <w:top w:val="single" w:sz="8" w:color="auto"/>
              <w:right w:val="single" w:sz="8" w:color="auto"/>
            </w:tcBorders>
          </w:tcPr>
          <w:p>
            <w:pPr>
              <w:spacing w:after="0"/>
              <w:rPr>
                <w:sz w:val="17"/>
                <w:szCs w:val="17"/>
                <w:color w:val="auto"/>
              </w:rPr>
            </w:pPr>
          </w:p>
        </w:tc>
      </w:tr>
      <w:tr>
        <w:trPr>
          <w:trHeight w:val="225"/>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0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98"/>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70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r>
      <w:tr>
        <w:trPr>
          <w:trHeight w:val="211"/>
        </w:trPr>
        <w:tc>
          <w:tcPr>
            <w:tcW w:w="172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rPr>
              <w:t>2006</w:t>
            </w:r>
          </w:p>
        </w:tc>
        <w:tc>
          <w:tcPr>
            <w:tcW w:w="76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2005</w:t>
            </w:r>
          </w:p>
        </w:tc>
        <w:tc>
          <w:tcPr>
            <w:tcW w:w="920" w:type="dxa"/>
            <w:vAlign w:val="bottom"/>
            <w:tcBorders>
              <w:right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Change</w:t>
            </w:r>
          </w:p>
        </w:tc>
        <w:tc>
          <w:tcPr>
            <w:tcW w:w="76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2006</w:t>
            </w: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2005</w:t>
            </w:r>
          </w:p>
        </w:tc>
        <w:tc>
          <w:tcPr>
            <w:tcW w:w="760" w:type="dxa"/>
            <w:vAlign w:val="bottom"/>
            <w:tcBorders>
              <w:right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Change</w:t>
            </w: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2006</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2005</w:t>
            </w:r>
          </w:p>
        </w:tc>
        <w:tc>
          <w:tcPr>
            <w:tcW w:w="80" w:type="dxa"/>
            <w:vAlign w:val="bottom"/>
          </w:tcPr>
          <w:p>
            <w:pPr>
              <w:spacing w:after="0"/>
              <w:rPr>
                <w:sz w:val="18"/>
                <w:szCs w:val="18"/>
                <w:color w:val="auto"/>
              </w:rPr>
            </w:pPr>
          </w:p>
        </w:tc>
        <w:tc>
          <w:tcPr>
            <w:tcW w:w="70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Change</w:t>
            </w:r>
          </w:p>
        </w:tc>
        <w:tc>
          <w:tcPr>
            <w:tcW w:w="780" w:type="dxa"/>
            <w:vAlign w:val="bottom"/>
            <w:tcBorders>
              <w:right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2006</w:t>
            </w: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2005</w:t>
            </w: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Change</w:t>
            </w:r>
          </w:p>
        </w:tc>
      </w:tr>
      <w:tr>
        <w:trPr>
          <w:trHeight w:val="38"/>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r>
      <w:tr>
        <w:trPr>
          <w:trHeight w:val="200"/>
        </w:trPr>
        <w:tc>
          <w:tcPr>
            <w:tcW w:w="1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19,764</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15,927</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51,576</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55,937</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14,677</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14,851</w:t>
            </w: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86,017</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86,715</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r>
      <w:tr>
        <w:trPr>
          <w:trHeight w:val="175"/>
        </w:trPr>
        <w:tc>
          <w:tcPr>
            <w:tcW w:w="1720" w:type="dxa"/>
            <w:vAlign w:val="bottom"/>
            <w:tcBorders>
              <w:left w:val="single" w:sz="8" w:color="auto"/>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Cost of products sold</w:t>
            </w:r>
          </w:p>
        </w:tc>
        <w:tc>
          <w:tcPr>
            <w:tcW w:w="10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r>
      <w:tr>
        <w:trPr>
          <w:trHeight w:val="196"/>
        </w:trPr>
        <w:tc>
          <w:tcPr>
            <w:tcW w:w="1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(exclusive of</w:t>
            </w:r>
          </w:p>
        </w:tc>
        <w:tc>
          <w:tcPr>
            <w:tcW w:w="10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r>
      <w:tr>
        <w:trPr>
          <w:trHeight w:val="221"/>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14,432</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10,731</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40,107</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44,458</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(4,351)</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12,477</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65,999</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67,666</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(1,667)</w:t>
            </w:r>
          </w:p>
        </w:tc>
      </w:tr>
      <w:tr>
        <w:trPr>
          <w:trHeight w:val="175"/>
        </w:trPr>
        <w:tc>
          <w:tcPr>
            <w:tcW w:w="1720" w:type="dxa"/>
            <w:vAlign w:val="bottom"/>
            <w:tcBorders>
              <w:left w:val="single" w:sz="8" w:color="auto"/>
              <w:right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Selling, General, and</w:t>
            </w:r>
          </w:p>
        </w:tc>
        <w:tc>
          <w:tcPr>
            <w:tcW w:w="104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r>
      <w:tr>
        <w:trPr>
          <w:trHeight w:val="221"/>
        </w:trPr>
        <w:tc>
          <w:tcPr>
            <w:tcW w:w="1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175"/>
        </w:trPr>
        <w:tc>
          <w:tcPr>
            <w:tcW w:w="1720" w:type="dxa"/>
            <w:vAlign w:val="bottom"/>
            <w:tcBorders>
              <w:left w:val="single" w:sz="8" w:color="auto"/>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Depreciation and</w:t>
            </w:r>
          </w:p>
        </w:tc>
        <w:tc>
          <w:tcPr>
            <w:tcW w:w="10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r>
      <w:tr>
        <w:trPr>
          <w:trHeight w:val="221"/>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75"/>
        </w:trPr>
        <w:tc>
          <w:tcPr>
            <w:tcW w:w="1720" w:type="dxa"/>
            <w:vAlign w:val="bottom"/>
            <w:tcBorders>
              <w:left w:val="single" w:sz="8" w:color="auto"/>
              <w:right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(Gain) loss of Fixed</w:t>
            </w:r>
          </w:p>
        </w:tc>
        <w:tc>
          <w:tcPr>
            <w:tcW w:w="104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r>
      <w:tr>
        <w:trPr>
          <w:trHeight w:val="221"/>
        </w:trPr>
        <w:tc>
          <w:tcPr>
            <w:tcW w:w="1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r>
      <w:tr>
        <w:trPr>
          <w:trHeight w:val="200"/>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0"/>
        </w:trPr>
        <w:tc>
          <w:tcPr>
            <w:tcW w:w="1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0"/>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Pre-tax Income</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5,991</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8,128</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w:t>
            </w:r>
          </w:p>
        </w:tc>
      </w:tr>
      <w:tr>
        <w:trPr>
          <w:trHeight w:val="196"/>
        </w:trPr>
        <w:tc>
          <w:tcPr>
            <w:tcW w:w="1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196"/>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4,097</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5,262</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w:t>
            </w:r>
          </w:p>
        </w:tc>
      </w:tr>
      <w:tr>
        <w:trPr>
          <w:trHeight w:val="20"/>
        </w:trPr>
        <w:tc>
          <w:tcPr>
            <w:tcW w:w="1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-1906270</wp:posOffset>
            </wp:positionV>
            <wp:extent cx="7244080" cy="388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080" cy="388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-1253490</wp:posOffset>
            </wp:positionV>
            <wp:extent cx="7244080" cy="264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080" cy="264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-724535</wp:posOffset>
            </wp:positionV>
            <wp:extent cx="7244080" cy="139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080" cy="1397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-445135</wp:posOffset>
            </wp:positionV>
            <wp:extent cx="7244080" cy="139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080" cy="1397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-165100</wp:posOffset>
            </wp:positionV>
            <wp:extent cx="7244080" cy="155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080" cy="155575"/>
                    </a:xfrm>
                    <a:prstGeom prst="rect">
                      <a:avLst/>
                    </a:prstGeom>
                    <a:noFill/>
                  </pic:spPr>
                </pic:pic>
              </a:graphicData>
            </a:graphic>
          </wp:anchor>
        </w:drawing>
      </w:r>
    </w:p>
    <w:p>
      <w:pPr>
        <w:spacing w:after="0" w:line="202" w:lineRule="exact"/>
        <w:rPr>
          <w:sz w:val="20"/>
          <w:szCs w:val="20"/>
          <w:color w:val="auto"/>
        </w:rPr>
      </w:pPr>
    </w:p>
    <w:p>
      <w:pPr>
        <w:ind w:right="26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Net Sales. </w:t>
      </w:r>
      <w:r>
        <w:rPr>
          <w:rFonts w:ascii="Times New Roman" w:cs="Times New Roman" w:eastAsia="Times New Roman" w:hAnsi="Times New Roman"/>
          <w:sz w:val="16"/>
          <w:szCs w:val="16"/>
          <w:color w:val="auto"/>
        </w:rPr>
        <w:t>Overall sales decreased due to the effects of foreign exchange of $5.1 million partially offset by higher selling prices from the pass through of raw material price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increases of $2.8 million and higher sales volume/mix of $1.6 million.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440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16" w:name="page17"/>
    <w:bookmarkEnd w:id="16"/>
    <w:p>
      <w:pPr>
        <w:ind w:right="480"/>
        <w:spacing w:after="0" w:line="291" w:lineRule="auto"/>
        <w:rPr>
          <w:sz w:val="20"/>
          <w:szCs w:val="20"/>
          <w:color w:val="auto"/>
        </w:rPr>
      </w:pPr>
      <w:r>
        <w:rPr>
          <w:rFonts w:ascii="Times New Roman" w:cs="Times New Roman" w:eastAsia="Times New Roman" w:hAnsi="Times New Roman"/>
          <w:sz w:val="16"/>
          <w:szCs w:val="16"/>
          <w:color w:val="auto"/>
        </w:rPr>
        <w:t>The sales decrease at the NN Europe Segment was primarily due to the effect of foreign exchange from a stronger U.S. dollar of $5.1 million and lower volume of $0.6 million. These reductions were partially offset by price increases from passing through raw material inflation to customers of $1.4 million.</w:t>
      </w:r>
    </w:p>
    <w:p>
      <w:pPr>
        <w:spacing w:after="0" w:line="190" w:lineRule="exact"/>
        <w:rPr>
          <w:sz w:val="20"/>
          <w:szCs w:val="20"/>
          <w:color w:val="auto"/>
        </w:rPr>
      </w:pPr>
    </w:p>
    <w:p>
      <w:pPr>
        <w:jc w:val="both"/>
        <w:ind w:right="440"/>
        <w:spacing w:after="0" w:line="273" w:lineRule="auto"/>
        <w:rPr>
          <w:sz w:val="20"/>
          <w:szCs w:val="20"/>
          <w:color w:val="auto"/>
        </w:rPr>
      </w:pPr>
      <w:r>
        <w:rPr>
          <w:rFonts w:ascii="Times New Roman" w:cs="Times New Roman" w:eastAsia="Times New Roman" w:hAnsi="Times New Roman"/>
          <w:sz w:val="16"/>
          <w:szCs w:val="16"/>
          <w:color w:val="auto"/>
        </w:rPr>
        <w:t>The sales increases at the Domestic Ball and Roller Segment are due primarily to higher sales volume of $2.9 million and price increases from passing through material inflation to customers of $0.9 million. The Domestic Ball and Roller volume is primarily due to additional sales to existing customers and from Schaeffler Group (INA) ceasing their consignment inventory program ($0.7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Sales in the Plastics and Rubber Components Segment were down primarily due to lower volume in the rubber seal business sold into the automotive market.</w:t>
      </w:r>
    </w:p>
    <w:p>
      <w:pPr>
        <w:spacing w:after="0" w:line="255" w:lineRule="exact"/>
        <w:rPr>
          <w:sz w:val="20"/>
          <w:szCs w:val="20"/>
          <w:color w:val="auto"/>
        </w:rPr>
      </w:pPr>
    </w:p>
    <w:p>
      <w:pPr>
        <w:jc w:val="both"/>
        <w:ind w:right="220"/>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Cost of Products Sold (exclusive of depreciation.) </w:t>
      </w:r>
      <w:r>
        <w:rPr>
          <w:rFonts w:ascii="Times New Roman" w:cs="Times New Roman" w:eastAsia="Times New Roman" w:hAnsi="Times New Roman"/>
          <w:sz w:val="16"/>
          <w:szCs w:val="16"/>
          <w:color w:val="auto"/>
        </w:rPr>
        <w:t>Cost of products sold decreased primarily due to foreign exchange effects from a stronger U.S. dollar of $4.0 million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impacts of our level 3 program of $1.2 million. These decreases were partially offset by increased cost of products sold due to higher sales volume of $0.9 million and the effects of inflation of $2.6 million within raw material, energy, and other manufacturing costs.</w:t>
      </w:r>
    </w:p>
    <w:p>
      <w:pPr>
        <w:spacing w:after="0" w:line="204"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6"/>
          <w:szCs w:val="16"/>
          <w:color w:val="auto"/>
        </w:rPr>
        <w:t>The increase in cost of products sold in the Domestic Ball and Roller Segment was due to the effects of increased cost of products sold due to higher sales volume of $2.0 million and the impact of inflation on raw materials, energy, and supplies of $1.7 million.</w:t>
      </w:r>
    </w:p>
    <w:p>
      <w:pPr>
        <w:spacing w:after="0" w:line="190"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6"/>
          <w:szCs w:val="16"/>
          <w:color w:val="auto"/>
        </w:rPr>
        <w:t>The decrease in cost of products sold at the NN Europe Segment was due to foreign exchange effects of $4.0 million, impacts of Level 3 of $0.9 million, and lower cost of products sold due to lower sales volume of $0.4 million. These decreases were offset partially by inflation of $0.9 million within raw materials and utilities.</w:t>
      </w:r>
    </w:p>
    <w:p>
      <w:pPr>
        <w:spacing w:after="0" w:line="190"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6"/>
          <w:szCs w:val="16"/>
          <w:color w:val="auto"/>
        </w:rPr>
        <w:t>The decrease in the Plastics and Rubber Components Segment is due primarily to Level 3 and other cost saving initiatives of $1.0 million and lower sales volume of $0.4 million. These decreases were partially offset by raw material and utilities inflation of $0.4 million.</w:t>
      </w:r>
    </w:p>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Selling, General and Administrative Expenses. </w:t>
      </w:r>
      <w:r>
        <w:rPr>
          <w:rFonts w:ascii="Times New Roman" w:cs="Times New Roman" w:eastAsia="Times New Roman" w:hAnsi="Times New Roman"/>
          <w:sz w:val="16"/>
          <w:szCs w:val="16"/>
          <w:color w:val="auto"/>
        </w:rPr>
        <w:t>The increase in selling, general and administrative cost is due primarily to stock compensation expense. During the first quarter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2006, we recognized $0.1 million in expense related to restricted stock compensation. In addition, in the first quarter of 2005, we recognized $0.1 million in income related to accounting for stock options under the variable method of accounting that did not occur in 2006 due to adoption of SFAS 123(R).</w:t>
      </w:r>
    </w:p>
    <w:p>
      <w:pPr>
        <w:spacing w:after="0" w:line="202"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(Gain) Loss of Disposal of Assets. </w:t>
      </w:r>
      <w:r>
        <w:rPr>
          <w:rFonts w:ascii="Times New Roman" w:cs="Times New Roman" w:eastAsia="Times New Roman" w:hAnsi="Times New Roman"/>
          <w:sz w:val="16"/>
          <w:szCs w:val="16"/>
          <w:color w:val="auto"/>
        </w:rPr>
        <w:t>In 2006, NN Europe had a gain for sales of excess land of $1.8 million which was partially offset by a loss on disposal of excess equipment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$1.1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61"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6"/>
          <w:szCs w:val="16"/>
          <w:color w:val="auto"/>
        </w:rPr>
        <w:t>Amounts outstanding under the $90.0 million credit facility and the $40.0 million notes as of March 31, 2006 were $19.4 million and $40.0 million, respectively. See Note 9 of the Notes to Consolidated Financial Statements. We were in compliance with all covenants of our $90 million syndicated credit facility with AmSouth Bank and our $40.0 million senior notes as of March 31, 2006.</w:t>
      </w:r>
    </w:p>
    <w:p>
      <w:pPr>
        <w:spacing w:after="0" w:line="20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We bill and receive payment from some of our customers in Euros as well as other currencies. In 2006, the fluctuation of the Euro against the dollar has negatively impacted revenue and income and increased the value of assets and liabilities as the average exchange rate is lower from the first quarter of 2005 to the first quarter of 2006 and the spot rate at March 31, 2006 was higher than the exchange rate at December 31, 2005. As of March 31, 2006, no currency hedges were in place. In addition, a strengthening of the U.S. dollar and/or Euro against foreign currencies could impair our ability to compete with international competitors for foreign as well as domestic sales.</w:t>
      </w:r>
    </w:p>
    <w:p>
      <w:pPr>
        <w:spacing w:after="0" w:line="209"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6"/>
          <w:szCs w:val="16"/>
          <w:color w:val="auto"/>
        </w:rPr>
        <w:t>Working capital, which consists principally of accounts receivable and inventories offset by accounts payable, was $49.8 million at March 31, 2006 as compared to $41.1 million at December 31, 2005. The ratio of current assets to current liabilities increased from 1.63:1 at December 31, 2005 to 1.76:1 at March 31, 2006. Cash flow used by operations was $3.2 million during the first three months of 2006, compared with cash flow used by operations of $4.5 million during the first three months of 2005. The primary reason for the improvement in operating cash flow from the first quarter of 2005 was the increase in net income.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440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613" w:right="259" w:bottom="1440" w:gutter="0" w:footer="0" w:header="0"/>
        </w:sectPr>
      </w:pPr>
    </w:p>
    <w:bookmarkStart w:id="17" w:name="page18"/>
    <w:bookmarkEnd w:id="17"/>
    <w:p>
      <w:pPr>
        <w:jc w:val="both"/>
        <w:spacing w:after="0" w:line="262" w:lineRule="auto"/>
        <w:rPr>
          <w:sz w:val="20"/>
          <w:szCs w:val="20"/>
          <w:color w:val="auto"/>
        </w:rPr>
      </w:pPr>
      <w:r>
        <w:rPr>
          <w:rFonts w:ascii="Times New Roman" w:cs="Times New Roman" w:eastAsia="Times New Roman" w:hAnsi="Times New Roman"/>
          <w:sz w:val="16"/>
          <w:szCs w:val="16"/>
          <w:color w:val="auto"/>
        </w:rPr>
        <w:t>During 2006, we plan to spend approximately $18.8 million on capital expenditures of which $7.6 million is related primarily to equipment, process upgrades, and replacements, approximately $8.9 million principally related to geographic expansion of our manufacturing base, and $2.3 million related to the completion of the SNR equipment purchase. In addition, we will pay $1.6 million for contract intangibles related to the SNR equipment purchase. Of these amounts approximately $1.9 million has been spent through March 31, 2006.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December 2006.</w:t>
      </w:r>
    </w:p>
    <w:p>
      <w:pPr>
        <w:spacing w:after="0" w:line="21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During the first quarter of 2006, the Company’s Board of Directors authorized a stock repurchase program under which the Company is authorized to repurchase up to $10 million in common stock of the Company, during the next 18 months in the open market or in private transactions, in accordance with applicable laws and regulations. This amount represents approximately 5% of the Company’s outstanding stock. During March 2006, the Company repurchased 20,474 shares at approximately $12.00 a share for a total of approximately $0.2 million. These shares will be retired and were recorded as on offset to Additional Paid in Capital.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March 10, 2006, the Company declared a quarterly cash dividend of $0.08 a share. The dividend was paid on April 21, 2006, totaling $1.4 million.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 and Fluctuation in Quarterly Results</w:t>
      </w:r>
    </w:p>
    <w:p>
      <w:pPr>
        <w:spacing w:after="0" w:line="261"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6"/>
          <w:szCs w:val="16"/>
          <w:color w:val="auto"/>
        </w:rPr>
        <w:t>Our net sales historically have been of a seasonal nature due to a significant portion of our sales to European customers that cease or significantly slow production during the month of August.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2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Our significant accounting policies, including the assumptions and judgments underlying them, are disclosed in our Annual Report on Form 10-K, for the fiscal year ended December 31, 2005 including those policies as discussed in Note 1.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accounting policies. The one material change during the quarter was adoption of SFAS 123(R) related to accounting for stock compensation (see Note 11 of the financial statements). SFAS 123(R) has had a minimal effect on the financial statements for the quarter ended March 31, 2006 as there were no new options issued or amended and as outstanding options were 100% vested at December 31, 2005. The only impact has been the elimination of variable accounting under APB 25 and FIN 44 with the adoption of SFAS 123(R).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Concentration</w:t>
      </w:r>
    </w:p>
    <w:p>
      <w:pPr>
        <w:spacing w:after="0" w:line="261" w:lineRule="exact"/>
        <w:rPr>
          <w:sz w:val="20"/>
          <w:szCs w:val="20"/>
          <w:color w:val="auto"/>
        </w:rPr>
      </w:pPr>
    </w:p>
    <w:p>
      <w:pPr>
        <w:ind w:right="500"/>
        <w:spacing w:after="0" w:line="291" w:lineRule="auto"/>
        <w:rPr>
          <w:sz w:val="20"/>
          <w:szCs w:val="20"/>
          <w:color w:val="auto"/>
        </w:rPr>
      </w:pPr>
      <w:r>
        <w:rPr>
          <w:rFonts w:ascii="Times New Roman" w:cs="Times New Roman" w:eastAsia="Times New Roman" w:hAnsi="Times New Roman"/>
          <w:sz w:val="16"/>
          <w:szCs w:val="16"/>
          <w:color w:val="auto"/>
        </w:rPr>
        <w:t>Schaeffler Group (INA) has decided to in-source approximately $12 million of annual business to their internal ball manufacturing facility in Germany. This represents approximately 30% of the existing Schaeffler Group (INA) business. Sales to Schaeffler Group (INA) did not decline in the first quarter of 2006.</w:t>
      </w:r>
    </w:p>
    <w:p>
      <w:pPr>
        <w:spacing w:after="0" w:line="190"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6"/>
          <w:szCs w:val="16"/>
          <w:color w:val="auto"/>
        </w:rPr>
        <w:t>We are in the process of negotiating a long term supply agreement, to replace the agreement that expires June 30, 2006, with Schaeffler Group (INA) for remaining business. In addition, we are in process of negotiating a new long term agreement with SKF to replace the one for precision balls that expires July 31, 2006. SKF has informally agreed in principle to carry the current agreement through to December 31, 2006.</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440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6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March 31, 2006, we had $19.4 million outstanding under the domestic credit facilities and $40.0 million aggregate principal amount of senior notes outstanding. See Note 9 of the Notes to Consolidated Financial Statements. At March 31, 2006, a one-percent increase in the interest rate charged on our outstanding borrowings under our credit facilities, that are subject to variable interest rates, would result in interest expense increasing annually by approximately $0.2 million.</w:t>
      </w:r>
    </w:p>
    <w:p>
      <w:pPr>
        <w:spacing w:after="0" w:line="215" w:lineRule="exact"/>
        <w:rPr>
          <w:sz w:val="20"/>
          <w:szCs w:val="20"/>
          <w:color w:val="auto"/>
        </w:rPr>
      </w:pPr>
    </w:p>
    <w:p>
      <w:pPr>
        <w:ind w:right="500"/>
        <w:spacing w:after="0" w:line="291" w:lineRule="auto"/>
        <w:rPr>
          <w:sz w:val="20"/>
          <w:szCs w:val="20"/>
          <w:color w:val="auto"/>
        </w:rPr>
      </w:pPr>
      <w:r>
        <w:rPr>
          <w:rFonts w:ascii="Times New Roman" w:cs="Times New Roman" w:eastAsia="Times New Roman" w:hAnsi="Times New Roman"/>
          <w:sz w:val="16"/>
          <w:szCs w:val="16"/>
          <w:color w:val="auto"/>
        </w:rPr>
        <w:t>Translation of our operating cash flows denominated in foreign currencies is impacted by changes in foreign exchange rates. We did not hold a position in any foreign currency hedging instruments as of March 31, 2006.</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61"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our management, including the Chief Executive Officer and Chief Financial Officer, concluded that our disclosure controls and procedures are effective as of March 31, 2006, the end of the period covered by this quarterly report.</w:t>
      </w:r>
    </w:p>
    <w:p>
      <w:pPr>
        <w:spacing w:after="0" w:line="209"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6"/>
          <w:szCs w:val="16"/>
          <w:color w:val="auto"/>
        </w:rPr>
        <w:t>There have been no changes in this fiscal quarter in our internal control over financial reporting or in other factors that have materially affected, or are reasonably likely to materially affect, our internal control over financial reporting.</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6440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339"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61"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6"/>
          <w:szCs w:val="16"/>
          <w:color w:val="auto"/>
        </w:rPr>
        <w:t>On March 20, 2006, the Company, as well as numerous other parties, received correspondence from the Environmental Protection Agency (“EPA”) requesting information regarding a former waste recycling vendor previously used by the Company. The vendor has since ceased operations and the EPA is investigating the clean up of the site or sites used by the vendor. As of the date of this report, we do not know whether the Company has any liability related to this vendor’s actions or estimatable range for any potential liability.</w:t>
      </w:r>
    </w:p>
    <w:p>
      <w:pPr>
        <w:spacing w:after="0" w:line="209" w:lineRule="exact"/>
        <w:rPr>
          <w:sz w:val="20"/>
          <w:szCs w:val="20"/>
          <w:color w:val="auto"/>
        </w:rPr>
      </w:pPr>
    </w:p>
    <w:p>
      <w:pPr>
        <w:ind w:right="720"/>
        <w:spacing w:after="0" w:line="291" w:lineRule="auto"/>
        <w:rPr>
          <w:sz w:val="20"/>
          <w:szCs w:val="20"/>
          <w:color w:val="auto"/>
        </w:rPr>
      </w:pPr>
      <w:r>
        <w:rPr>
          <w:rFonts w:ascii="Times New Roman" w:cs="Times New Roman" w:eastAsia="Times New Roman" w:hAnsi="Times New Roman"/>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22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has not been any material changes in risk factors from those disclosed our Annual Report on Form 10-K for the year ended December 31, 2005 filed on March 16, 2006.</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31" w:lineRule="exact"/>
        <w:rPr>
          <w:sz w:val="20"/>
          <w:szCs w:val="20"/>
          <w:color w:val="auto"/>
        </w:rPr>
      </w:pPr>
    </w:p>
    <w:p>
      <w:pPr>
        <w:ind w:left="880" w:hanging="218"/>
        <w:spacing w:after="0"/>
        <w:tabs>
          <w:tab w:leader="none" w:pos="88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None</w:t>
      </w:r>
    </w:p>
    <w:p>
      <w:pPr>
        <w:spacing w:after="0" w:line="11" w:lineRule="exact"/>
        <w:rPr>
          <w:rFonts w:ascii="Times New Roman" w:cs="Times New Roman" w:eastAsia="Times New Roman" w:hAnsi="Times New Roman"/>
          <w:sz w:val="16"/>
          <w:szCs w:val="16"/>
          <w:b w:val="1"/>
          <w:bCs w:val="1"/>
          <w:color w:val="auto"/>
        </w:rPr>
      </w:pPr>
    </w:p>
    <w:p>
      <w:pPr>
        <w:ind w:left="880" w:hanging="218"/>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c)</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Period</w:t>
            </w:r>
          </w:p>
        </w:tc>
        <w:tc>
          <w:tcPr>
            <w:tcW w:w="2660" w:type="dxa"/>
            <w:vAlign w:val="bottom"/>
            <w:tcBorders>
              <w:top w:val="single" w:sz="8" w:color="auto"/>
            </w:tcBorders>
          </w:tcPr>
          <w:p>
            <w:pPr>
              <w:ind w:left="520"/>
              <w:spacing w:after="0" w:line="173" w:lineRule="exact"/>
              <w:rPr>
                <w:sz w:val="20"/>
                <w:szCs w:val="20"/>
                <w:color w:val="auto"/>
              </w:rPr>
            </w:pPr>
            <w:r>
              <w:rPr>
                <w:rFonts w:ascii="Times New Roman" w:cs="Times New Roman" w:eastAsia="Times New Roman" w:hAnsi="Times New Roman"/>
                <w:sz w:val="16"/>
                <w:szCs w:val="16"/>
                <w:color w:val="auto"/>
              </w:rPr>
              <w:t>(a) Total Number of Shares (or</w:t>
            </w:r>
          </w:p>
        </w:tc>
        <w:tc>
          <w:tcPr>
            <w:tcW w:w="2360" w:type="dxa"/>
            <w:vAlign w:val="bottom"/>
            <w:tcBorders>
              <w:top w:val="single" w:sz="8" w:color="auto"/>
            </w:tcBorders>
          </w:tcPr>
          <w:p>
            <w:pPr>
              <w:ind w:left="140"/>
              <w:spacing w:after="0" w:line="173" w:lineRule="exact"/>
              <w:rPr>
                <w:sz w:val="20"/>
                <w:szCs w:val="20"/>
                <w:color w:val="auto"/>
              </w:rPr>
            </w:pPr>
            <w:r>
              <w:rPr>
                <w:rFonts w:ascii="Times New Roman" w:cs="Times New Roman" w:eastAsia="Times New Roman" w:hAnsi="Times New Roman"/>
                <w:sz w:val="16"/>
                <w:szCs w:val="16"/>
                <w:color w:val="auto"/>
              </w:rPr>
              <w:t>(b) Average Price Paid per Share</w:t>
            </w:r>
          </w:p>
        </w:tc>
        <w:tc>
          <w:tcPr>
            <w:tcW w:w="2220" w:type="dxa"/>
            <w:vAlign w:val="bottom"/>
            <w:tcBorders>
              <w:top w:val="single" w:sz="8" w:color="auto"/>
            </w:tcBorders>
          </w:tcPr>
          <w:p>
            <w:pPr>
              <w:ind w:left="80"/>
              <w:spacing w:after="0" w:line="173" w:lineRule="exact"/>
              <w:rPr>
                <w:sz w:val="20"/>
                <w:szCs w:val="20"/>
                <w:color w:val="auto"/>
              </w:rPr>
            </w:pPr>
            <w:r>
              <w:rPr>
                <w:rFonts w:ascii="Times New Roman" w:cs="Times New Roman" w:eastAsia="Times New Roman" w:hAnsi="Times New Roman"/>
                <w:sz w:val="16"/>
                <w:szCs w:val="16"/>
                <w:color w:val="auto"/>
              </w:rPr>
              <w:t>(c) Total Number of Shares (or</w:t>
            </w:r>
          </w:p>
        </w:tc>
        <w:tc>
          <w:tcPr>
            <w:tcW w:w="2440" w:type="dxa"/>
            <w:vAlign w:val="bottom"/>
            <w:tcBorders>
              <w:top w:val="single" w:sz="8" w:color="auto"/>
            </w:tcBorders>
          </w:tcPr>
          <w:p>
            <w:pPr>
              <w:ind w:left="140"/>
              <w:spacing w:after="0" w:line="173" w:lineRule="exact"/>
              <w:rPr>
                <w:sz w:val="20"/>
                <w:szCs w:val="20"/>
                <w:color w:val="auto"/>
              </w:rPr>
            </w:pPr>
            <w:r>
              <w:rPr>
                <w:rFonts w:ascii="Times New Roman" w:cs="Times New Roman" w:eastAsia="Times New Roman" w:hAnsi="Times New Roman"/>
                <w:sz w:val="16"/>
                <w:szCs w:val="16"/>
                <w:color w:val="auto"/>
              </w:rPr>
              <w:t>(d) Maximum Number (or</w:t>
            </w:r>
          </w:p>
        </w:tc>
      </w:tr>
      <w:tr>
        <w:trPr>
          <w:trHeight w:val="196"/>
        </w:trPr>
        <w:tc>
          <w:tcPr>
            <w:tcW w:w="1760" w:type="dxa"/>
            <w:vAlign w:val="bottom"/>
          </w:tcPr>
          <w:p>
            <w:pPr>
              <w:spacing w:after="0"/>
              <w:rPr>
                <w:sz w:val="17"/>
                <w:szCs w:val="17"/>
                <w:color w:val="auto"/>
              </w:rPr>
            </w:pPr>
          </w:p>
        </w:tc>
        <w:tc>
          <w:tcPr>
            <w:tcW w:w="26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Units) Purchased</w:t>
            </w:r>
          </w:p>
        </w:tc>
        <w:tc>
          <w:tcPr>
            <w:tcW w:w="2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 Unit)</w:t>
            </w:r>
          </w:p>
        </w:tc>
        <w:tc>
          <w:tcPr>
            <w:tcW w:w="2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Units) Purchased as Part of</w:t>
            </w:r>
          </w:p>
        </w:tc>
        <w:tc>
          <w:tcPr>
            <w:tcW w:w="2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Approximate Dollar Value) of</w:t>
            </w:r>
          </w:p>
        </w:tc>
      </w:tr>
      <w:tr>
        <w:trPr>
          <w:trHeight w:val="196"/>
        </w:trPr>
        <w:tc>
          <w:tcPr>
            <w:tcW w:w="17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Publicly Announced Plans or</w:t>
            </w:r>
          </w:p>
        </w:tc>
        <w:tc>
          <w:tcPr>
            <w:tcW w:w="2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that May Yet Be Purchased</w:t>
            </w:r>
          </w:p>
        </w:tc>
      </w:tr>
      <w:tr>
        <w:trPr>
          <w:trHeight w:val="212"/>
        </w:trPr>
        <w:tc>
          <w:tcPr>
            <w:tcW w:w="17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Programs</w:t>
            </w:r>
          </w:p>
        </w:tc>
        <w:tc>
          <w:tcPr>
            <w:tcW w:w="2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Under the Plans or Programs</w:t>
            </w:r>
          </w:p>
        </w:tc>
      </w:tr>
      <w:tr>
        <w:trPr>
          <w:trHeight w:val="189"/>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1-March 31</w:t>
            </w:r>
          </w:p>
        </w:tc>
        <w:tc>
          <w:tcPr>
            <w:tcW w:w="266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6"/>
                <w:szCs w:val="16"/>
                <w:color w:val="auto"/>
              </w:rPr>
              <w:t>20,474</w:t>
            </w:r>
          </w:p>
        </w:tc>
        <w:tc>
          <w:tcPr>
            <w:tcW w:w="236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color w:val="auto"/>
              </w:rPr>
              <w:t>$12.00</w:t>
            </w:r>
          </w:p>
        </w:tc>
        <w:tc>
          <w:tcPr>
            <w:tcW w:w="2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20,474</w:t>
            </w:r>
          </w:p>
        </w:tc>
        <w:tc>
          <w:tcPr>
            <w:tcW w:w="24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$9,753,714</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purchases were made under the publicly announced $10 million repurchase plan authorized by the Board of Directors.</w:t>
      </w: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8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8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8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31.1 Certification of Chief Executive Officer pursuant to Section 302 of Sarbanes-Oxley Act.</w:t>
      </w:r>
    </w:p>
    <w:p>
      <w:pPr>
        <w:spacing w:after="0" w:line="2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31.2 Certification of Chief Financial Officer pursuant to Section 302 of Sarbanes-Oxley Act.</w:t>
      </w:r>
    </w:p>
    <w:p>
      <w:pPr>
        <w:spacing w:after="0" w:line="2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32.1Certification of Chief Executive Officer pursuant to Section 906 of Sarbanes-Oxley Act.</w:t>
      </w:r>
    </w:p>
    <w:p>
      <w:pPr>
        <w:spacing w:after="0" w:line="3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32.2Certification of Chief Financial Officer pursuant to Section 906 of Sarbanes-Oxley Act.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6440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20" w:name="page21"/>
    <w:bookmarkEnd w:id="20"/>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200" w:lineRule="exact"/>
        <w:rPr>
          <w:sz w:val="20"/>
          <w:szCs w:val="20"/>
          <w:color w:val="auto"/>
        </w:rPr>
      </w:pPr>
    </w:p>
    <w:p>
      <w:pPr>
        <w:spacing w:after="0" w:line="208"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6"/>
          <w:szCs w:val="16"/>
          <w:color w:val="auto"/>
        </w:rPr>
        <w:t>Date: May 9, 2006</w:t>
      </w:r>
      <w:r>
        <w:rPr>
          <w:sz w:val="20"/>
          <w:szCs w:val="20"/>
          <w:color w:val="auto"/>
        </w:rPr>
        <w:tab/>
      </w:r>
      <w:r>
        <w:rPr>
          <w:rFonts w:ascii="Times New Roman" w:cs="Times New Roman" w:eastAsia="Times New Roman" w:hAnsi="Times New Roman"/>
          <w:sz w:val="16"/>
          <w:szCs w:val="16"/>
          <w:color w:val="auto"/>
        </w:rPr>
        <w:t>By: /s/ Roderick R. Baty</w:t>
      </w:r>
    </w:p>
    <w:p>
      <w:pPr>
        <w:spacing w:after="0" w:line="4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color w:val="auto"/>
        </w:rPr>
        <w:t>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-113665</wp:posOffset>
            </wp:positionV>
            <wp:extent cx="349758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97580" cy="762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color w:val="auto"/>
        </w:rPr>
        <w:t>Title: 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6"/>
          <w:szCs w:val="16"/>
          <w:color w:val="auto"/>
        </w:rPr>
        <w:t>Date: May 9, 2006</w:t>
      </w:r>
      <w:r>
        <w:rPr>
          <w:sz w:val="20"/>
          <w:szCs w:val="20"/>
          <w:color w:val="auto"/>
        </w:rPr>
        <w:tab/>
      </w:r>
      <w:r>
        <w:rPr>
          <w:rFonts w:ascii="Times New Roman" w:cs="Times New Roman" w:eastAsia="Times New Roman" w:hAnsi="Times New Roman"/>
          <w:sz w:val="16"/>
          <w:szCs w:val="16"/>
          <w:color w:val="auto"/>
        </w:rPr>
        <w:t>By: /s/ James H. Dorton</w:t>
      </w:r>
    </w:p>
    <w:p>
      <w:pPr>
        <w:spacing w:after="0" w:line="4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color w:val="auto"/>
        </w:rPr>
        <w:t>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-113665</wp:posOffset>
            </wp:positionV>
            <wp:extent cx="349758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97580" cy="7620"/>
                    </a:xfrm>
                    <a:prstGeom prst="rect">
                      <a:avLst/>
                    </a:prstGeom>
                    <a:noFill/>
                  </pic:spPr>
                </pic:pic>
              </a:graphicData>
            </a:graphic>
          </wp:anchor>
        </w:drawing>
      </w:r>
    </w:p>
    <w:p>
      <w:pPr>
        <w:spacing w:after="0" w:line="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color w:val="auto"/>
        </w:rPr>
        <w:t>Title: Vice President - Corporate Development and</w:t>
      </w:r>
    </w:p>
    <w:p>
      <w:pPr>
        <w:spacing w:after="0" w:line="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6"/>
          <w:szCs w:val="16"/>
          <w:color w:val="auto"/>
        </w:rPr>
        <w:t>Date: May 9, 2006</w:t>
      </w:r>
      <w:r>
        <w:rPr>
          <w:sz w:val="20"/>
          <w:szCs w:val="20"/>
          <w:color w:val="auto"/>
        </w:rPr>
        <w:tab/>
      </w:r>
      <w:r>
        <w:rPr>
          <w:rFonts w:ascii="Times New Roman" w:cs="Times New Roman" w:eastAsia="Times New Roman" w:hAnsi="Times New Roman"/>
          <w:sz w:val="16"/>
          <w:szCs w:val="16"/>
          <w:color w:val="auto"/>
        </w:rPr>
        <w:t>By: /s/ William C. Kelly, Jr.</w:t>
      </w:r>
    </w:p>
    <w:p>
      <w:pPr>
        <w:spacing w:after="0" w:line="4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color w:val="auto"/>
        </w:rPr>
        <w:t>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-113665</wp:posOffset>
            </wp:positionV>
            <wp:extent cx="349758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97580" cy="7620"/>
                    </a:xfrm>
                    <a:prstGeom prst="rect">
                      <a:avLst/>
                    </a:prstGeom>
                    <a:noFill/>
                  </pic:spPr>
                </pic:pic>
              </a:graphicData>
            </a:graphic>
          </wp:anchor>
        </w:drawing>
      </w:r>
    </w:p>
    <w:p>
      <w:pPr>
        <w:spacing w:after="0" w:line="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color w:val="auto"/>
        </w:rPr>
        <w:t>Title: Vice President and Chief Administrative Officer</w:t>
      </w: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6440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140"/>
          </w:cols>
          <w:pgMar w:left="240" w:top="339" w:right="519"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Exhibit</w:t>
      </w:r>
    </w:p>
    <w:p>
      <w:pPr>
        <w:spacing w:after="0" w:line="29" w:lineRule="exact"/>
        <w:rPr>
          <w:sz w:val="20"/>
          <w:szCs w:val="20"/>
          <w:color w:val="auto"/>
        </w:rPr>
      </w:pPr>
    </w:p>
    <w:p>
      <w:pPr>
        <w:ind w:left="8182"/>
        <w:spacing w:after="0"/>
        <w:rPr>
          <w:sz w:val="20"/>
          <w:szCs w:val="20"/>
          <w:color w:val="auto"/>
        </w:rPr>
      </w:pPr>
      <w:r>
        <w:rPr>
          <w:rFonts w:ascii="Times New Roman" w:cs="Times New Roman" w:eastAsia="Times New Roman" w:hAnsi="Times New Roman"/>
          <w:sz w:val="20"/>
          <w:szCs w:val="20"/>
          <w:b w:val="1"/>
          <w:bCs w:val="1"/>
          <w:color w:val="auto"/>
        </w:rPr>
        <w:t>31.1</w:t>
      </w:r>
    </w:p>
    <w:p>
      <w:pPr>
        <w:spacing w:after="0" w:line="15" w:lineRule="exact"/>
        <w:rPr>
          <w:sz w:val="20"/>
          <w:szCs w:val="20"/>
          <w:color w:val="auto"/>
        </w:rPr>
      </w:pPr>
    </w:p>
    <w:p>
      <w:pPr>
        <w:ind w:left="1862"/>
        <w:spacing w:after="0"/>
        <w:rPr>
          <w:sz w:val="20"/>
          <w:szCs w:val="20"/>
          <w:color w:val="auto"/>
        </w:rPr>
      </w:pPr>
      <w:r>
        <w:rPr>
          <w:rFonts w:ascii="Times New Roman" w:cs="Times New Roman" w:eastAsia="Times New Roman" w:hAnsi="Times New Roman"/>
          <w:sz w:val="20"/>
          <w:szCs w:val="20"/>
          <w:b w:val="1"/>
          <w:bCs w:val="1"/>
          <w:color w:val="auto"/>
        </w:rPr>
        <w:t>CERTIFICATION PURSUANT TO SECTION 302 OF SARBANES-OXLEY ACT OF 2002</w:t>
      </w:r>
    </w:p>
    <w:p>
      <w:pPr>
        <w:spacing w:after="0" w:line="24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Roderick R. Baty, certify that:</w:t>
      </w:r>
    </w:p>
    <w:p>
      <w:pPr>
        <w:spacing w:after="0" w:line="293" w:lineRule="exact"/>
        <w:rPr>
          <w:sz w:val="20"/>
          <w:szCs w:val="20"/>
          <w:color w:val="auto"/>
        </w:rPr>
      </w:pPr>
    </w:p>
    <w:p>
      <w:pPr>
        <w:ind w:left="522" w:hanging="522"/>
        <w:spacing w:after="0"/>
        <w:tabs>
          <w:tab w:leader="none" w:pos="52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NN, Inc.;</w:t>
      </w:r>
    </w:p>
    <w:p>
      <w:pPr>
        <w:spacing w:after="0" w:line="305" w:lineRule="exact"/>
        <w:rPr>
          <w:rFonts w:ascii="Times New Roman" w:cs="Times New Roman" w:eastAsia="Times New Roman" w:hAnsi="Times New Roman"/>
          <w:sz w:val="16"/>
          <w:szCs w:val="16"/>
          <w:color w:val="auto"/>
        </w:rPr>
      </w:pPr>
    </w:p>
    <w:p>
      <w:pPr>
        <w:ind w:left="2" w:right="180" w:hanging="2"/>
        <w:spacing w:after="0" w:line="307" w:lineRule="auto"/>
        <w:tabs>
          <w:tab w:leader="none" w:pos="51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Times New Roman" w:cs="Times New Roman" w:eastAsia="Times New Roman" w:hAnsi="Times New Roman"/>
          <w:sz w:val="16"/>
          <w:szCs w:val="16"/>
          <w:color w:val="auto"/>
        </w:rPr>
      </w:pPr>
    </w:p>
    <w:p>
      <w:pPr>
        <w:ind w:left="2" w:right="180" w:hanging="2"/>
        <w:spacing w:after="0" w:line="307" w:lineRule="auto"/>
        <w:tabs>
          <w:tab w:leader="none" w:pos="51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Times New Roman" w:cs="Times New Roman" w:eastAsia="Times New Roman" w:hAnsi="Times New Roman"/>
          <w:sz w:val="16"/>
          <w:szCs w:val="16"/>
          <w:color w:val="auto"/>
        </w:rPr>
      </w:pPr>
    </w:p>
    <w:p>
      <w:pPr>
        <w:ind w:left="522" w:hanging="522"/>
        <w:spacing w:after="0"/>
        <w:tabs>
          <w:tab w:leader="none" w:pos="52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7" w:lineRule="exact"/>
        <w:rPr>
          <w:rFonts w:ascii="Times New Roman" w:cs="Times New Roman" w:eastAsia="Times New Roman" w:hAnsi="Times New Roman"/>
          <w:sz w:val="16"/>
          <w:szCs w:val="16"/>
          <w:color w:val="auto"/>
        </w:rPr>
      </w:pPr>
    </w:p>
    <w:p>
      <w:pPr>
        <w:ind w:left="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53" w:lineRule="exact"/>
        <w:rPr>
          <w:rFonts w:ascii="Times New Roman" w:cs="Times New Roman" w:eastAsia="Times New Roman" w:hAnsi="Times New Roman"/>
          <w:sz w:val="16"/>
          <w:szCs w:val="16"/>
          <w:color w:val="auto"/>
        </w:rPr>
      </w:pPr>
    </w:p>
    <w:p>
      <w:pPr>
        <w:jc w:val="both"/>
        <w:ind w:left="1762" w:right="100" w:hanging="262"/>
        <w:spacing w:after="0" w:line="273" w:lineRule="auto"/>
        <w:tabs>
          <w:tab w:leader="none" w:pos="1762"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6"/>
          <w:szCs w:val="16"/>
          <w:color w:val="auto"/>
        </w:rPr>
      </w:pPr>
    </w:p>
    <w:p>
      <w:pPr>
        <w:jc w:val="both"/>
        <w:ind w:left="1762" w:right="80" w:hanging="271"/>
        <w:spacing w:after="0" w:line="273" w:lineRule="auto"/>
        <w:tabs>
          <w:tab w:leader="none" w:pos="1762"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6"/>
          <w:szCs w:val="16"/>
          <w:color w:val="auto"/>
        </w:rPr>
      </w:pPr>
    </w:p>
    <w:p>
      <w:pPr>
        <w:ind w:left="1762" w:right="100" w:hanging="262"/>
        <w:spacing w:after="0" w:line="291" w:lineRule="auto"/>
        <w:tabs>
          <w:tab w:leader="none" w:pos="1762"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6"/>
          <w:szCs w:val="16"/>
          <w:color w:val="auto"/>
        </w:rPr>
      </w:pPr>
    </w:p>
    <w:p>
      <w:pPr>
        <w:jc w:val="both"/>
        <w:ind w:left="1762" w:right="100" w:hanging="271"/>
        <w:spacing w:after="0" w:line="273" w:lineRule="auto"/>
        <w:tabs>
          <w:tab w:leader="none" w:pos="1762"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1" w:lineRule="exact"/>
        <w:rPr>
          <w:rFonts w:ascii="Times New Roman" w:cs="Times New Roman" w:eastAsia="Times New Roman" w:hAnsi="Times New Roman"/>
          <w:sz w:val="16"/>
          <w:szCs w:val="16"/>
          <w:color w:val="auto"/>
        </w:rPr>
      </w:pPr>
    </w:p>
    <w:p>
      <w:pPr>
        <w:ind w:left="2" w:right="660" w:hanging="2"/>
        <w:spacing w:after="0" w:line="307" w:lineRule="auto"/>
        <w:tabs>
          <w:tab w:leader="none" w:pos="51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Times New Roman" w:cs="Times New Roman" w:eastAsia="Times New Roman" w:hAnsi="Times New Roman"/>
          <w:sz w:val="16"/>
          <w:szCs w:val="16"/>
          <w:color w:val="auto"/>
        </w:rPr>
      </w:pPr>
    </w:p>
    <w:p>
      <w:pPr>
        <w:ind w:left="1762" w:right="100" w:hanging="262"/>
        <w:spacing w:after="0" w:line="291" w:lineRule="auto"/>
        <w:tabs>
          <w:tab w:leader="none" w:pos="1762"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6"/>
          <w:szCs w:val="16"/>
          <w:color w:val="auto"/>
        </w:rPr>
      </w:pPr>
    </w:p>
    <w:p>
      <w:pPr>
        <w:ind w:left="1762" w:right="100" w:hanging="271"/>
        <w:spacing w:after="0" w:line="291" w:lineRule="auto"/>
        <w:tabs>
          <w:tab w:leader="none" w:pos="1762"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200" w:lineRule="exact"/>
        <w:rPr>
          <w:sz w:val="20"/>
          <w:szCs w:val="20"/>
          <w:color w:val="auto"/>
        </w:rPr>
      </w:pPr>
    </w:p>
    <w:p>
      <w:pPr>
        <w:spacing w:after="0" w:line="208" w:lineRule="exact"/>
        <w:rPr>
          <w:sz w:val="20"/>
          <w:szCs w:val="20"/>
          <w:color w:val="auto"/>
        </w:rPr>
      </w:pPr>
    </w:p>
    <w:p>
      <w:pPr>
        <w:ind w:left="2"/>
        <w:spacing w:after="0"/>
        <w:tabs>
          <w:tab w:leader="none" w:pos="5582" w:val="left"/>
        </w:tabs>
        <w:rPr>
          <w:sz w:val="20"/>
          <w:szCs w:val="20"/>
          <w:color w:val="auto"/>
        </w:rPr>
      </w:pPr>
      <w:r>
        <w:rPr>
          <w:rFonts w:ascii="Times New Roman" w:cs="Times New Roman" w:eastAsia="Times New Roman" w:hAnsi="Times New Roman"/>
          <w:sz w:val="16"/>
          <w:szCs w:val="16"/>
          <w:color w:val="auto"/>
        </w:rPr>
        <w:t>Date: May 9, 2006</w:t>
      </w:r>
      <w:r>
        <w:rPr>
          <w:sz w:val="20"/>
          <w:szCs w:val="20"/>
          <w:color w:val="auto"/>
        </w:rPr>
        <w:tab/>
      </w:r>
      <w:r>
        <w:rPr>
          <w:rFonts w:ascii="Times New Roman" w:cs="Times New Roman" w:eastAsia="Times New Roman" w:hAnsi="Times New Roman"/>
          <w:sz w:val="16"/>
          <w:szCs w:val="16"/>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77470</wp:posOffset>
            </wp:positionV>
            <wp:extent cx="281876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18765" cy="20320"/>
                    </a:xfrm>
                    <a:prstGeom prst="rect">
                      <a:avLst/>
                    </a:prstGeom>
                    <a:noFill/>
                  </pic:spPr>
                </pic:pic>
              </a:graphicData>
            </a:graphic>
          </wp:anchor>
        </w:drawing>
      </w:r>
    </w:p>
    <w:p>
      <w:pPr>
        <w:spacing w:after="0" w:line="212" w:lineRule="exact"/>
        <w:rPr>
          <w:sz w:val="20"/>
          <w:szCs w:val="20"/>
          <w:color w:val="auto"/>
        </w:rPr>
      </w:pPr>
    </w:p>
    <w:p>
      <w:pPr>
        <w:ind w:left="5922"/>
        <w:spacing w:after="0"/>
        <w:rPr>
          <w:sz w:val="20"/>
          <w:szCs w:val="20"/>
          <w:color w:val="auto"/>
        </w:rPr>
      </w:pPr>
      <w:r>
        <w:rPr>
          <w:rFonts w:ascii="Times New Roman" w:cs="Times New Roman" w:eastAsia="Times New Roman" w:hAnsi="Times New Roman"/>
          <w:sz w:val="16"/>
          <w:szCs w:val="16"/>
          <w:color w:val="auto"/>
        </w:rPr>
        <w:t>Roderick R. Baty</w:t>
      </w:r>
    </w:p>
    <w:p>
      <w:pPr>
        <w:spacing w:after="0" w:line="27" w:lineRule="exact"/>
        <w:rPr>
          <w:sz w:val="20"/>
          <w:szCs w:val="20"/>
          <w:color w:val="auto"/>
        </w:rPr>
      </w:pPr>
    </w:p>
    <w:p>
      <w:pPr>
        <w:ind w:left="5922"/>
        <w:spacing w:after="0"/>
        <w:rPr>
          <w:sz w:val="20"/>
          <w:szCs w:val="20"/>
          <w:color w:val="auto"/>
        </w:rPr>
      </w:pPr>
      <w:r>
        <w:rPr>
          <w:rFonts w:ascii="Times New Roman" w:cs="Times New Roman" w:eastAsia="Times New Roman" w:hAnsi="Times New Roman"/>
          <w:sz w:val="16"/>
          <w:szCs w:val="16"/>
          <w:color w:val="auto"/>
        </w:rPr>
        <w:t>Title: Chairman, President and Chief Executive Officer</w:t>
      </w:r>
    </w:p>
    <w:p>
      <w:pPr>
        <w:sectPr>
          <w:pgSz w:w="11900" w:h="16838" w:orient="portrait"/>
          <w:cols w:equalWidth="0" w:num="1">
            <w:col w:w="11522"/>
          </w:cols>
          <w:pgMar w:left="238" w:top="343" w:right="139" w:bottom="1440" w:gutter="0" w:footer="0" w:header="0"/>
        </w:sectPr>
      </w:pPr>
    </w:p>
    <w:bookmarkStart w:id="23" w:name="page24"/>
    <w:bookmarkEnd w:id="23"/>
    <w:p>
      <w:pPr>
        <w:ind w:left="10622"/>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31" w:lineRule="exact"/>
        <w:rPr>
          <w:sz w:val="20"/>
          <w:szCs w:val="20"/>
          <w:color w:val="auto"/>
        </w:rPr>
      </w:pPr>
    </w:p>
    <w:p>
      <w:pPr>
        <w:jc w:val="center"/>
        <w:ind w:right="578"/>
        <w:spacing w:after="0"/>
        <w:rPr>
          <w:sz w:val="20"/>
          <w:szCs w:val="20"/>
          <w:color w:val="auto"/>
        </w:rPr>
      </w:pPr>
      <w:r>
        <w:rPr>
          <w:rFonts w:ascii="Times New Roman" w:cs="Times New Roman" w:eastAsia="Times New Roman" w:hAnsi="Times New Roman"/>
          <w:sz w:val="16"/>
          <w:szCs w:val="16"/>
          <w:b w:val="1"/>
          <w:bCs w:val="1"/>
          <w:color w:val="auto"/>
        </w:rPr>
        <w:t>31.2</w:t>
      </w:r>
    </w:p>
    <w:p>
      <w:pPr>
        <w:spacing w:after="0" w:line="2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CERTIFICATION PURSUANT TO SECTION 302 OF SARBANES-OXLEY ACT OF 2002</w:t>
      </w:r>
    </w:p>
    <w:p>
      <w:pPr>
        <w:spacing w:after="0" w:line="2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James H. Dorton, certify that:</w:t>
      </w:r>
    </w:p>
    <w:p>
      <w:pPr>
        <w:spacing w:after="0" w:line="293" w:lineRule="exact"/>
        <w:rPr>
          <w:sz w:val="20"/>
          <w:szCs w:val="20"/>
          <w:color w:val="auto"/>
        </w:rPr>
      </w:pPr>
    </w:p>
    <w:p>
      <w:pPr>
        <w:ind w:left="522" w:hanging="522"/>
        <w:spacing w:after="0"/>
        <w:tabs>
          <w:tab w:leader="none" w:pos="52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NN, Inc.;</w:t>
      </w:r>
    </w:p>
    <w:p>
      <w:pPr>
        <w:spacing w:after="0" w:line="305" w:lineRule="exact"/>
        <w:rPr>
          <w:rFonts w:ascii="Times New Roman" w:cs="Times New Roman" w:eastAsia="Times New Roman" w:hAnsi="Times New Roman"/>
          <w:sz w:val="16"/>
          <w:szCs w:val="16"/>
          <w:color w:val="auto"/>
        </w:rPr>
      </w:pPr>
    </w:p>
    <w:p>
      <w:pPr>
        <w:ind w:left="2" w:right="100" w:hanging="2"/>
        <w:spacing w:after="0" w:line="307" w:lineRule="auto"/>
        <w:tabs>
          <w:tab w:leader="none" w:pos="51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Times New Roman" w:cs="Times New Roman" w:eastAsia="Times New Roman" w:hAnsi="Times New Roman"/>
          <w:sz w:val="16"/>
          <w:szCs w:val="16"/>
          <w:color w:val="auto"/>
        </w:rPr>
      </w:pPr>
    </w:p>
    <w:p>
      <w:pPr>
        <w:ind w:left="2" w:right="100" w:hanging="2"/>
        <w:spacing w:after="0" w:line="307" w:lineRule="auto"/>
        <w:tabs>
          <w:tab w:leader="none" w:pos="51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2" w:right="20" w:firstLine="585"/>
        <w:spacing w:after="0" w:line="291" w:lineRule="auto"/>
        <w:tabs>
          <w:tab w:leader="none" w:pos="765"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6"/>
          <w:szCs w:val="16"/>
          <w:color w:val="auto"/>
        </w:rPr>
      </w:pPr>
    </w:p>
    <w:p>
      <w:pPr>
        <w:jc w:val="both"/>
        <w:ind w:left="1762" w:right="20" w:hanging="262"/>
        <w:spacing w:after="0" w:line="273" w:lineRule="auto"/>
        <w:tabs>
          <w:tab w:leader="none" w:pos="1762"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6"/>
          <w:szCs w:val="16"/>
          <w:color w:val="auto"/>
        </w:rPr>
      </w:pPr>
    </w:p>
    <w:p>
      <w:pPr>
        <w:jc w:val="both"/>
        <w:ind w:left="1762" w:hanging="271"/>
        <w:spacing w:after="0" w:line="273" w:lineRule="auto"/>
        <w:tabs>
          <w:tab w:leader="none" w:pos="1762"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6"/>
          <w:szCs w:val="16"/>
          <w:color w:val="auto"/>
        </w:rPr>
      </w:pPr>
    </w:p>
    <w:p>
      <w:pPr>
        <w:ind w:left="1762" w:right="20" w:hanging="262"/>
        <w:spacing w:after="0" w:line="291" w:lineRule="auto"/>
        <w:tabs>
          <w:tab w:leader="none" w:pos="1762"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6"/>
          <w:szCs w:val="16"/>
          <w:color w:val="auto"/>
        </w:rPr>
      </w:pPr>
    </w:p>
    <w:p>
      <w:pPr>
        <w:jc w:val="both"/>
        <w:ind w:left="1762" w:right="20" w:hanging="271"/>
        <w:spacing w:after="0" w:line="273" w:lineRule="auto"/>
        <w:tabs>
          <w:tab w:leader="none" w:pos="1762"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6"/>
          <w:szCs w:val="16"/>
          <w:color w:val="auto"/>
        </w:rPr>
      </w:pPr>
    </w:p>
    <w:p>
      <w:pPr>
        <w:ind w:left="2" w:right="20" w:firstLine="585"/>
        <w:spacing w:after="0" w:line="291" w:lineRule="auto"/>
        <w:tabs>
          <w:tab w:leader="none" w:pos="765"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6"/>
          <w:szCs w:val="16"/>
          <w:color w:val="auto"/>
        </w:rPr>
      </w:pPr>
    </w:p>
    <w:p>
      <w:pPr>
        <w:ind w:left="1762" w:right="20" w:hanging="262"/>
        <w:spacing w:after="0" w:line="291" w:lineRule="auto"/>
        <w:tabs>
          <w:tab w:leader="none" w:pos="1762"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6"/>
          <w:szCs w:val="16"/>
          <w:color w:val="auto"/>
        </w:rPr>
      </w:pPr>
    </w:p>
    <w:p>
      <w:pPr>
        <w:ind w:left="1762" w:right="20" w:hanging="271"/>
        <w:spacing w:after="0" w:line="291" w:lineRule="auto"/>
        <w:tabs>
          <w:tab w:leader="none" w:pos="1762"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200" w:lineRule="exact"/>
        <w:rPr>
          <w:sz w:val="20"/>
          <w:szCs w:val="20"/>
          <w:color w:val="auto"/>
        </w:rPr>
      </w:pPr>
    </w:p>
    <w:p>
      <w:pPr>
        <w:spacing w:after="0" w:line="208" w:lineRule="exact"/>
        <w:rPr>
          <w:sz w:val="20"/>
          <w:szCs w:val="20"/>
          <w:color w:val="auto"/>
        </w:rPr>
      </w:pPr>
    </w:p>
    <w:p>
      <w:pPr>
        <w:ind w:left="2"/>
        <w:spacing w:after="0"/>
        <w:tabs>
          <w:tab w:leader="none" w:pos="5582" w:val="left"/>
        </w:tabs>
        <w:rPr>
          <w:sz w:val="20"/>
          <w:szCs w:val="20"/>
          <w:color w:val="auto"/>
        </w:rPr>
      </w:pPr>
      <w:r>
        <w:rPr>
          <w:rFonts w:ascii="Times New Roman" w:cs="Times New Roman" w:eastAsia="Times New Roman" w:hAnsi="Times New Roman"/>
          <w:sz w:val="16"/>
          <w:szCs w:val="16"/>
          <w:color w:val="auto"/>
        </w:rPr>
        <w:t>Date: May 9, 2006</w:t>
      </w:r>
      <w:r>
        <w:rPr>
          <w:sz w:val="20"/>
          <w:szCs w:val="20"/>
          <w:color w:val="auto"/>
        </w:rPr>
        <w:tab/>
      </w:r>
      <w:r>
        <w:rPr>
          <w:rFonts w:ascii="Times New Roman" w:cs="Times New Roman" w:eastAsia="Times New Roman" w:hAnsi="Times New Roman"/>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77470</wp:posOffset>
            </wp:positionV>
            <wp:extent cx="281876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18765" cy="20320"/>
                    </a:xfrm>
                    <a:prstGeom prst="rect">
                      <a:avLst/>
                    </a:prstGeom>
                    <a:noFill/>
                  </pic:spPr>
                </pic:pic>
              </a:graphicData>
            </a:graphic>
          </wp:anchor>
        </w:drawing>
      </w:r>
    </w:p>
    <w:p>
      <w:pPr>
        <w:spacing w:after="0" w:line="212" w:lineRule="exact"/>
        <w:rPr>
          <w:sz w:val="20"/>
          <w:szCs w:val="20"/>
          <w:color w:val="auto"/>
        </w:rPr>
      </w:pPr>
    </w:p>
    <w:p>
      <w:pPr>
        <w:ind w:left="5922"/>
        <w:spacing w:after="0"/>
        <w:rPr>
          <w:sz w:val="20"/>
          <w:szCs w:val="20"/>
          <w:color w:val="auto"/>
        </w:rPr>
      </w:pPr>
      <w:r>
        <w:rPr>
          <w:rFonts w:ascii="Times New Roman" w:cs="Times New Roman" w:eastAsia="Times New Roman" w:hAnsi="Times New Roman"/>
          <w:sz w:val="16"/>
          <w:szCs w:val="16"/>
          <w:color w:val="auto"/>
        </w:rPr>
        <w:t>James H. Dorton</w:t>
      </w:r>
    </w:p>
    <w:p>
      <w:pPr>
        <w:spacing w:after="0" w:line="27" w:lineRule="exact"/>
        <w:rPr>
          <w:sz w:val="20"/>
          <w:szCs w:val="20"/>
          <w:color w:val="auto"/>
        </w:rPr>
      </w:pPr>
    </w:p>
    <w:p>
      <w:pPr>
        <w:ind w:left="5922"/>
        <w:spacing w:after="0"/>
        <w:rPr>
          <w:sz w:val="20"/>
          <w:szCs w:val="20"/>
          <w:color w:val="auto"/>
        </w:rPr>
      </w:pPr>
      <w:r>
        <w:rPr>
          <w:rFonts w:ascii="Times New Roman" w:cs="Times New Roman" w:eastAsia="Times New Roman" w:hAnsi="Times New Roman"/>
          <w:sz w:val="16"/>
          <w:szCs w:val="16"/>
          <w:color w:val="auto"/>
        </w:rPr>
        <w:t>Title: Vice President - Corporate Development and Chief Financial Officer</w:t>
      </w:r>
    </w:p>
    <w:p>
      <w:pPr>
        <w:sectPr>
          <w:pgSz w:w="11900" w:h="16838" w:orient="portrait"/>
          <w:cols w:equalWidth="0" w:num="1">
            <w:col w:w="11442"/>
          </w:cols>
          <w:pgMar w:left="238" w:top="119" w:right="2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OF CHIEF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SECTION 906 OF THE SARBANES-OXLEY ACT OF 2002</w:t>
      </w:r>
    </w:p>
    <w:p>
      <w:pPr>
        <w:spacing w:after="0" w:line="24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In connection with the Quarterly Report of NN, Inc. (the “Company”) on Form 10-Q for the interim period ended March 31, 2006,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6"/>
          <w:szCs w:val="16"/>
          <w:color w:val="auto"/>
        </w:rPr>
        <w:t>Date: May 9, 2006</w:t>
      </w:r>
      <w:r>
        <w:rPr>
          <w:sz w:val="20"/>
          <w:szCs w:val="20"/>
          <w:color w:val="auto"/>
        </w:rPr>
        <w:tab/>
      </w:r>
      <w:r>
        <w:rPr>
          <w:rFonts w:ascii="Times New Roman" w:cs="Times New Roman" w:eastAsia="Times New Roman" w:hAnsi="Times New Roman"/>
          <w:sz w:val="16"/>
          <w:szCs w:val="16"/>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77470</wp:posOffset>
            </wp:positionV>
            <wp:extent cx="281876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18765" cy="20320"/>
                    </a:xfrm>
                    <a:prstGeom prst="rect">
                      <a:avLst/>
                    </a:prstGeom>
                    <a:noFill/>
                  </pic:spPr>
                </pic:pic>
              </a:graphicData>
            </a:graphic>
          </wp:anchor>
        </w:drawing>
      </w:r>
    </w:p>
    <w:p>
      <w:pPr>
        <w:spacing w:after="0" w:line="2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color w:val="auto"/>
        </w:rPr>
        <w:t>Roderick R. Baty</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color w:val="auto"/>
        </w:rPr>
        <w:t>Title: Chairman, President and Chief Executive Officer</w:t>
      </w:r>
    </w:p>
    <w:p>
      <w:pPr>
        <w:spacing w:after="0" w:line="200" w:lineRule="exact"/>
        <w:rPr>
          <w:sz w:val="20"/>
          <w:szCs w:val="20"/>
          <w:color w:val="auto"/>
        </w:rPr>
      </w:pPr>
    </w:p>
    <w:p>
      <w:pPr>
        <w:spacing w:after="0" w:line="237" w:lineRule="exact"/>
        <w:rPr>
          <w:sz w:val="20"/>
          <w:szCs w:val="20"/>
          <w:color w:val="auto"/>
        </w:rPr>
      </w:pPr>
    </w:p>
    <w:p>
      <w:pPr>
        <w:ind w:right="640"/>
        <w:spacing w:after="0" w:line="291"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40"/>
          </w:cols>
          <w:pgMar w:left="240" w:top="119" w:right="2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OF CHIEF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SECTION 906 OF THE SARBANES-OXLEY ACT OF 2002</w:t>
      </w:r>
    </w:p>
    <w:p>
      <w:pPr>
        <w:spacing w:after="0" w:line="24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In connection with the Quarterly Report of NN, Inc. (the “Company”) on Form 10-Q for the interim period ended March 31, 2006,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6"/>
          <w:szCs w:val="16"/>
          <w:color w:val="auto"/>
        </w:rPr>
        <w:t>Date: May 9, 2006</w:t>
      </w:r>
      <w:r>
        <w:rPr>
          <w:sz w:val="20"/>
          <w:szCs w:val="20"/>
          <w:color w:val="auto"/>
        </w:rPr>
        <w:tab/>
      </w:r>
      <w:r>
        <w:rPr>
          <w:rFonts w:ascii="Times New Roman" w:cs="Times New Roman" w:eastAsia="Times New Roman" w:hAnsi="Times New Roman"/>
          <w:sz w:val="16"/>
          <w:szCs w:val="16"/>
          <w:color w:val="auto"/>
        </w:rPr>
        <w:t>By: /s/ James H. Dorton</w:t>
      </w:r>
    </w:p>
    <w:p>
      <w:pPr>
        <w:spacing w:after="0" w:line="4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color w:val="auto"/>
        </w:rPr>
        <w:t>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-113665</wp:posOffset>
            </wp:positionV>
            <wp:extent cx="349758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97580" cy="762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6"/>
          <w:szCs w:val="16"/>
          <w:color w:val="auto"/>
        </w:rPr>
        <w:t xml:space="preserve">Title: Vice President - Corporate Develpment and </w:t>
      </w:r>
      <w:r>
        <w:rPr>
          <w:rFonts w:ascii="Times New Roman" w:cs="Times New Roman" w:eastAsia="Times New Roman" w:hAnsi="Times New Roman"/>
          <w:sz w:val="15"/>
          <w:szCs w:val="15"/>
          <w:color w:val="auto"/>
        </w:rPr>
        <w:t>Chief Financial Officer</w:t>
      </w:r>
    </w:p>
    <w:p>
      <w:pPr>
        <w:spacing w:after="0" w:line="25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40"/>
      </w:cols>
      <w:pgMar w:left="240" w:top="11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2019-12-14T03:17:08Z</dcterms:created>
  <dcterms:modified xsi:type="dcterms:W3CDTF">2019-12-14T03:17:08Z</dcterms:modified>
</cp:coreProperties>
</file>