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425450</wp:posOffset>
            </wp:positionV>
            <wp:extent cx="685800" cy="651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12" w:lineRule="exact"/>
        <w:rPr>
          <w:sz w:val="24"/>
          <w:szCs w:val="24"/>
          <w:color w:val="auto"/>
        </w:rPr>
      </w:pPr>
    </w:p>
    <w:p>
      <w:pPr>
        <w:sectPr>
          <w:pgSz w:w="11900" w:h="16838" w:orient="portrait"/>
          <w:cols w:equalWidth="0" w:num="3">
            <w:col w:w="4740" w:space="720"/>
            <w:col w:w="2980" w:space="720"/>
            <w:col w:w="2200"/>
          </w:cols>
          <w:pgMar w:left="240" w:top="362" w:right="29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1" w:lineRule="exact"/>
        <w:rPr>
          <w:sz w:val="24"/>
          <w:szCs w:val="24"/>
          <w:color w:val="auto"/>
        </w:rPr>
      </w:pPr>
    </w:p>
    <w:p>
      <w:pPr>
        <w:sectPr>
          <w:pgSz w:w="11900" w:h="16838" w:orient="portrait"/>
          <w:cols w:equalWidth="0" w:num="3">
            <w:col w:w="4700" w:space="720"/>
            <w:col w:w="2900" w:space="720"/>
            <w:col w:w="2320"/>
          </w:cols>
          <w:pgMar w:left="240" w:top="362" w:right="29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207 Mockingbird Lane,</w:t>
      </w:r>
    </w:p>
    <w:p>
      <w:pPr>
        <w:spacing w:after="0" w:line="6"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7"/>
          <w:szCs w:val="17"/>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37604</w:t>
      </w:r>
    </w:p>
    <w:p>
      <w:pPr>
        <w:spacing w:after="0" w:line="42" w:lineRule="exact"/>
        <w:rPr>
          <w:sz w:val="24"/>
          <w:szCs w:val="24"/>
          <w:color w:val="auto"/>
        </w:rPr>
      </w:pPr>
    </w:p>
    <w:p>
      <w:pPr>
        <w:sectPr>
          <w:pgSz w:w="11900" w:h="16838" w:orient="portrait"/>
          <w:cols w:equalWidth="0" w:num="2">
            <w:col w:w="8660" w:space="720"/>
            <w:col w:w="1980"/>
          </w:cols>
          <w:pgMar w:left="240" w:top="362" w:right="29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8540" w:space="720"/>
            <w:col w:w="2100"/>
          </w:cols>
          <w:pgMar w:left="240" w:top="362" w:right="2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(423) 434-8300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p>
      <w:pPr>
        <w:spacing w:after="0" w:line="200" w:lineRule="exact"/>
        <w:rPr>
          <w:sz w:val="24"/>
          <w:szCs w:val="24"/>
          <w:color w:val="auto"/>
        </w:rPr>
      </w:pP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2" w:right="29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CONFLICT MINERALS DISCLOSURE</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For the period of January 1, 2016 through December 31, 2016,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spacing w:after="0" w:line="188" w:lineRule="exact"/>
        <w:rPr>
          <w:sz w:val="20"/>
          <w:szCs w:val="20"/>
          <w:color w:val="auto"/>
        </w:rPr>
      </w:pPr>
    </w:p>
    <w:p>
      <w:pPr>
        <w:ind w:right="80" w:firstLine="456"/>
        <w:spacing w:after="0" w:line="281" w:lineRule="auto"/>
        <w:rPr>
          <w:sz w:val="20"/>
          <w:szCs w:val="20"/>
          <w:color w:val="auto"/>
        </w:rPr>
      </w:pPr>
      <w:r>
        <w:rPr>
          <w:rFonts w:ascii="Times New Roman" w:cs="Times New Roman" w:eastAsia="Times New Roman" w:hAnsi="Times New Roman"/>
          <w:sz w:val="17"/>
          <w:szCs w:val="17"/>
          <w:color w:val="auto"/>
        </w:rPr>
        <w:t>Based on this review, the Company determined that conflict minerals are not necessary to the functionality or production of the products manufactured by it or contracted to be manufactured on its behalf. To the extent that conflict minerals do appear in products that the Company manufactured or contracted to manufacture, the Company has also determined, based on written or oral representations received from its suppliers, that any conflict minerals that might appear in such products did not originate in any Covered Country, or that such conflict minerals originated from recycled or scrap materials.</w:t>
      </w:r>
    </w:p>
    <w:p>
      <w:pPr>
        <w:spacing w:after="0" w:line="16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accordance with Instruction 3 to Item 1.01 of Form SD, the Company’s evaluation of the materials used in the products it manufactures and contracts to manufacture did not include an evaluation of the materials used in the products manufactured or contracted to manufacture by: Caprock Manufacturing, Inc. and Caprock Enclosures, LLC, which were acquired by the Company on May 29, 2015; and Precision Engineered Products Holdings, Inc., which was acquired by the Company on October 19, 2015.</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copy of this Form SD has been posted to the Investor Relations section of the Company’s website at www.nninc.com.</w:t>
      </w:r>
    </w:p>
    <w:p>
      <w:pPr>
        <w:sectPr>
          <w:pgSz w:w="11900" w:h="16838" w:orient="portrait"/>
          <w:cols w:equalWidth="0" w:num="1">
            <w:col w:w="11400"/>
          </w:cols>
          <w:pgMar w:left="240" w:top="266"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tabs>
          <w:tab w:leader="none" w:pos="5800" w:val="left"/>
        </w:tabs>
        <w:rPr>
          <w:sz w:val="20"/>
          <w:szCs w:val="20"/>
          <w:color w:val="auto"/>
        </w:rPr>
      </w:pPr>
      <w:r>
        <w:rPr>
          <w:rFonts w:ascii="Times New Roman" w:cs="Times New Roman" w:eastAsia="Times New Roman" w:hAnsi="Times New Roman"/>
          <w:sz w:val="18"/>
          <w:szCs w:val="18"/>
          <w:color w:val="auto"/>
        </w:rPr>
        <w:t>Date: May 31, 2017</w:t>
      </w:r>
      <w:r>
        <w:rPr>
          <w:sz w:val="20"/>
          <w:szCs w:val="20"/>
          <w:color w:val="auto"/>
        </w:rPr>
        <w:tab/>
      </w:r>
      <w:r>
        <w:rPr>
          <w:rFonts w:ascii="Times New Roman" w:cs="Times New Roman" w:eastAsia="Times New Roman" w:hAnsi="Times New Roman"/>
          <w:sz w:val="17"/>
          <w:szCs w:val="17"/>
          <w:b w:val="1"/>
          <w:bCs w:val="1"/>
          <w:color w:val="auto"/>
        </w:rPr>
        <w:t>NN, INC.</w:t>
      </w:r>
    </w:p>
    <w:p>
      <w:pPr>
        <w:spacing w:after="0" w:line="229"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C. Burwell, Jr.</w:t>
            </w:r>
          </w:p>
        </w:tc>
      </w:tr>
      <w:tr>
        <w:trPr>
          <w:trHeight w:val="191"/>
        </w:trPr>
        <w:tc>
          <w:tcPr>
            <w:tcW w:w="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1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C. Burwell, Jr.</w:t>
            </w: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Vice President—Chief Financial Officer</w:t>
            </w: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2019-12-05T23:23:51Z</dcterms:created>
  <dcterms:modified xsi:type="dcterms:W3CDTF">2019-12-05T23:23:51Z</dcterms:modified>
</cp:coreProperties>
</file>