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142875</wp:posOffset>
            </wp:positionH>
            <wp:positionV relativeFrom="page">
              <wp:posOffset>235585</wp:posOffset>
            </wp:positionV>
            <wp:extent cx="72758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5830" cy="342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FORM 10-Q/A</w:t>
      </w:r>
    </w:p>
    <w:p>
      <w:pPr>
        <w:spacing w:after="0" w:line="217" w:lineRule="exact"/>
        <w:rPr>
          <w:sz w:val="24"/>
          <w:szCs w:val="24"/>
          <w:color w:val="auto"/>
        </w:rPr>
      </w:pPr>
    </w:p>
    <w:p>
      <w:pPr>
        <w:ind w:left="80"/>
        <w:spacing w:after="0"/>
        <w:rPr>
          <w:sz w:val="20"/>
          <w:szCs w:val="20"/>
          <w:color w:val="auto"/>
        </w:rPr>
      </w:pPr>
      <w:r>
        <w:rPr>
          <w:rFonts w:ascii="Arial" w:cs="Arial" w:eastAsia="Arial" w:hAnsi="Arial"/>
          <w:sz w:val="15"/>
          <w:szCs w:val="15"/>
          <w:color w:val="auto"/>
        </w:rPr>
        <w:t>x QUARTERLY REPORT PURSUANT TO SECTION 13 OR 15(d) OF THE SECURITIES EXCHANGE ACT OF 1934</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 xml:space="preserve">For the quarterly period ended </w:t>
      </w:r>
      <w:r>
        <w:rPr>
          <w:rFonts w:ascii="Arial" w:cs="Arial" w:eastAsia="Arial" w:hAnsi="Arial"/>
          <w:sz w:val="15"/>
          <w:szCs w:val="15"/>
          <w:b w:val="1"/>
          <w:bCs w:val="1"/>
          <w:u w:val="single" w:color="auto"/>
          <w:color w:val="auto"/>
        </w:rPr>
        <w:t>June 30, 2007</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OR</w:t>
      </w:r>
    </w:p>
    <w:p>
      <w:pPr>
        <w:spacing w:after="0" w:line="208" w:lineRule="exact"/>
        <w:rPr>
          <w:sz w:val="24"/>
          <w:szCs w:val="24"/>
          <w:color w:val="auto"/>
        </w:rPr>
      </w:pPr>
    </w:p>
    <w:p>
      <w:pPr>
        <w:ind w:left="80"/>
        <w:spacing w:after="0"/>
        <w:rPr>
          <w:sz w:val="20"/>
          <w:szCs w:val="20"/>
          <w:color w:val="auto"/>
        </w:rPr>
      </w:pPr>
      <w:r>
        <w:rPr>
          <w:rFonts w:ascii="Arial" w:cs="Arial" w:eastAsia="Arial" w:hAnsi="Arial"/>
          <w:sz w:val="15"/>
          <w:szCs w:val="15"/>
          <w:color w:val="auto"/>
        </w:rPr>
        <w:t>o TRANSITION REPORT PURSUANT TO SECTION 13 OR 15(d) OF THE SECURITIES EXCHANGE ACT OF 1934</w:t>
      </w:r>
    </w:p>
    <w:p>
      <w:pPr>
        <w:spacing w:after="0" w:line="208" w:lineRule="exact"/>
        <w:rPr>
          <w:sz w:val="24"/>
          <w:szCs w:val="24"/>
          <w:color w:val="auto"/>
        </w:rPr>
      </w:pPr>
    </w:p>
    <w:p>
      <w:pPr>
        <w:ind w:left="4060"/>
        <w:spacing w:after="0"/>
        <w:rPr>
          <w:sz w:val="20"/>
          <w:szCs w:val="20"/>
          <w:color w:val="auto"/>
        </w:rPr>
      </w:pPr>
      <w:r>
        <w:rPr>
          <w:rFonts w:ascii="Arial" w:cs="Arial" w:eastAsia="Arial" w:hAnsi="Arial"/>
          <w:sz w:val="15"/>
          <w:szCs w:val="15"/>
          <w:color w:val="auto"/>
        </w:rPr>
        <w:t>For the transition period from _________ to _________</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3406140</wp:posOffset>
            </wp:positionH>
            <wp:positionV relativeFrom="paragraph">
              <wp:posOffset>139065</wp:posOffset>
            </wp:positionV>
            <wp:extent cx="469265" cy="4622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62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NN,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40"/>
          </w:cols>
          <w:pgMar w:left="220" w:top="108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960"/>
        <w:spacing w:after="0"/>
        <w:rPr>
          <w:sz w:val="20"/>
          <w:szCs w:val="20"/>
          <w:color w:val="auto"/>
        </w:rPr>
      </w:pPr>
      <w:r>
        <w:rPr>
          <w:rFonts w:ascii="Arial" w:cs="Arial" w:eastAsia="Arial" w:hAnsi="Arial"/>
          <w:sz w:val="15"/>
          <w:szCs w:val="15"/>
          <w:b w:val="1"/>
          <w:bCs w:val="1"/>
          <w:color w:val="auto"/>
        </w:rPr>
        <w:t>Delaware</w:t>
      </w:r>
    </w:p>
    <w:p>
      <w:pPr>
        <w:spacing w:after="0" w:line="21" w:lineRule="exact"/>
        <w:rPr>
          <w:sz w:val="24"/>
          <w:szCs w:val="24"/>
          <w:color w:val="auto"/>
        </w:rPr>
      </w:pPr>
    </w:p>
    <w:p>
      <w:pPr>
        <w:jc w:val="center"/>
        <w:ind w:right="10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580"/>
        <w:spacing w:after="0"/>
        <w:rPr>
          <w:sz w:val="20"/>
          <w:szCs w:val="20"/>
          <w:color w:val="auto"/>
        </w:rPr>
      </w:pPr>
      <w:r>
        <w:rPr>
          <w:rFonts w:ascii="Arial" w:cs="Arial" w:eastAsia="Arial" w:hAnsi="Arial"/>
          <w:sz w:val="15"/>
          <w:szCs w:val="15"/>
          <w:b w:val="1"/>
          <w:bCs w:val="1"/>
          <w:color w:val="auto"/>
        </w:rPr>
        <w:t>62-1096725</w:t>
      </w:r>
    </w:p>
    <w:p>
      <w:pPr>
        <w:spacing w:after="0" w:line="21" w:lineRule="exact"/>
        <w:rPr>
          <w:sz w:val="24"/>
          <w:szCs w:val="24"/>
          <w:color w:val="auto"/>
        </w:rPr>
      </w:pPr>
    </w:p>
    <w:p>
      <w:pPr>
        <w:jc w:val="center"/>
        <w:ind w:right="1580"/>
        <w:spacing w:after="0"/>
        <w:rPr>
          <w:sz w:val="20"/>
          <w:szCs w:val="20"/>
          <w:color w:val="auto"/>
        </w:rPr>
      </w:pPr>
      <w:r>
        <w:rPr>
          <w:rFonts w:ascii="Arial" w:cs="Arial" w:eastAsia="Arial" w:hAnsi="Arial"/>
          <w:sz w:val="14"/>
          <w:szCs w:val="14"/>
          <w:color w:val="auto"/>
        </w:rPr>
        <w:t>(I.R.S. Employer Identification Number)</w:t>
      </w:r>
    </w:p>
    <w:p>
      <w:pPr>
        <w:spacing w:after="0" w:line="184" w:lineRule="exact"/>
        <w:rPr>
          <w:sz w:val="24"/>
          <w:szCs w:val="24"/>
          <w:color w:val="auto"/>
        </w:rPr>
      </w:pPr>
    </w:p>
    <w:p>
      <w:pPr>
        <w:sectPr>
          <w:pgSz w:w="11900" w:h="16838" w:orient="portrait"/>
          <w:cols w:equalWidth="0" w:num="2">
            <w:col w:w="6700" w:space="720"/>
            <w:col w:w="4020"/>
          </w:cols>
          <w:pgMar w:left="220" w:top="108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2000 Waters Edge Drive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Building C, Suite 12</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Johnson City, Tennessee 37604</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(423) 743-9151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400" w:lineRule="exact"/>
        <w:rPr>
          <w:sz w:val="24"/>
          <w:szCs w:val="24"/>
          <w:color w:val="auto"/>
        </w:rPr>
      </w:pPr>
    </w:p>
    <w:p>
      <w:pPr>
        <w:spacing w:after="0" w:line="256"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120" w:val="left"/>
          <w:tab w:leader="none" w:pos="1840" w:val="left"/>
        </w:tabs>
        <w:rPr>
          <w:sz w:val="20"/>
          <w:szCs w:val="20"/>
          <w:color w:val="auto"/>
        </w:rPr>
      </w:pPr>
      <w:r>
        <w:rPr>
          <w:rFonts w:ascii="Arial" w:cs="Arial" w:eastAsia="Arial" w:hAnsi="Arial"/>
          <w:sz w:val="15"/>
          <w:szCs w:val="15"/>
          <w:color w:val="auto"/>
        </w:rPr>
        <w:t>the past 90 days.</w:t>
        <w:tab/>
        <w:t>Yes x</w:t>
      </w:r>
      <w:r>
        <w:rPr>
          <w:sz w:val="20"/>
          <w:szCs w:val="20"/>
          <w:color w:val="auto"/>
        </w:rPr>
        <w:tab/>
      </w:r>
      <w:r>
        <w:rPr>
          <w:rFonts w:ascii="Arial" w:cs="Arial" w:eastAsia="Arial" w:hAnsi="Arial"/>
          <w:sz w:val="13"/>
          <w:szCs w:val="13"/>
          <w:color w:val="auto"/>
        </w:rPr>
        <w:t>No o</w:t>
      </w:r>
    </w:p>
    <w:p>
      <w:pPr>
        <w:spacing w:after="0" w:line="19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w:t>
      </w:r>
    </w:p>
    <w:p>
      <w:pPr>
        <w:sectPr>
          <w:pgSz w:w="11900" w:h="16838" w:orient="portrait"/>
          <w:cols w:equalWidth="0" w:num="1">
            <w:col w:w="11440"/>
          </w:cols>
          <w:pgMar w:left="220" w:top="1089" w:right="239" w:bottom="1440" w:gutter="0" w:footer="0" w:header="0"/>
          <w:type w:val="continuous"/>
        </w:sectPr>
      </w:pPr>
    </w:p>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12b-2 of the Exchange Act. (Check one):</w:t>
      </w:r>
    </w:p>
    <w:p>
      <w:pPr>
        <w:spacing w:after="0" w:line="7" w:lineRule="exact"/>
        <w:rPr>
          <w:sz w:val="24"/>
          <w:szCs w:val="24"/>
          <w:color w:val="auto"/>
        </w:rPr>
      </w:pPr>
    </w:p>
    <w:p>
      <w:pPr>
        <w:spacing w:after="0"/>
        <w:tabs>
          <w:tab w:leader="none" w:pos="1800" w:val="left"/>
        </w:tabs>
        <w:rPr>
          <w:sz w:val="20"/>
          <w:szCs w:val="20"/>
          <w:color w:val="auto"/>
        </w:rPr>
      </w:pPr>
      <w:r>
        <w:rPr>
          <w:rFonts w:ascii="Arial" w:cs="Arial" w:eastAsia="Arial" w:hAnsi="Arial"/>
          <w:sz w:val="15"/>
          <w:szCs w:val="15"/>
          <w:color w:val="auto"/>
        </w:rPr>
        <w:t>Large accelerated filer o</w:t>
      </w:r>
      <w:r>
        <w:rPr>
          <w:sz w:val="20"/>
          <w:szCs w:val="20"/>
          <w:color w:val="auto"/>
        </w:rPr>
        <w:tab/>
      </w:r>
      <w:r>
        <w:rPr>
          <w:rFonts w:ascii="Arial" w:cs="Arial" w:eastAsia="Arial" w:hAnsi="Arial"/>
          <w:sz w:val="14"/>
          <w:szCs w:val="14"/>
          <w:color w:val="auto"/>
        </w:rPr>
        <w:t>Accelerated filer x</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31" w:lineRule="exact"/>
        <w:rPr>
          <w:sz w:val="24"/>
          <w:szCs w:val="24"/>
          <w:color w:val="auto"/>
        </w:rPr>
      </w:pPr>
    </w:p>
    <w:p>
      <w:pPr>
        <w:sectPr>
          <w:pgSz w:w="11900" w:h="16838" w:orient="portrait"/>
          <w:cols w:equalWidth="0" w:num="2">
            <w:col w:w="2940" w:space="400"/>
            <w:col w:w="8100"/>
          </w:cols>
          <w:pgMar w:left="220" w:top="1089" w:right="239" w:bottom="1440" w:gutter="0" w:footer="0" w:header="0"/>
          <w:type w:val="continuous"/>
        </w:sectPr>
      </w:pPr>
    </w:p>
    <w:p>
      <w:pPr>
        <w:spacing w:after="0"/>
        <w:tabs>
          <w:tab w:leader="none" w:pos="69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Yes o No x</w:t>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As of July 8th, 2007, there were 16,863,082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7583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5830" cy="381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485140</wp:posOffset>
            </wp:positionV>
            <wp:extent cx="727583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1089" w:right="2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5"/>
          <w:szCs w:val="15"/>
          <w:b w:val="1"/>
          <w:bCs w:val="1"/>
          <w:color w:val="auto"/>
        </w:rPr>
        <w:t>Explanatory Note</w:t>
      </w:r>
    </w:p>
    <w:p>
      <w:pPr>
        <w:spacing w:after="0" w:line="212"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The purpose of this amendment on Form 10-Q/A to the Quarterly Report on Form 10-Q of NN, Inc. for the quarter ended June 30, 2007 is to restate our unaudited Condensed Consolidated Balance Sheet as of June 30, 2007 and the related Consolidated Statements of Income, Consolidated Statements of Changes in Stockholders’ Equity and Consolidated Statements of Cash Flows, for the three months and six months ended June 30, 2007 to correct an error in asset groups and cash flow assumptions used to test impairment of a customer contract intangible asset under SFAS 144. See Note 2 to the Company's unaudited consolidated financial statements for additional information.</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No attempt has been made in this Form 10-Q/A to modify or update other disclosures presented in the original report on Form 10-Q, except as required to reflect the effects of the restatement. Information not affected by the restatement is unchanged and reflects the disclosures made at the time of the original filing of the Form 10-Q on August 9, 2007. Accordingly, this Form 10-Q/A should be read in conjunction with our filings made with the Securities and Exchange Commission subsequent to the filing of the original Form 10-Q, including any amendments to those filings. The following items have been amended as a result of the restatement:</w:t>
      </w:r>
    </w:p>
    <w:p>
      <w:pPr>
        <w:spacing w:after="0" w:line="180" w:lineRule="exact"/>
        <w:rPr>
          <w:sz w:val="20"/>
          <w:szCs w:val="20"/>
          <w:color w:val="auto"/>
        </w:rPr>
      </w:pPr>
    </w:p>
    <w:p>
      <w:pPr>
        <w:ind w:left="540" w:hanging="105"/>
        <w:spacing w:after="0"/>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Part I—Item 1—Financial Statements</w:t>
      </w:r>
    </w:p>
    <w:p>
      <w:pPr>
        <w:spacing w:after="0" w:line="208" w:lineRule="exact"/>
        <w:rPr>
          <w:rFonts w:ascii="Arial" w:cs="Arial" w:eastAsia="Arial" w:hAnsi="Arial"/>
          <w:sz w:val="15"/>
          <w:szCs w:val="15"/>
          <w:color w:val="auto"/>
        </w:rPr>
      </w:pPr>
    </w:p>
    <w:p>
      <w:pPr>
        <w:ind w:left="540" w:hanging="105"/>
        <w:spacing w:after="0"/>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Part I—Item 2—Management's Discussion and Analysis of Financial Condition and Results of Operations</w:t>
      </w:r>
    </w:p>
    <w:p>
      <w:pPr>
        <w:spacing w:after="0" w:line="208" w:lineRule="exact"/>
        <w:rPr>
          <w:rFonts w:ascii="Arial" w:cs="Arial" w:eastAsia="Arial" w:hAnsi="Arial"/>
          <w:sz w:val="15"/>
          <w:szCs w:val="15"/>
          <w:color w:val="auto"/>
        </w:rPr>
      </w:pPr>
    </w:p>
    <w:p>
      <w:pPr>
        <w:ind w:left="540" w:hanging="105"/>
        <w:spacing w:after="0"/>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Part 1—Item 4—Controls and Procedures</w:t>
      </w:r>
    </w:p>
    <w:p>
      <w:pPr>
        <w:spacing w:after="0" w:line="20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The Company's Chief Executive Officer and Chief Financial Officer, with the assistance of other members of management, have re-evaluated the effectiveness of the Company's disclosure controls and procedures as of June 30, 2007, and, based on this re-evaluation, have determined that the Company's disclosure controls and procedures were ineffective as a result of a material weakness in internal control over financial reporting with respect to the accounting for the impairment of customer intangible assets.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75830"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380"/>
          </w:cols>
          <w:pgMar w:left="220" w:top="125" w:right="299" w:bottom="1440" w:gutter="0" w:footer="0" w:header="0"/>
        </w:sectPr>
      </w:pPr>
    </w:p>
    <w:bookmarkStart w:id="2" w:name="page3"/>
    <w:bookmarkEnd w:id="2"/>
    <w:p>
      <w:pPr>
        <w:ind w:left="5460"/>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5"/>
          <w:szCs w:val="15"/>
          <w:b w:val="1"/>
          <w:bCs w:val="1"/>
          <w:color w:val="auto"/>
        </w:rPr>
        <w:t>INDEX</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80" w:type="dxa"/>
        <w:tblCellMar>
          <w:top w:w="0" w:type="dxa"/>
          <w:left w:w="0" w:type="dxa"/>
          <w:bottom w:w="0" w:type="dxa"/>
          <w:right w:w="0" w:type="dxa"/>
        </w:tblCellMar>
      </w:tblPr>
      <w:tr>
        <w:trPr>
          <w:trHeight w:val="179"/>
        </w:trPr>
        <w:tc>
          <w:tcPr>
            <w:tcW w:w="660" w:type="dxa"/>
            <w:vAlign w:val="bottom"/>
            <w:vMerge w:val="restart"/>
          </w:tcPr>
          <w:p>
            <w:pPr>
              <w:spacing w:after="0"/>
              <w:rPr>
                <w:sz w:val="20"/>
                <w:szCs w:val="20"/>
                <w:color w:val="auto"/>
              </w:rPr>
            </w:pPr>
            <w:r>
              <w:rPr>
                <w:rFonts w:ascii="Arial" w:cs="Arial" w:eastAsia="Arial" w:hAnsi="Arial"/>
                <w:sz w:val="15"/>
                <w:szCs w:val="15"/>
                <w:b w:val="1"/>
                <w:bCs w:val="1"/>
                <w:color w:val="auto"/>
              </w:rPr>
              <w:t>Part I.</w:t>
            </w:r>
          </w:p>
        </w:tc>
        <w:tc>
          <w:tcPr>
            <w:tcW w:w="95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Financial Information</w:t>
            </w:r>
          </w:p>
        </w:tc>
        <w:tc>
          <w:tcPr>
            <w:tcW w:w="320" w:type="dxa"/>
            <w:vAlign w:val="bottom"/>
          </w:tcPr>
          <w:p>
            <w:pPr>
              <w:jc w:val="center"/>
              <w:spacing w:after="0"/>
              <w:rPr>
                <w:sz w:val="20"/>
                <w:szCs w:val="20"/>
                <w:color w:val="auto"/>
              </w:rPr>
            </w:pPr>
            <w:r>
              <w:rPr>
                <w:rFonts w:ascii="Arial" w:cs="Arial" w:eastAsia="Arial" w:hAnsi="Arial"/>
                <w:sz w:val="15"/>
                <w:szCs w:val="15"/>
                <w:b w:val="1"/>
                <w:bCs w:val="1"/>
                <w:color w:val="auto"/>
                <w:w w:val="83"/>
              </w:rPr>
              <w:t>Page</w:t>
            </w:r>
          </w:p>
        </w:tc>
        <w:tc>
          <w:tcPr>
            <w:tcW w:w="0" w:type="dxa"/>
            <w:vAlign w:val="bottom"/>
          </w:tcPr>
          <w:p>
            <w:pPr>
              <w:spacing w:after="0"/>
              <w:rPr>
                <w:sz w:val="1"/>
                <w:szCs w:val="1"/>
                <w:color w:val="auto"/>
              </w:rPr>
            </w:pPr>
          </w:p>
        </w:tc>
      </w:tr>
      <w:tr>
        <w:trPr>
          <w:trHeight w:val="103"/>
        </w:trPr>
        <w:tc>
          <w:tcPr>
            <w:tcW w:w="660" w:type="dxa"/>
            <w:vAlign w:val="bottom"/>
            <w:vMerge w:val="continue"/>
          </w:tcPr>
          <w:p>
            <w:pPr>
              <w:spacing w:after="0"/>
              <w:rPr>
                <w:sz w:val="8"/>
                <w:szCs w:val="8"/>
                <w:color w:val="auto"/>
              </w:rPr>
            </w:pPr>
          </w:p>
        </w:tc>
        <w:tc>
          <w:tcPr>
            <w:tcW w:w="9560" w:type="dxa"/>
            <w:vAlign w:val="bottom"/>
            <w:vMerge w:val="continue"/>
          </w:tcPr>
          <w:p>
            <w:pPr>
              <w:spacing w:after="0"/>
              <w:rPr>
                <w:sz w:val="8"/>
                <w:szCs w:val="8"/>
                <w:color w:val="auto"/>
              </w:rPr>
            </w:pPr>
          </w:p>
        </w:tc>
        <w:tc>
          <w:tcPr>
            <w:tcW w:w="3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No.</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95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1"/>
        </w:trPr>
        <w:tc>
          <w:tcPr>
            <w:tcW w:w="660" w:type="dxa"/>
            <w:vAlign w:val="bottom"/>
          </w:tcPr>
          <w:p>
            <w:pPr>
              <w:spacing w:after="0"/>
              <w:rPr>
                <w:sz w:val="20"/>
                <w:szCs w:val="20"/>
                <w:color w:val="auto"/>
              </w:rPr>
            </w:pPr>
            <w:r>
              <w:rPr>
                <w:rFonts w:ascii="Arial" w:cs="Arial" w:eastAsia="Arial" w:hAnsi="Arial"/>
                <w:sz w:val="15"/>
                <w:szCs w:val="15"/>
                <w:color w:val="auto"/>
              </w:rPr>
              <w:t>Item 1.</w:t>
            </w:r>
          </w:p>
        </w:tc>
        <w:tc>
          <w:tcPr>
            <w:tcW w:w="9560" w:type="dxa"/>
            <w:vAlign w:val="bottom"/>
          </w:tcPr>
          <w:p>
            <w:pPr>
              <w:ind w:left="80"/>
              <w:spacing w:after="0"/>
              <w:rPr>
                <w:sz w:val="20"/>
                <w:szCs w:val="20"/>
                <w:color w:val="auto"/>
              </w:rPr>
            </w:pPr>
            <w:r>
              <w:rPr>
                <w:rFonts w:ascii="Arial" w:cs="Arial" w:eastAsia="Arial" w:hAnsi="Arial"/>
                <w:sz w:val="15"/>
                <w:szCs w:val="15"/>
                <w:color w:val="auto"/>
              </w:rPr>
              <w:t>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5"/>
                <w:szCs w:val="15"/>
                <w:color w:val="auto"/>
                <w:w w:val="97"/>
              </w:rPr>
              <w:t>Consolidated Statements of Income and Comprehensive Income for the three and six months ended June 30, 2007 and 2006 unaudited)...............</w:t>
            </w:r>
          </w:p>
        </w:tc>
        <w:tc>
          <w:tcPr>
            <w:tcW w:w="320" w:type="dxa"/>
            <w:vAlign w:val="bottom"/>
          </w:tcPr>
          <w:p>
            <w:pPr>
              <w:jc w:val="center"/>
              <w:spacing w:after="0"/>
              <w:rPr>
                <w:sz w:val="20"/>
                <w:szCs w:val="20"/>
                <w:color w:val="auto"/>
              </w:rPr>
            </w:pPr>
            <w:r>
              <w:rPr>
                <w:rFonts w:ascii="Arial" w:cs="Arial" w:eastAsia="Arial" w:hAnsi="Arial"/>
                <w:sz w:val="15"/>
                <w:szCs w:val="15"/>
                <w:color w:val="auto"/>
                <w:w w:val="71"/>
              </w:rPr>
              <w:t>2</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5"/>
                <w:szCs w:val="15"/>
                <w:color w:val="auto"/>
                <w:w w:val="94"/>
              </w:rPr>
              <w:t>Condensed Consolidated Balance Sheets at June 30, 2007 and December 31, 2006 unaudited).........................................................................................</w:t>
            </w:r>
          </w:p>
        </w:tc>
        <w:tc>
          <w:tcPr>
            <w:tcW w:w="320" w:type="dxa"/>
            <w:vAlign w:val="bottom"/>
          </w:tcPr>
          <w:p>
            <w:pPr>
              <w:jc w:val="center"/>
              <w:spacing w:after="0"/>
              <w:rPr>
                <w:sz w:val="20"/>
                <w:szCs w:val="20"/>
                <w:color w:val="auto"/>
              </w:rPr>
            </w:pPr>
            <w:r>
              <w:rPr>
                <w:rFonts w:ascii="Arial" w:cs="Arial" w:eastAsia="Arial" w:hAnsi="Arial"/>
                <w:sz w:val="15"/>
                <w:szCs w:val="15"/>
                <w:color w:val="auto"/>
                <w:w w:val="71"/>
              </w:rPr>
              <w:t>3</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5"/>
                <w:szCs w:val="15"/>
                <w:color w:val="auto"/>
                <w:w w:val="97"/>
              </w:rPr>
              <w:t>Consolidated Statements of Changes in Stockholders’ Equity for the six months ended June 30, 2007(unaudited)......................................................</w:t>
            </w:r>
          </w:p>
        </w:tc>
        <w:tc>
          <w:tcPr>
            <w:tcW w:w="320" w:type="dxa"/>
            <w:vAlign w:val="bottom"/>
          </w:tcPr>
          <w:p>
            <w:pPr>
              <w:jc w:val="center"/>
              <w:spacing w:after="0"/>
              <w:rPr>
                <w:sz w:val="20"/>
                <w:szCs w:val="20"/>
                <w:color w:val="auto"/>
              </w:rPr>
            </w:pP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5"/>
                <w:szCs w:val="15"/>
                <w:color w:val="auto"/>
                <w:w w:val="95"/>
              </w:rPr>
              <w:t>Consolidated Statements of Cash Flows for the six months ended June 30, 2007 and 2006 unaudited)............................................................................</w:t>
            </w:r>
          </w:p>
        </w:tc>
        <w:tc>
          <w:tcPr>
            <w:tcW w:w="320" w:type="dxa"/>
            <w:vAlign w:val="bottom"/>
          </w:tcPr>
          <w:p>
            <w:pPr>
              <w:jc w:val="center"/>
              <w:spacing w:after="0"/>
              <w:rPr>
                <w:sz w:val="20"/>
                <w:szCs w:val="20"/>
                <w:color w:val="auto"/>
              </w:rPr>
            </w:pPr>
            <w:r>
              <w:rPr>
                <w:rFonts w:ascii="Arial" w:cs="Arial" w:eastAsia="Arial" w:hAnsi="Arial"/>
                <w:sz w:val="15"/>
                <w:szCs w:val="15"/>
                <w:color w:val="auto"/>
                <w:w w:val="71"/>
              </w:rPr>
              <w:t>5</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9560" w:type="dxa"/>
            <w:vAlign w:val="bottom"/>
          </w:tcPr>
          <w:p>
            <w:pPr>
              <w:ind w:left="80"/>
              <w:spacing w:after="0"/>
              <w:rPr>
                <w:sz w:val="20"/>
                <w:szCs w:val="20"/>
                <w:color w:val="auto"/>
              </w:rPr>
            </w:pPr>
            <w:r>
              <w:rPr>
                <w:rFonts w:ascii="Arial" w:cs="Arial" w:eastAsia="Arial" w:hAnsi="Arial"/>
                <w:sz w:val="15"/>
                <w:szCs w:val="15"/>
                <w:color w:val="auto"/>
                <w:w w:val="93"/>
              </w:rPr>
              <w:t>Notes to Consolidated Financial Statements unaudited) .........................................................................................................................................................</w:t>
            </w:r>
          </w:p>
        </w:tc>
        <w:tc>
          <w:tcPr>
            <w:tcW w:w="320" w:type="dxa"/>
            <w:vAlign w:val="bottom"/>
          </w:tcPr>
          <w:p>
            <w:pPr>
              <w:jc w:val="center"/>
              <w:spacing w:after="0"/>
              <w:rPr>
                <w:sz w:val="20"/>
                <w:szCs w:val="20"/>
                <w:color w:val="auto"/>
              </w:rPr>
            </w:pPr>
            <w:r>
              <w:rPr>
                <w:rFonts w:ascii="Arial" w:cs="Arial" w:eastAsia="Arial" w:hAnsi="Arial"/>
                <w:sz w:val="15"/>
                <w:szCs w:val="15"/>
                <w:color w:val="auto"/>
                <w:w w:val="71"/>
              </w:rPr>
              <w:t>6</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rPr>
              <w:t>Item 2.</w:t>
            </w:r>
          </w:p>
        </w:tc>
        <w:tc>
          <w:tcPr>
            <w:tcW w:w="9560" w:type="dxa"/>
            <w:vAlign w:val="bottom"/>
          </w:tcPr>
          <w:p>
            <w:pPr>
              <w:ind w:left="80"/>
              <w:spacing w:after="0"/>
              <w:rPr>
                <w:sz w:val="20"/>
                <w:szCs w:val="20"/>
                <w:color w:val="auto"/>
              </w:rPr>
            </w:pPr>
            <w:r>
              <w:rPr>
                <w:rFonts w:ascii="Arial" w:cs="Arial" w:eastAsia="Arial" w:hAnsi="Arial"/>
                <w:sz w:val="15"/>
                <w:szCs w:val="15"/>
                <w:color w:val="auto"/>
                <w:w w:val="96"/>
              </w:rPr>
              <w:t>Management’s Discussion and Analysis of Financial Condition and Results of Operations ............................................................................................</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19</w:t>
            </w:r>
          </w:p>
        </w:tc>
        <w:tc>
          <w:tcPr>
            <w:tcW w:w="0" w:type="dxa"/>
            <w:vAlign w:val="bottom"/>
          </w:tcPr>
          <w:p>
            <w:pPr>
              <w:spacing w:after="0"/>
              <w:rPr>
                <w:sz w:val="1"/>
                <w:szCs w:val="1"/>
                <w:color w:val="auto"/>
              </w:rPr>
            </w:pPr>
          </w:p>
        </w:tc>
      </w:tr>
      <w:tr>
        <w:trPr>
          <w:trHeight w:val="381"/>
        </w:trPr>
        <w:tc>
          <w:tcPr>
            <w:tcW w:w="660" w:type="dxa"/>
            <w:vAlign w:val="bottom"/>
          </w:tcPr>
          <w:p>
            <w:pPr>
              <w:spacing w:after="0"/>
              <w:rPr>
                <w:sz w:val="20"/>
                <w:szCs w:val="20"/>
                <w:color w:val="auto"/>
              </w:rPr>
            </w:pPr>
            <w:r>
              <w:rPr>
                <w:rFonts w:ascii="Arial" w:cs="Arial" w:eastAsia="Arial" w:hAnsi="Arial"/>
                <w:sz w:val="15"/>
                <w:szCs w:val="15"/>
                <w:color w:val="auto"/>
              </w:rPr>
              <w:t>Item 3.</w:t>
            </w:r>
          </w:p>
        </w:tc>
        <w:tc>
          <w:tcPr>
            <w:tcW w:w="9560" w:type="dxa"/>
            <w:vAlign w:val="bottom"/>
          </w:tcPr>
          <w:p>
            <w:pPr>
              <w:ind w:left="80"/>
              <w:spacing w:after="0"/>
              <w:rPr>
                <w:sz w:val="20"/>
                <w:szCs w:val="20"/>
                <w:color w:val="auto"/>
              </w:rPr>
            </w:pPr>
            <w:r>
              <w:rPr>
                <w:rFonts w:ascii="Arial" w:cs="Arial" w:eastAsia="Arial" w:hAnsi="Arial"/>
                <w:sz w:val="15"/>
                <w:szCs w:val="15"/>
                <w:color w:val="auto"/>
                <w:w w:val="93"/>
              </w:rPr>
              <w:t>Quantitative and Qualitative Disclosures about Market Risk ...................................................................................................................................................</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26</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rPr>
              <w:t>Item 4.</w:t>
            </w:r>
          </w:p>
        </w:tc>
        <w:tc>
          <w:tcPr>
            <w:tcW w:w="9560" w:type="dxa"/>
            <w:vAlign w:val="bottom"/>
          </w:tcPr>
          <w:p>
            <w:pPr>
              <w:ind w:left="80"/>
              <w:spacing w:after="0"/>
              <w:rPr>
                <w:sz w:val="20"/>
                <w:szCs w:val="20"/>
                <w:color w:val="auto"/>
              </w:rPr>
            </w:pPr>
            <w:r>
              <w:rPr>
                <w:rFonts w:ascii="Arial" w:cs="Arial" w:eastAsia="Arial" w:hAnsi="Arial"/>
                <w:sz w:val="15"/>
                <w:szCs w:val="15"/>
                <w:color w:val="auto"/>
                <w:w w:val="91"/>
              </w:rPr>
              <w:t>Controls and Procedures ...............................................................................................................................................................................................................</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27</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b w:val="1"/>
                <w:bCs w:val="1"/>
                <w:color w:val="auto"/>
              </w:rPr>
              <w:t>Part II.</w:t>
            </w:r>
          </w:p>
        </w:tc>
        <w:tc>
          <w:tcPr>
            <w:tcW w:w="9560" w:type="dxa"/>
            <w:vAlign w:val="bottom"/>
          </w:tcPr>
          <w:p>
            <w:pPr>
              <w:ind w:left="80"/>
              <w:spacing w:after="0"/>
              <w:rPr>
                <w:sz w:val="20"/>
                <w:szCs w:val="20"/>
                <w:color w:val="auto"/>
              </w:rPr>
            </w:pPr>
            <w:r>
              <w:rPr>
                <w:rFonts w:ascii="Arial" w:cs="Arial" w:eastAsia="Arial" w:hAnsi="Arial"/>
                <w:sz w:val="15"/>
                <w:szCs w:val="15"/>
                <w:b w:val="1"/>
                <w:bCs w:val="1"/>
                <w:color w:val="auto"/>
              </w:rPr>
              <w:t>Other Information</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rPr>
              <w:t>Item 1.</w:t>
            </w:r>
          </w:p>
        </w:tc>
        <w:tc>
          <w:tcPr>
            <w:tcW w:w="9560" w:type="dxa"/>
            <w:vAlign w:val="bottom"/>
          </w:tcPr>
          <w:p>
            <w:pPr>
              <w:ind w:left="80"/>
              <w:spacing w:after="0"/>
              <w:rPr>
                <w:sz w:val="20"/>
                <w:szCs w:val="20"/>
                <w:color w:val="auto"/>
              </w:rPr>
            </w:pPr>
            <w:r>
              <w:rPr>
                <w:rFonts w:ascii="Arial" w:cs="Arial" w:eastAsia="Arial" w:hAnsi="Arial"/>
                <w:sz w:val="15"/>
                <w:szCs w:val="15"/>
                <w:color w:val="auto"/>
                <w:w w:val="90"/>
              </w:rPr>
              <w:t>Legal Proceedings ...........................................................................................................................................................................................................................</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27</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rPr>
              <w:t>Item 1A.</w:t>
            </w:r>
          </w:p>
        </w:tc>
        <w:tc>
          <w:tcPr>
            <w:tcW w:w="9560" w:type="dxa"/>
            <w:vAlign w:val="bottom"/>
          </w:tcPr>
          <w:p>
            <w:pPr>
              <w:ind w:left="80"/>
              <w:spacing w:after="0"/>
              <w:rPr>
                <w:sz w:val="20"/>
                <w:szCs w:val="20"/>
                <w:color w:val="auto"/>
              </w:rPr>
            </w:pPr>
            <w:r>
              <w:rPr>
                <w:rFonts w:ascii="Arial" w:cs="Arial" w:eastAsia="Arial" w:hAnsi="Arial"/>
                <w:sz w:val="15"/>
                <w:szCs w:val="15"/>
                <w:color w:val="auto"/>
                <w:w w:val="90"/>
              </w:rPr>
              <w:t>Risk Factors ......................................................................................................................................................................................................................................</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28</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rPr>
              <w:t>Item 2.</w:t>
            </w:r>
          </w:p>
        </w:tc>
        <w:tc>
          <w:tcPr>
            <w:tcW w:w="9560" w:type="dxa"/>
            <w:vAlign w:val="bottom"/>
          </w:tcPr>
          <w:p>
            <w:pPr>
              <w:ind w:left="80"/>
              <w:spacing w:after="0"/>
              <w:rPr>
                <w:sz w:val="20"/>
                <w:szCs w:val="20"/>
                <w:color w:val="auto"/>
              </w:rPr>
            </w:pPr>
            <w:r>
              <w:rPr>
                <w:rFonts w:ascii="Arial" w:cs="Arial" w:eastAsia="Arial" w:hAnsi="Arial"/>
                <w:sz w:val="15"/>
                <w:szCs w:val="15"/>
                <w:color w:val="auto"/>
                <w:w w:val="93"/>
              </w:rPr>
              <w:t>Unregistered Sales of Equity Securities and Use of Proceeds ................................................................................................................................................</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28</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rPr>
              <w:t>Item 3.</w:t>
            </w:r>
          </w:p>
        </w:tc>
        <w:tc>
          <w:tcPr>
            <w:tcW w:w="9560" w:type="dxa"/>
            <w:vAlign w:val="bottom"/>
          </w:tcPr>
          <w:p>
            <w:pPr>
              <w:ind w:left="80"/>
              <w:spacing w:after="0"/>
              <w:rPr>
                <w:sz w:val="20"/>
                <w:szCs w:val="20"/>
                <w:color w:val="auto"/>
              </w:rPr>
            </w:pPr>
            <w:r>
              <w:rPr>
                <w:rFonts w:ascii="Arial" w:cs="Arial" w:eastAsia="Arial" w:hAnsi="Arial"/>
                <w:sz w:val="15"/>
                <w:szCs w:val="15"/>
                <w:color w:val="auto"/>
                <w:w w:val="92"/>
              </w:rPr>
              <w:t>Defaults Upon Senior Securities...................................................................................................................................................................................................</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28</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rPr>
              <w:t>Item 4.</w:t>
            </w:r>
          </w:p>
        </w:tc>
        <w:tc>
          <w:tcPr>
            <w:tcW w:w="9560" w:type="dxa"/>
            <w:vAlign w:val="bottom"/>
          </w:tcPr>
          <w:p>
            <w:pPr>
              <w:ind w:left="80"/>
              <w:spacing w:after="0"/>
              <w:rPr>
                <w:sz w:val="20"/>
                <w:szCs w:val="20"/>
                <w:color w:val="auto"/>
              </w:rPr>
            </w:pPr>
            <w:r>
              <w:rPr>
                <w:rFonts w:ascii="Arial" w:cs="Arial" w:eastAsia="Arial" w:hAnsi="Arial"/>
                <w:sz w:val="15"/>
                <w:szCs w:val="15"/>
                <w:color w:val="auto"/>
                <w:w w:val="94"/>
              </w:rPr>
              <w:t>Submission of Matters to a Vote of Security Holders .............................................................................................................................................................</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28</w:t>
            </w: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rPr>
              <w:t>Item 5.</w:t>
            </w:r>
          </w:p>
        </w:tc>
        <w:tc>
          <w:tcPr>
            <w:tcW w:w="9560" w:type="dxa"/>
            <w:vAlign w:val="bottom"/>
          </w:tcPr>
          <w:p>
            <w:pPr>
              <w:ind w:left="80"/>
              <w:spacing w:after="0"/>
              <w:rPr>
                <w:sz w:val="20"/>
                <w:szCs w:val="20"/>
                <w:color w:val="auto"/>
              </w:rPr>
            </w:pPr>
            <w:r>
              <w:rPr>
                <w:rFonts w:ascii="Arial" w:cs="Arial" w:eastAsia="Arial" w:hAnsi="Arial"/>
                <w:sz w:val="15"/>
                <w:szCs w:val="15"/>
                <w:color w:val="auto"/>
                <w:w w:val="91"/>
              </w:rPr>
              <w:t>Other Information ..........................................................................................................................................................................................................................</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28</w:t>
            </w:r>
          </w:p>
        </w:tc>
        <w:tc>
          <w:tcPr>
            <w:tcW w:w="0" w:type="dxa"/>
            <w:vAlign w:val="bottom"/>
          </w:tcPr>
          <w:p>
            <w:pPr>
              <w:spacing w:after="0"/>
              <w:rPr>
                <w:sz w:val="1"/>
                <w:szCs w:val="1"/>
                <w:color w:val="auto"/>
              </w:rPr>
            </w:pPr>
          </w:p>
        </w:tc>
      </w:tr>
      <w:tr>
        <w:trPr>
          <w:trHeight w:val="349"/>
        </w:trPr>
        <w:tc>
          <w:tcPr>
            <w:tcW w:w="660" w:type="dxa"/>
            <w:vAlign w:val="bottom"/>
            <w:vMerge w:val="restart"/>
          </w:tcPr>
          <w:p>
            <w:pPr>
              <w:spacing w:after="0"/>
              <w:rPr>
                <w:sz w:val="20"/>
                <w:szCs w:val="20"/>
                <w:color w:val="auto"/>
              </w:rPr>
            </w:pPr>
            <w:r>
              <w:rPr>
                <w:rFonts w:ascii="Arial" w:cs="Arial" w:eastAsia="Arial" w:hAnsi="Arial"/>
                <w:sz w:val="15"/>
                <w:szCs w:val="15"/>
                <w:color w:val="auto"/>
              </w:rPr>
              <w:t>Item 6.</w:t>
            </w:r>
          </w:p>
        </w:tc>
        <w:tc>
          <w:tcPr>
            <w:tcW w:w="9560" w:type="dxa"/>
            <w:vAlign w:val="bottom"/>
          </w:tcPr>
          <w:p>
            <w:pPr>
              <w:ind w:left="80"/>
              <w:spacing w:after="0"/>
              <w:rPr>
                <w:sz w:val="20"/>
                <w:szCs w:val="20"/>
                <w:color w:val="auto"/>
              </w:rPr>
            </w:pPr>
            <w:r>
              <w:rPr>
                <w:rFonts w:ascii="Arial" w:cs="Arial" w:eastAsia="Arial" w:hAnsi="Arial"/>
                <w:sz w:val="15"/>
                <w:szCs w:val="15"/>
                <w:color w:val="auto"/>
              </w:rPr>
              <w:t>Exhibits</w:t>
            </w:r>
          </w:p>
        </w:tc>
        <w:tc>
          <w:tcPr>
            <w:tcW w:w="320" w:type="dxa"/>
            <w:vAlign w:val="bottom"/>
            <w:vMerge w:val="restart"/>
          </w:tcPr>
          <w:p>
            <w:pPr>
              <w:jc w:val="center"/>
              <w:spacing w:after="0"/>
              <w:rPr>
                <w:sz w:val="20"/>
                <w:szCs w:val="20"/>
                <w:color w:val="auto"/>
              </w:rPr>
            </w:pPr>
            <w:r>
              <w:rPr>
                <w:rFonts w:ascii="Arial" w:cs="Arial" w:eastAsia="Arial" w:hAnsi="Arial"/>
                <w:sz w:val="15"/>
                <w:szCs w:val="15"/>
                <w:color w:val="auto"/>
                <w:w w:val="83"/>
              </w:rPr>
              <w:t>28</w:t>
            </w:r>
          </w:p>
        </w:tc>
        <w:tc>
          <w:tcPr>
            <w:tcW w:w="0" w:type="dxa"/>
            <w:vAlign w:val="bottom"/>
          </w:tcPr>
          <w:p>
            <w:pPr>
              <w:spacing w:after="0"/>
              <w:rPr>
                <w:sz w:val="1"/>
                <w:szCs w:val="1"/>
                <w:color w:val="auto"/>
              </w:rPr>
            </w:pPr>
          </w:p>
        </w:tc>
      </w:tr>
      <w:tr>
        <w:trPr>
          <w:trHeight w:val="99"/>
        </w:trPr>
        <w:tc>
          <w:tcPr>
            <w:tcW w:w="660" w:type="dxa"/>
            <w:vAlign w:val="bottom"/>
            <w:vMerge w:val="continue"/>
          </w:tcPr>
          <w:p>
            <w:pPr>
              <w:spacing w:after="0"/>
              <w:rPr>
                <w:sz w:val="8"/>
                <w:szCs w:val="8"/>
                <w:color w:val="auto"/>
              </w:rPr>
            </w:pPr>
          </w:p>
        </w:tc>
        <w:tc>
          <w:tcPr>
            <w:tcW w:w="9560" w:type="dxa"/>
            <w:vAlign w:val="bottom"/>
            <w:vMerge w:val="restart"/>
          </w:tcPr>
          <w:p>
            <w:pPr>
              <w:ind w:left="60"/>
              <w:spacing w:after="0"/>
              <w:rPr>
                <w:sz w:val="20"/>
                <w:szCs w:val="20"/>
                <w:color w:val="auto"/>
              </w:rPr>
            </w:pPr>
            <w:r>
              <w:rPr>
                <w:rFonts w:ascii="Arial" w:cs="Arial" w:eastAsia="Arial" w:hAnsi="Arial"/>
                <w:sz w:val="15"/>
                <w:szCs w:val="15"/>
                <w:color w:val="auto"/>
                <w:w w:val="95"/>
              </w:rPr>
              <w:t>.............................................................................................................................................................................................................................................</w:t>
            </w: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9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660" w:type="dxa"/>
            <w:vAlign w:val="bottom"/>
          </w:tcPr>
          <w:p>
            <w:pPr>
              <w:spacing w:after="0"/>
              <w:rPr>
                <w:sz w:val="20"/>
                <w:szCs w:val="20"/>
                <w:color w:val="auto"/>
              </w:rPr>
            </w:pPr>
            <w:r>
              <w:rPr>
                <w:rFonts w:ascii="Arial" w:cs="Arial" w:eastAsia="Arial" w:hAnsi="Arial"/>
                <w:sz w:val="15"/>
                <w:szCs w:val="15"/>
                <w:color w:val="auto"/>
                <w:w w:val="89"/>
              </w:rPr>
              <w:t>Signatures</w:t>
            </w:r>
          </w:p>
        </w:tc>
        <w:tc>
          <w:tcPr>
            <w:tcW w:w="9560" w:type="dxa"/>
            <w:vAlign w:val="bottom"/>
          </w:tcPr>
          <w:p>
            <w:pPr>
              <w:ind w:left="80"/>
              <w:spacing w:after="0"/>
              <w:rPr>
                <w:sz w:val="20"/>
                <w:szCs w:val="20"/>
                <w:color w:val="auto"/>
              </w:rPr>
            </w:pPr>
            <w:r>
              <w:rPr>
                <w:rFonts w:ascii="Arial" w:cs="Arial" w:eastAsia="Arial" w:hAnsi="Arial"/>
                <w:sz w:val="15"/>
                <w:szCs w:val="15"/>
                <w:color w:val="auto"/>
                <w:w w:val="89"/>
              </w:rPr>
              <w:t>.............................................................................................................................................................................................................................................................</w:t>
            </w:r>
          </w:p>
        </w:tc>
        <w:tc>
          <w:tcPr>
            <w:tcW w:w="320" w:type="dxa"/>
            <w:vAlign w:val="bottom"/>
          </w:tcPr>
          <w:p>
            <w:pPr>
              <w:jc w:val="center"/>
              <w:spacing w:after="0"/>
              <w:rPr>
                <w:sz w:val="20"/>
                <w:szCs w:val="20"/>
                <w:color w:val="auto"/>
              </w:rPr>
            </w:pPr>
            <w:r>
              <w:rPr>
                <w:rFonts w:ascii="Arial" w:cs="Arial" w:eastAsia="Arial" w:hAnsi="Arial"/>
                <w:sz w:val="15"/>
                <w:szCs w:val="15"/>
                <w:color w:val="auto"/>
                <w:w w:val="83"/>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020"/>
          </w:cols>
          <w:pgMar w:left="220" w:top="853" w:right="6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PART I. FINANCIAL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60" w:type="dxa"/>
            <w:vAlign w:val="bottom"/>
          </w:tcPr>
          <w:p>
            <w:pPr>
              <w:ind w:left="540"/>
              <w:spacing w:after="0"/>
              <w:rPr>
                <w:sz w:val="20"/>
                <w:szCs w:val="20"/>
                <w:color w:val="auto"/>
              </w:rPr>
            </w:pPr>
            <w:r>
              <w:rPr>
                <w:rFonts w:ascii="Arial" w:cs="Arial" w:eastAsia="Arial" w:hAnsi="Arial"/>
                <w:sz w:val="15"/>
                <w:szCs w:val="15"/>
                <w:b w:val="1"/>
                <w:bCs w:val="1"/>
                <w:color w:val="auto"/>
              </w:rPr>
              <w:t>Item 1. Financial Statements</w:t>
            </w: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60" w:type="dxa"/>
            <w:vAlign w:val="bottom"/>
            <w:gridSpan w:val="3"/>
          </w:tcPr>
          <w:p>
            <w:pPr>
              <w:jc w:val="center"/>
              <w:ind w:left="1765"/>
              <w:spacing w:after="0"/>
              <w:rPr>
                <w:sz w:val="20"/>
                <w:szCs w:val="20"/>
                <w:color w:val="auto"/>
              </w:rPr>
            </w:pPr>
            <w:r>
              <w:rPr>
                <w:rFonts w:ascii="Arial" w:cs="Arial" w:eastAsia="Arial" w:hAnsi="Arial"/>
                <w:sz w:val="15"/>
                <w:szCs w:val="15"/>
                <w:b w:val="1"/>
                <w:bCs w:val="1"/>
                <w:color w:val="auto"/>
                <w:w w:val="96"/>
              </w:rPr>
              <w:t>NN, Inc.</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4560" w:type="dxa"/>
            <w:vAlign w:val="bottom"/>
            <w:gridSpan w:val="6"/>
          </w:tcPr>
          <w:p>
            <w:pPr>
              <w:jc w:val="center"/>
              <w:ind w:left="265"/>
              <w:spacing w:after="0"/>
              <w:rPr>
                <w:sz w:val="20"/>
                <w:szCs w:val="20"/>
                <w:color w:val="auto"/>
              </w:rPr>
            </w:pPr>
            <w:r>
              <w:rPr>
                <w:rFonts w:ascii="Arial" w:cs="Arial" w:eastAsia="Arial" w:hAnsi="Arial"/>
                <w:sz w:val="15"/>
                <w:szCs w:val="15"/>
                <w:b w:val="1"/>
                <w:bCs w:val="1"/>
                <w:color w:val="auto"/>
                <w:w w:val="88"/>
              </w:rPr>
              <w:t>Consolidated Statements of Income and Comprehensive Income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60" w:type="dxa"/>
            <w:vAlign w:val="bottom"/>
            <w:gridSpan w:val="3"/>
          </w:tcPr>
          <w:p>
            <w:pPr>
              <w:jc w:val="center"/>
              <w:ind w:left="1765"/>
              <w:spacing w:after="0"/>
              <w:rPr>
                <w:sz w:val="20"/>
                <w:szCs w:val="20"/>
                <w:color w:val="auto"/>
              </w:rPr>
            </w:pPr>
            <w:r>
              <w:rPr>
                <w:rFonts w:ascii="Arial" w:cs="Arial" w:eastAsia="Arial" w:hAnsi="Arial"/>
                <w:sz w:val="15"/>
                <w:szCs w:val="15"/>
                <w:b w:val="1"/>
                <w:bCs w:val="1"/>
                <w:color w:val="auto"/>
                <w:w w:val="93"/>
              </w:rPr>
              <w:t>(Unaudited)</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38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90"/>
              </w:rPr>
              <w:t>Six Months Ended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right"/>
              <w:ind w:right="132"/>
              <w:spacing w:after="0"/>
              <w:rPr>
                <w:sz w:val="20"/>
                <w:szCs w:val="20"/>
                <w:color w:val="auto"/>
              </w:rPr>
            </w:pPr>
            <w:r>
              <w:rPr>
                <w:rFonts w:ascii="Arial" w:cs="Arial" w:eastAsia="Arial" w:hAnsi="Arial"/>
                <w:sz w:val="15"/>
                <w:szCs w:val="15"/>
                <w:b w:val="1"/>
                <w:bCs w:val="1"/>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center"/>
              <w:ind w:left="545"/>
              <w:spacing w:after="0"/>
              <w:rPr>
                <w:sz w:val="20"/>
                <w:szCs w:val="20"/>
                <w:color w:val="auto"/>
              </w:rPr>
            </w:pPr>
            <w:r>
              <w:rPr>
                <w:rFonts w:ascii="Arial" w:cs="Arial" w:eastAsia="Arial" w:hAnsi="Arial"/>
                <w:sz w:val="15"/>
                <w:szCs w:val="15"/>
                <w:b w:val="1"/>
                <w:bCs w:val="1"/>
                <w:color w:val="auto"/>
                <w:w w:val="86"/>
              </w:rPr>
              <w:t>June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80" w:type="dxa"/>
            <w:vAlign w:val="bottom"/>
            <w:vMerge w:val="restart"/>
          </w:tcPr>
          <w:p>
            <w:pPr>
              <w:jc w:val="right"/>
              <w:ind w:right="625"/>
              <w:spacing w:after="0"/>
              <w:rPr>
                <w:sz w:val="20"/>
                <w:szCs w:val="20"/>
                <w:color w:val="auto"/>
              </w:rPr>
            </w:pPr>
            <w:r>
              <w:rPr>
                <w:rFonts w:ascii="Arial" w:cs="Arial" w:eastAsia="Arial" w:hAnsi="Arial"/>
                <w:sz w:val="15"/>
                <w:szCs w:val="15"/>
                <w:b w:val="1"/>
                <w:bCs w:val="1"/>
                <w:color w:val="auto"/>
              </w:rPr>
              <w:t>&amp;# 160;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right"/>
              <w:ind w:right="52"/>
              <w:spacing w:after="0"/>
              <w:rPr>
                <w:sz w:val="20"/>
                <w:szCs w:val="20"/>
                <w:color w:val="auto"/>
              </w:rPr>
            </w:pPr>
            <w:r>
              <w:rPr>
                <w:rFonts w:ascii="Arial" w:cs="Arial" w:eastAsia="Arial" w:hAnsi="Arial"/>
                <w:sz w:val="15"/>
                <w:szCs w:val="15"/>
                <w:b w:val="1"/>
                <w:bCs w:val="1"/>
                <w:color w:val="auto"/>
              </w:rPr>
              <w:t>As restated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565"/>
              <w:spacing w:after="0"/>
              <w:rPr>
                <w:sz w:val="20"/>
                <w:szCs w:val="20"/>
                <w:color w:val="auto"/>
              </w:rPr>
            </w:pPr>
            <w:r>
              <w:rPr>
                <w:rFonts w:ascii="Arial" w:cs="Arial" w:eastAsia="Arial" w:hAnsi="Arial"/>
                <w:sz w:val="15"/>
                <w:szCs w:val="15"/>
                <w:b w:val="1"/>
                <w:bCs w:val="1"/>
                <w:color w:val="auto"/>
                <w:w w:val="85"/>
              </w:rPr>
              <w:t>As restated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80" w:type="dxa"/>
            <w:vAlign w:val="bottom"/>
            <w:gridSpan w:val="2"/>
            <w:vMerge w:val="restart"/>
          </w:tcPr>
          <w:p>
            <w:pPr>
              <w:spacing w:after="0"/>
              <w:rPr>
                <w:sz w:val="20"/>
                <w:szCs w:val="20"/>
                <w:color w:val="auto"/>
              </w:rPr>
            </w:pPr>
            <w:r>
              <w:rPr>
                <w:rFonts w:ascii="Arial" w:cs="Arial" w:eastAsia="Arial" w:hAnsi="Arial"/>
                <w:sz w:val="15"/>
                <w:szCs w:val="15"/>
                <w:color w:val="auto"/>
              </w:rPr>
              <w:t>(Thousands of Dollars, Except Per Share Data)</w:t>
            </w:r>
          </w:p>
        </w:tc>
        <w:tc>
          <w:tcPr>
            <w:tcW w:w="2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345"/>
              <w:spacing w:after="0"/>
              <w:rPr>
                <w:sz w:val="20"/>
                <w:szCs w:val="20"/>
                <w:color w:val="auto"/>
              </w:rPr>
            </w:pPr>
            <w:r>
              <w:rPr>
                <w:rFonts w:ascii="Arial" w:cs="Arial" w:eastAsia="Arial" w:hAnsi="Arial"/>
                <w:sz w:val="15"/>
                <w:szCs w:val="15"/>
                <w:b w:val="1"/>
                <w:bCs w:val="1"/>
                <w:color w:val="auto"/>
              </w:rPr>
              <w:t>2007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restart"/>
          </w:tcPr>
          <w:p>
            <w:pPr>
              <w:jc w:val="right"/>
              <w:ind w:right="345"/>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345"/>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right"/>
              <w:ind w:right="325"/>
              <w:spacing w:after="0"/>
              <w:rPr>
                <w:sz w:val="20"/>
                <w:szCs w:val="20"/>
                <w:color w:val="auto"/>
              </w:rPr>
            </w:pPr>
            <w:r>
              <w:rPr>
                <w:rFonts w:ascii="Arial" w:cs="Arial" w:eastAsia="Arial" w:hAnsi="Arial"/>
                <w:sz w:val="15"/>
                <w:szCs w:val="15"/>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80" w:type="dxa"/>
            <w:vAlign w:val="bottom"/>
            <w:gridSpan w:val="2"/>
            <w:vMerge w:val="continue"/>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6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107,302</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83,554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215,246</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169,571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line="169" w:lineRule="exact"/>
              <w:rPr>
                <w:sz w:val="20"/>
                <w:szCs w:val="20"/>
                <w:color w:val="auto"/>
              </w:rPr>
            </w:pPr>
            <w:r>
              <w:rPr>
                <w:rFonts w:ascii="Arial" w:cs="Arial" w:eastAsia="Arial" w:hAnsi="Arial"/>
                <w:sz w:val="15"/>
                <w:szCs w:val="15"/>
                <w:color w:val="auto"/>
              </w:rPr>
              <w:t>Cost of products sold (exclusive of depreciation</w:t>
            </w: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tcPr>
          <w:p>
            <w:pPr>
              <w:ind w:left="140"/>
              <w:spacing w:after="0"/>
              <w:rPr>
                <w:sz w:val="20"/>
                <w:szCs w:val="20"/>
                <w:color w:val="auto"/>
              </w:rPr>
            </w:pPr>
            <w:r>
              <w:rPr>
                <w:rFonts w:ascii="Arial" w:cs="Arial" w:eastAsia="Arial" w:hAnsi="Arial"/>
                <w:sz w:val="15"/>
                <w:szCs w:val="15"/>
                <w:color w:val="auto"/>
              </w:rPr>
              <w:t>and amortization shown separately below)</w:t>
            </w: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85,929</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64,905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171,010</w:t>
            </w: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130,904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9,558</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7,063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18,983</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14,744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5,658</w:t>
            </w: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4,425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11,180</w:t>
            </w:r>
          </w:p>
        </w:tc>
        <w:tc>
          <w:tcPr>
            <w:tcW w:w="3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8,587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impairment charges</w:t>
            </w: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13,336</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13,336</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(Gain) loss on disposal of assets</w:t>
            </w: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(6)</w:t>
            </w: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(11)</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(726)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Income (loss) from operations</w:t>
            </w: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(7,173)</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7,157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748</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16,062</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1,630</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3,325</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2,007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(22)</w:t>
            </w: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449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w:t>
            </w:r>
          </w:p>
        </w:tc>
        <w:tc>
          <w:tcPr>
            <w:tcW w:w="3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for income taxes</w:t>
            </w: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(8,781)</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5,687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(2,580)</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13,815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1,584</w:t>
            </w: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2,234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4,030</w:t>
            </w:r>
          </w:p>
        </w:tc>
        <w:tc>
          <w:tcPr>
            <w:tcW w:w="3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5,100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(loss)</w:t>
            </w: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(10,365)</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3,453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(6,610)</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8,715</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w:t>
            </w: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tcPr>
          <w:p>
            <w:pPr>
              <w:ind w:left="180"/>
              <w:spacing w:after="0"/>
              <w:rPr>
                <w:sz w:val="20"/>
                <w:szCs w:val="20"/>
                <w:color w:val="auto"/>
              </w:rPr>
            </w:pPr>
            <w:r>
              <w:rPr>
                <w:rFonts w:ascii="Arial" w:cs="Arial" w:eastAsia="Arial" w:hAnsi="Arial"/>
                <w:sz w:val="15"/>
                <w:szCs w:val="15"/>
                <w:color w:val="auto"/>
              </w:rPr>
              <w:t>Foreign currency translation gain</w:t>
            </w: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1,351</w:t>
            </w: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5,414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3,427</w:t>
            </w:r>
          </w:p>
        </w:tc>
        <w:tc>
          <w:tcPr>
            <w:tcW w:w="3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7,644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Comprehensive income</w:t>
            </w:r>
          </w:p>
        </w:tc>
        <w:tc>
          <w:tcPr>
            <w:tcW w:w="30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(9,014)</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8,867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(3,183)</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16,359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26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Basic income (loss) per common share:</w:t>
            </w:r>
          </w:p>
        </w:tc>
        <w:tc>
          <w:tcPr>
            <w:tcW w:w="30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(0.62)</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(0.39)</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26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60" w:type="dxa"/>
            <w:vAlign w:val="bottom"/>
            <w:shd w:val="clear" w:color="auto" w:fill="CCEEFF"/>
          </w:tcPr>
          <w:p>
            <w:pPr>
              <w:ind w:left="60"/>
              <w:spacing w:after="0"/>
              <w:rPr>
                <w:sz w:val="20"/>
                <w:szCs w:val="20"/>
                <w:color w:val="auto"/>
              </w:rPr>
            </w:pPr>
            <w:r>
              <w:rPr>
                <w:rFonts w:ascii="Arial" w:cs="Arial" w:eastAsia="Arial" w:hAnsi="Arial"/>
                <w:sz w:val="15"/>
                <w:szCs w:val="15"/>
                <w:color w:val="auto"/>
              </w:rPr>
              <w:t>Weighted average shares outstanding</w:t>
            </w:r>
          </w:p>
        </w:tc>
        <w:tc>
          <w:tcPr>
            <w:tcW w:w="2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16,815</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16,814</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17,153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26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Diluted income (loss) per common share:</w:t>
            </w:r>
          </w:p>
        </w:tc>
        <w:tc>
          <w:tcPr>
            <w:tcW w:w="30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(0.61)</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0.20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(0.39)</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0.50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26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60" w:type="dxa"/>
            <w:vAlign w:val="bottom"/>
            <w:shd w:val="clear" w:color="auto" w:fill="CCEEFF"/>
          </w:tcPr>
          <w:p>
            <w:pPr>
              <w:ind w:left="60"/>
              <w:spacing w:after="0"/>
              <w:rPr>
                <w:sz w:val="20"/>
                <w:szCs w:val="20"/>
                <w:color w:val="auto"/>
              </w:rPr>
            </w:pPr>
            <w:r>
              <w:rPr>
                <w:rFonts w:ascii="Arial" w:cs="Arial" w:eastAsia="Arial" w:hAnsi="Arial"/>
                <w:sz w:val="15"/>
                <w:szCs w:val="15"/>
                <w:color w:val="auto"/>
              </w:rPr>
              <w:t>Weighted average shares outstanding</w:t>
            </w:r>
          </w:p>
        </w:tc>
        <w:tc>
          <w:tcPr>
            <w:tcW w:w="2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17,028</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17,031</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17,365</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3260" w:type="dxa"/>
            <w:vAlign w:val="bottom"/>
            <w:tcBorders>
              <w:top w:val="single" w:sz="8" w:color="CCEEFF"/>
            </w:tcBorders>
          </w:tcPr>
          <w:p>
            <w:pPr>
              <w:spacing w:after="0"/>
              <w:rPr>
                <w:sz w:val="14"/>
                <w:szCs w:val="14"/>
                <w:color w:val="auto"/>
              </w:rPr>
            </w:pPr>
          </w:p>
        </w:tc>
        <w:tc>
          <w:tcPr>
            <w:tcW w:w="26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Cash dividends per common share</w:t>
            </w:r>
          </w:p>
        </w:tc>
        <w:tc>
          <w:tcPr>
            <w:tcW w:w="30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0.08</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0.16</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450"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9"/>
              </w:rPr>
              <w:t>June 30,</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December 31,</w:t>
            </w:r>
          </w:p>
        </w:tc>
        <w:tc>
          <w:tcPr>
            <w:tcW w:w="0" w:type="dxa"/>
            <w:vAlign w:val="bottom"/>
          </w:tcPr>
          <w:p>
            <w:pPr>
              <w:spacing w:after="0"/>
              <w:rPr>
                <w:sz w:val="1"/>
                <w:szCs w:val="1"/>
                <w:color w:val="auto"/>
              </w:rPr>
            </w:pPr>
          </w:p>
        </w:tc>
      </w:tr>
      <w:tr>
        <w:trPr>
          <w:trHeight w:val="196"/>
        </w:trPr>
        <w:tc>
          <w:tcPr>
            <w:tcW w:w="8720" w:type="dxa"/>
            <w:vAlign w:val="bottom"/>
            <w:gridSpan w:val="2"/>
          </w:tcPr>
          <w:p>
            <w:pPr>
              <w:spacing w:after="0"/>
              <w:rPr>
                <w:sz w:val="20"/>
                <w:szCs w:val="20"/>
                <w:color w:val="auto"/>
              </w:rPr>
            </w:pPr>
            <w:r>
              <w:rPr>
                <w:rFonts w:ascii="Arial" w:cs="Arial" w:eastAsia="Arial" w:hAnsi="Arial"/>
                <w:sz w:val="15"/>
                <w:szCs w:val="15"/>
                <w:color w:val="auto"/>
              </w:rPr>
              <w:t>(Thousands of Dollars)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105"/>
              <w:spacing w:after="0"/>
              <w:rPr>
                <w:sz w:val="20"/>
                <w:szCs w:val="20"/>
                <w:color w:val="auto"/>
              </w:rPr>
            </w:pPr>
            <w:r>
              <w:rPr>
                <w:rFonts w:ascii="Arial" w:cs="Arial" w:eastAsia="Arial" w:hAnsi="Arial"/>
                <w:sz w:val="15"/>
                <w:szCs w:val="15"/>
                <w:b w:val="1"/>
                <w:bCs w:val="1"/>
                <w:color w:val="auto"/>
                <w:w w:val="89"/>
              </w:rPr>
              <w:t>2007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25"/>
              <w:spacing w:after="0"/>
              <w:rPr>
                <w:sz w:val="20"/>
                <w:szCs w:val="20"/>
                <w:color w:val="auto"/>
              </w:rPr>
            </w:pPr>
            <w:r>
              <w:rPr>
                <w:rFonts w:ascii="Arial" w:cs="Arial" w:eastAsia="Arial" w:hAnsi="Arial"/>
                <w:sz w:val="15"/>
                <w:szCs w:val="15"/>
                <w:b w:val="1"/>
                <w:bCs w:val="1"/>
                <w:color w:val="auto"/>
              </w:rPr>
              <w:t>2006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center"/>
              <w:ind w:right="105"/>
              <w:spacing w:after="0"/>
              <w:rPr>
                <w:sz w:val="20"/>
                <w:szCs w:val="20"/>
                <w:color w:val="auto"/>
              </w:rPr>
            </w:pPr>
            <w:r>
              <w:rPr>
                <w:rFonts w:ascii="Arial" w:cs="Arial" w:eastAsia="Arial" w:hAnsi="Arial"/>
                <w:sz w:val="15"/>
                <w:szCs w:val="15"/>
                <w:color w:val="auto"/>
                <w:w w:val="86"/>
              </w:rPr>
              <w:t>As restated</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Assets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Cash and cash equivalents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11,681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tcPr>
          <w:p>
            <w:pPr>
              <w:ind w:left="60"/>
              <w:spacing w:after="0" w:line="169" w:lineRule="exact"/>
              <w:rPr>
                <w:sz w:val="20"/>
                <w:szCs w:val="20"/>
                <w:color w:val="auto"/>
              </w:rPr>
            </w:pPr>
            <w:r>
              <w:rPr>
                <w:rFonts w:ascii="Arial" w:cs="Arial" w:eastAsia="Arial" w:hAnsi="Arial"/>
                <w:sz w:val="15"/>
                <w:szCs w:val="15"/>
                <w:color w:val="auto"/>
              </w:rPr>
              <w:t>Accounts receivable, net of allowances of $1,315 and $1,278,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00" w:type="dxa"/>
            <w:vAlign w:val="bottom"/>
          </w:tcPr>
          <w:p>
            <w:pPr>
              <w:ind w:left="220"/>
              <w:spacing w:after="0"/>
              <w:rPr>
                <w:sz w:val="20"/>
                <w:szCs w:val="20"/>
                <w:color w:val="auto"/>
              </w:rPr>
            </w:pPr>
            <w:r>
              <w:rPr>
                <w:rFonts w:ascii="Arial" w:cs="Arial" w:eastAsia="Arial" w:hAnsi="Arial"/>
                <w:sz w:val="15"/>
                <w:szCs w:val="15"/>
                <w:color w:val="auto"/>
              </w:rPr>
              <w:t>respectively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74,267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63,442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Inventories, net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45,273</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43,538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auto"/>
              </w:rPr>
              <w:t>Other 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8,448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7,203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assets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140,808</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125,864</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152,369</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156,447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spacing w:after="0"/>
              <w:rPr>
                <w:sz w:val="20"/>
                <w:szCs w:val="20"/>
                <w:color w:val="auto"/>
              </w:rPr>
            </w:pPr>
            <w:r>
              <w:rPr>
                <w:rFonts w:ascii="Arial" w:cs="Arial" w:eastAsia="Arial" w:hAnsi="Arial"/>
                <w:sz w:val="15"/>
                <w:szCs w:val="15"/>
                <w:color w:val="auto"/>
              </w:rPr>
              <w:t>Goodwill, net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36,523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46,147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9,737</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10,131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4,404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4,112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assets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343,841</w:t>
            </w:r>
          </w:p>
        </w:tc>
        <w:tc>
          <w:tcPr>
            <w:tcW w:w="2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342,701</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87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Liabilities and Stockholders’ Equity</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spacing w:after="0"/>
              <w:rPr>
                <w:sz w:val="20"/>
                <w:szCs w:val="20"/>
                <w:color w:val="auto"/>
              </w:rPr>
            </w:pPr>
            <w:r>
              <w:rPr>
                <w:rFonts w:ascii="Arial" w:cs="Arial" w:eastAsia="Arial" w:hAnsi="Arial"/>
                <w:sz w:val="15"/>
                <w:szCs w:val="15"/>
                <w:color w:val="auto"/>
              </w:rPr>
              <w:t>Current liabilities: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Accounts payable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49,782</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52,576</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auto"/>
              </w:rPr>
              <w:t>Accrued salaries, wages and benefits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14,886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13,519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Income taxes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ind w:left="60"/>
              <w:spacing w:after="0"/>
              <w:rPr>
                <w:sz w:val="20"/>
                <w:szCs w:val="20"/>
                <w:color w:val="auto"/>
              </w:rPr>
            </w:pPr>
            <w:r>
              <w:rPr>
                <w:rFonts w:ascii="Arial" w:cs="Arial" w:eastAsia="Arial" w:hAnsi="Arial"/>
                <w:sz w:val="15"/>
                <w:szCs w:val="15"/>
                <w:color w:val="auto"/>
              </w:rPr>
              <w:t>Current maturities of long-term debt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9,054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5"/>
                <w:szCs w:val="15"/>
                <w:color w:val="auto"/>
              </w:rPr>
              <w:t>Other current liabilities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8,168</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7,829</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ind w:left="180"/>
              <w:spacing w:after="0"/>
              <w:rPr>
                <w:sz w:val="20"/>
                <w:szCs w:val="20"/>
                <w:color w:val="auto"/>
              </w:rPr>
            </w:pPr>
            <w:r>
              <w:rPr>
                <w:rFonts w:ascii="Arial" w:cs="Arial" w:eastAsia="Arial" w:hAnsi="Arial"/>
                <w:sz w:val="15"/>
                <w:szCs w:val="15"/>
                <w:color w:val="auto"/>
              </w:rPr>
              <w:t>Total current liabilities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82,720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74,869</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00" w:type="dxa"/>
            <w:vAlign w:val="bottom"/>
          </w:tcPr>
          <w:p>
            <w:pPr>
              <w:spacing w:after="0"/>
              <w:rPr>
                <w:sz w:val="20"/>
                <w:szCs w:val="20"/>
                <w:color w:val="auto"/>
              </w:rPr>
            </w:pPr>
            <w:r>
              <w:rPr>
                <w:rFonts w:ascii="Arial" w:cs="Arial" w:eastAsia="Arial" w:hAnsi="Arial"/>
                <w:sz w:val="15"/>
                <w:szCs w:val="15"/>
                <w:color w:val="auto"/>
              </w:rPr>
              <w:t>Non-current deferred tax liability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16,926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16,334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Long-term debt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97,493</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80,711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spacing w:after="0"/>
              <w:rPr>
                <w:sz w:val="20"/>
                <w:szCs w:val="20"/>
                <w:color w:val="auto"/>
              </w:rPr>
            </w:pPr>
            <w:r>
              <w:rPr>
                <w:rFonts w:ascii="Arial" w:cs="Arial" w:eastAsia="Arial" w:hAnsi="Arial"/>
                <w:sz w:val="15"/>
                <w:szCs w:val="15"/>
                <w:color w:val="auto"/>
              </w:rPr>
              <w:t>Related party debt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2,667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21,305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5"/>
                <w:szCs w:val="15"/>
                <w:color w:val="auto"/>
              </w:rPr>
              <w:t>Accrued pension and other</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16,685</w:t>
            </w: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16,313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8700" w:type="dxa"/>
            <w:vAlign w:val="bottom"/>
          </w:tcPr>
          <w:p>
            <w:pPr>
              <w:ind w:left="180"/>
              <w:spacing w:after="0"/>
              <w:rPr>
                <w:sz w:val="20"/>
                <w:szCs w:val="20"/>
                <w:color w:val="auto"/>
              </w:rPr>
            </w:pPr>
            <w:r>
              <w:rPr>
                <w:rFonts w:ascii="Arial" w:cs="Arial" w:eastAsia="Arial" w:hAnsi="Arial"/>
                <w:sz w:val="15"/>
                <w:szCs w:val="15"/>
                <w:color w:val="auto"/>
              </w:rPr>
              <w:t>Total liabilities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216,491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209,532</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70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127,350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133,169</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00" w:type="dxa"/>
            <w:vAlign w:val="bottom"/>
          </w:tcPr>
          <w:p>
            <w:pPr>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343,841</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342,701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450"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w w:val="90"/>
              </w:rPr>
              <w:t>Common Stock</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Other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Number</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Retained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Comprehen-</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5"/>
              </w:rPr>
              <w:t>Of</w:t>
            </w:r>
          </w:p>
        </w:tc>
        <w:tc>
          <w:tcPr>
            <w:tcW w:w="12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Par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Paid in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Earnings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2"/>
              </w:rPr>
              <w:t>sive</w:t>
            </w:r>
          </w:p>
        </w:tc>
        <w:tc>
          <w:tcPr>
            <w:tcW w:w="12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Pr>
          <w:p>
            <w:pPr>
              <w:ind w:left="580"/>
              <w:spacing w:after="0"/>
              <w:rPr>
                <w:sz w:val="20"/>
                <w:szCs w:val="20"/>
                <w:color w:val="auto"/>
              </w:rPr>
            </w:pPr>
            <w:r>
              <w:rPr>
                <w:rFonts w:ascii="Arial" w:cs="Arial" w:eastAsia="Arial" w:hAnsi="Arial"/>
                <w:sz w:val="15"/>
                <w:szCs w:val="15"/>
                <w:b w:val="1"/>
                <w:bCs w:val="1"/>
                <w:color w:val="auto"/>
              </w:rPr>
              <w:t>(Thousands of Dollars and Shares)</w:t>
            </w:r>
          </w:p>
        </w:tc>
        <w:tc>
          <w:tcPr>
            <w:tcW w:w="13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7"/>
              </w:rPr>
              <w:t>Shares</w:t>
            </w:r>
          </w:p>
        </w:tc>
        <w:tc>
          <w:tcPr>
            <w:tcW w:w="12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Capital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As restated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Income</w:t>
            </w:r>
          </w:p>
        </w:tc>
        <w:tc>
          <w:tcPr>
            <w:tcW w:w="12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0"/>
              </w:rPr>
              <w:t>As restated</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3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January 1, 2007</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16,842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53,473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64,178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15,349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133,169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5"/>
                <w:szCs w:val="15"/>
                <w:color w:val="auto"/>
              </w:rPr>
              <w:t>Shares issued</w:t>
            </w:r>
          </w:p>
        </w:tc>
        <w:tc>
          <w:tcPr>
            <w:tcW w:w="1100" w:type="dxa"/>
            <w:vAlign w:val="bottom"/>
          </w:tcPr>
          <w:p>
            <w:pPr>
              <w:jc w:val="right"/>
              <w:spacing w:after="0"/>
              <w:rPr>
                <w:sz w:val="20"/>
                <w:szCs w:val="20"/>
                <w:color w:val="auto"/>
              </w:rPr>
            </w:pPr>
            <w:r>
              <w:rPr>
                <w:rFonts w:ascii="Arial" w:cs="Arial" w:eastAsia="Arial" w:hAnsi="Arial"/>
                <w:sz w:val="15"/>
                <w:szCs w:val="15"/>
                <w:color w:val="auto"/>
              </w:rPr>
              <w:t>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292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as restated</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(6,610)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80" w:type="dxa"/>
            <w:vAlign w:val="bottom"/>
          </w:tcPr>
          <w:p>
            <w:pPr>
              <w:spacing w:after="0" w:line="169" w:lineRule="exact"/>
              <w:rPr>
                <w:sz w:val="20"/>
                <w:szCs w:val="20"/>
                <w:color w:val="auto"/>
              </w:rPr>
            </w:pPr>
            <w:r>
              <w:rPr>
                <w:rFonts w:ascii="Arial" w:cs="Arial" w:eastAsia="Arial" w:hAnsi="Arial"/>
                <w:sz w:val="15"/>
                <w:szCs w:val="15"/>
                <w:color w:val="auto"/>
              </w:rPr>
              <w:t>Amortization of restricted stock</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ind w:left="140"/>
              <w:spacing w:after="0"/>
              <w:rPr>
                <w:sz w:val="20"/>
                <w:szCs w:val="20"/>
                <w:color w:val="auto"/>
              </w:rPr>
            </w:pPr>
            <w:r>
              <w:rPr>
                <w:rFonts w:ascii="Arial" w:cs="Arial" w:eastAsia="Arial" w:hAnsi="Arial"/>
                <w:sz w:val="15"/>
                <w:szCs w:val="15"/>
                <w:color w:val="auto"/>
              </w:rPr>
              <w:t>Award</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Forfeiture of restricted stock</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5"/>
                <w:szCs w:val="15"/>
                <w:color w:val="auto"/>
              </w:rPr>
              <w:t>Stock option expense</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315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Dividends declared</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(2,696)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80" w:type="dxa"/>
            <w:vAlign w:val="bottom"/>
          </w:tcPr>
          <w:p>
            <w:pPr>
              <w:spacing w:after="0" w:line="169" w:lineRule="exact"/>
              <w:rPr>
                <w:sz w:val="20"/>
                <w:szCs w:val="20"/>
                <w:color w:val="auto"/>
              </w:rPr>
            </w:pPr>
            <w:r>
              <w:rPr>
                <w:rFonts w:ascii="Arial" w:cs="Arial" w:eastAsia="Arial" w:hAnsi="Arial"/>
                <w:sz w:val="15"/>
                <w:szCs w:val="15"/>
                <w:color w:val="auto"/>
              </w:rPr>
              <w:t>Cumulative effect of adoption of</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ind w:left="140"/>
              <w:spacing w:after="0"/>
              <w:rPr>
                <w:sz w:val="20"/>
                <w:szCs w:val="20"/>
                <w:color w:val="auto"/>
              </w:rPr>
            </w:pPr>
            <w:r>
              <w:rPr>
                <w:rFonts w:ascii="Arial" w:cs="Arial" w:eastAsia="Arial" w:hAnsi="Arial"/>
                <w:sz w:val="15"/>
                <w:szCs w:val="15"/>
                <w:color w:val="auto"/>
              </w:rPr>
              <w:t>FIN 48</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(600)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Cumulative translation gain</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38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5"/>
                <w:szCs w:val="15"/>
                <w:color w:val="auto"/>
              </w:rPr>
              <w:t>Balance, June 30, 2007</w:t>
            </w:r>
          </w:p>
        </w:tc>
        <w:tc>
          <w:tcPr>
            <w:tcW w:w="1100" w:type="dxa"/>
            <w:vAlign w:val="bottom"/>
          </w:tcPr>
          <w:p>
            <w:pPr>
              <w:jc w:val="right"/>
              <w:spacing w:after="0"/>
              <w:rPr>
                <w:sz w:val="20"/>
                <w:szCs w:val="20"/>
                <w:color w:val="auto"/>
              </w:rPr>
            </w:pPr>
            <w:r>
              <w:rPr>
                <w:rFonts w:ascii="Arial" w:cs="Arial" w:eastAsia="Arial" w:hAnsi="Arial"/>
                <w:sz w:val="15"/>
                <w:szCs w:val="15"/>
                <w:color w:val="auto"/>
              </w:rPr>
              <w:t>16,863</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169</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54,133</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54,272</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18,776</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127,350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450"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980" w:type="dxa"/>
            <w:vAlign w:val="bottom"/>
            <w:gridSpan w:val="3"/>
          </w:tcPr>
          <w:p>
            <w:pPr>
              <w:jc w:val="center"/>
              <w:ind w:left="685"/>
              <w:spacing w:after="0"/>
              <w:rPr>
                <w:sz w:val="20"/>
                <w:szCs w:val="20"/>
                <w:color w:val="auto"/>
              </w:rPr>
            </w:pPr>
            <w:r>
              <w:rPr>
                <w:rFonts w:ascii="Arial" w:cs="Arial" w:eastAsia="Arial" w:hAnsi="Arial"/>
                <w:sz w:val="15"/>
                <w:szCs w:val="15"/>
                <w:b w:val="1"/>
                <w:bCs w:val="1"/>
                <w:color w:val="auto"/>
                <w:w w:val="90"/>
              </w:rPr>
              <w:t>Six Months Ended</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980" w:type="dxa"/>
            <w:vAlign w:val="bottom"/>
            <w:gridSpan w:val="3"/>
          </w:tcPr>
          <w:p>
            <w:pPr>
              <w:jc w:val="center"/>
              <w:ind w:left="665"/>
              <w:spacing w:after="0"/>
              <w:rPr>
                <w:sz w:val="20"/>
                <w:szCs w:val="20"/>
                <w:color w:val="auto"/>
              </w:rPr>
            </w:pPr>
            <w:r>
              <w:rPr>
                <w:rFonts w:ascii="Arial" w:cs="Arial" w:eastAsia="Arial" w:hAnsi="Arial"/>
                <w:sz w:val="15"/>
                <w:szCs w:val="15"/>
                <w:b w:val="1"/>
                <w:bCs w:val="1"/>
                <w:color w:val="auto"/>
                <w:w w:val="86"/>
              </w:rPr>
              <w:t>June 30,</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740" w:type="dxa"/>
            <w:vAlign w:val="bottom"/>
            <w:gridSpan w:val="2"/>
          </w:tcPr>
          <w:p>
            <w:pPr>
              <w:spacing w:after="0"/>
              <w:rPr>
                <w:sz w:val="20"/>
                <w:szCs w:val="20"/>
                <w:color w:val="auto"/>
              </w:rPr>
            </w:pPr>
            <w:r>
              <w:rPr>
                <w:rFonts w:ascii="Arial" w:cs="Arial" w:eastAsia="Arial" w:hAnsi="Arial"/>
                <w:sz w:val="15"/>
                <w:szCs w:val="15"/>
                <w:color w:val="auto"/>
              </w:rPr>
              <w:t>(Thousands of Dollars)</w:t>
            </w:r>
          </w:p>
        </w:tc>
        <w:tc>
          <w:tcPr>
            <w:tcW w:w="1280" w:type="dxa"/>
            <w:vAlign w:val="bottom"/>
          </w:tcPr>
          <w:p>
            <w:pPr>
              <w:jc w:val="right"/>
              <w:ind w:right="405"/>
              <w:spacing w:after="0"/>
              <w:rPr>
                <w:sz w:val="20"/>
                <w:szCs w:val="20"/>
                <w:color w:val="auto"/>
              </w:rPr>
            </w:pPr>
            <w:r>
              <w:rPr>
                <w:rFonts w:ascii="Arial" w:cs="Arial" w:eastAsia="Arial" w:hAnsi="Arial"/>
                <w:sz w:val="15"/>
                <w:szCs w:val="15"/>
                <w:b w:val="1"/>
                <w:bCs w:val="1"/>
                <w:color w:val="auto"/>
              </w:rPr>
              <w:t>2007</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gridSpan w:val="2"/>
          </w:tcPr>
          <w:p>
            <w:pPr>
              <w:jc w:val="right"/>
              <w:ind w:right="345"/>
              <w:spacing w:after="0"/>
              <w:rPr>
                <w:sz w:val="20"/>
                <w:szCs w:val="20"/>
                <w:color w:val="auto"/>
              </w:rPr>
            </w:pPr>
            <w:r>
              <w:rPr>
                <w:rFonts w:ascii="Arial" w:cs="Arial" w:eastAsia="Arial" w:hAnsi="Arial"/>
                <w:sz w:val="15"/>
                <w:szCs w:val="15"/>
                <w:b w:val="1"/>
                <w:bCs w:val="1"/>
                <w:color w:val="auto"/>
                <w:w w:val="89"/>
              </w:rPr>
              <w:t>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720" w:type="dxa"/>
            <w:vAlign w:val="bottom"/>
            <w:tcBorders>
              <w:top w:val="single" w:sz="8" w:color="auto"/>
              <w:bottom w:val="single" w:sz="8" w:color="auto"/>
            </w:tcBorders>
          </w:tcPr>
          <w:p>
            <w:pPr>
              <w:spacing w:after="0"/>
              <w:rPr>
                <w:sz w:val="15"/>
                <w:szCs w:val="15"/>
                <w:color w:val="auto"/>
              </w:rPr>
            </w:pPr>
          </w:p>
        </w:tc>
        <w:tc>
          <w:tcPr>
            <w:tcW w:w="1980" w:type="dxa"/>
            <w:vAlign w:val="bottom"/>
            <w:tcBorders>
              <w:top w:val="single" w:sz="8" w:color="auto"/>
              <w:bottom w:val="single" w:sz="8" w:color="auto"/>
            </w:tcBorders>
            <w:gridSpan w:val="3"/>
          </w:tcPr>
          <w:p>
            <w:pPr>
              <w:ind w:left="620"/>
              <w:spacing w:after="0"/>
              <w:rPr>
                <w:sz w:val="20"/>
                <w:szCs w:val="20"/>
                <w:color w:val="auto"/>
              </w:rPr>
            </w:pPr>
            <w:r>
              <w:rPr>
                <w:rFonts w:ascii="Arial" w:cs="Arial" w:eastAsia="Arial" w:hAnsi="Arial"/>
                <w:sz w:val="15"/>
                <w:szCs w:val="15"/>
                <w:color w:val="auto"/>
              </w:rPr>
              <w:t>As restated</w:t>
            </w:r>
          </w:p>
        </w:tc>
        <w:tc>
          <w:tcPr>
            <w:tcW w:w="3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60"/>
              <w:spacing w:after="0"/>
              <w:rPr>
                <w:sz w:val="20"/>
                <w:szCs w:val="20"/>
                <w:color w:val="auto"/>
              </w:rPr>
            </w:pPr>
            <w:r>
              <w:rPr>
                <w:rFonts w:ascii="Arial" w:cs="Arial" w:eastAsia="Arial" w:hAnsi="Arial"/>
                <w:sz w:val="15"/>
                <w:szCs w:val="15"/>
                <w:color w:val="auto"/>
              </w:rPr>
              <w:t>Net income (loss)</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  (6,610)</w:t>
            </w:r>
          </w:p>
        </w:tc>
        <w:tc>
          <w:tcPr>
            <w:tcW w:w="4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8,715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20" w:type="dxa"/>
            <w:vAlign w:val="bottom"/>
            <w:shd w:val="clear" w:color="auto" w:fill="CCEEFF"/>
          </w:tcPr>
          <w:p>
            <w:pPr>
              <w:ind w:left="60"/>
              <w:spacing w:after="0" w:line="169" w:lineRule="exact"/>
              <w:rPr>
                <w:sz w:val="20"/>
                <w:szCs w:val="20"/>
                <w:color w:val="auto"/>
              </w:rPr>
            </w:pPr>
            <w:r>
              <w:rPr>
                <w:rFonts w:ascii="Arial" w:cs="Arial" w:eastAsia="Arial" w:hAnsi="Arial"/>
                <w:sz w:val="15"/>
                <w:szCs w:val="15"/>
                <w:color w:val="auto"/>
              </w:rPr>
              <w:t>Adjustments to reconcile net income (loss) to net cash provided by operating</w:t>
            </w: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7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activities:</w:t>
            </w:r>
          </w:p>
        </w:tc>
        <w:tc>
          <w:tcPr>
            <w:tcW w:w="1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11,180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8,587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debt issue costs</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100</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140"/>
              <w:spacing w:after="0"/>
              <w:rPr>
                <w:sz w:val="20"/>
                <w:szCs w:val="20"/>
                <w:color w:val="auto"/>
              </w:rPr>
            </w:pPr>
            <w:r>
              <w:rPr>
                <w:rFonts w:ascii="Arial" w:cs="Arial" w:eastAsia="Arial" w:hAnsi="Arial"/>
                <w:sz w:val="15"/>
                <w:szCs w:val="15"/>
                <w:color w:val="auto"/>
              </w:rPr>
              <w:t>Gain on disposal of property, plant and equipment</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 expense from issuance of restricted stock and incentive stock options</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368</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140"/>
              <w:spacing w:after="0"/>
              <w:rPr>
                <w:sz w:val="20"/>
                <w:szCs w:val="20"/>
                <w:color w:val="auto"/>
              </w:rPr>
            </w:pPr>
            <w:r>
              <w:rPr>
                <w:rFonts w:ascii="Arial" w:cs="Arial" w:eastAsia="Arial" w:hAnsi="Arial"/>
                <w:sz w:val="15"/>
                <w:szCs w:val="15"/>
                <w:color w:val="auto"/>
              </w:rPr>
              <w:t>Restructuring and impairment charges</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13,336</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income tax</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140"/>
              <w:spacing w:after="0"/>
              <w:rPr>
                <w:sz w:val="20"/>
                <w:szCs w:val="20"/>
                <w:color w:val="auto"/>
              </w:rPr>
            </w:pPr>
            <w:r>
              <w:rPr>
                <w:rFonts w:ascii="Arial" w:cs="Arial" w:eastAsia="Arial" w:hAnsi="Arial"/>
                <w:sz w:val="15"/>
                <w:szCs w:val="15"/>
                <w:color w:val="auto"/>
              </w:rPr>
              <w:t>Changes in operating assets and liabilities:</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(9,931)</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(8,627)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(1,221)</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3,031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(3,585)</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(1,692)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20"/>
              <w:spacing w:after="0"/>
              <w:rPr>
                <w:sz w:val="20"/>
                <w:szCs w:val="20"/>
                <w:color w:val="auto"/>
              </w:rPr>
            </w:pPr>
            <w:r>
              <w:rPr>
                <w:rFonts w:ascii="Arial" w:cs="Arial" w:eastAsia="Arial" w:hAnsi="Arial"/>
                <w:sz w:val="15"/>
                <w:szCs w:val="15"/>
                <w:color w:val="auto"/>
              </w:rPr>
              <w:t>Other assets and liabilities</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302</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cash provided by operating activities</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4,023</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20" w:type="dxa"/>
            <w:vAlign w:val="bottom"/>
            <w:tcBorders>
              <w:top w:val="single" w:sz="8" w:color="CCEEFF"/>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Investing Activities:</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Acquisition of property, plant and equipment</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(6,824)</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8"/>
              </w:rPr>
              <w:t>(6,413)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disposals of property, plant and equipment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Acquisition of intangibles and goodwill</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(162)</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7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cash used by investing activities</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(6,986)</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(3,976)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20" w:type="dxa"/>
            <w:vAlign w:val="bottom"/>
            <w:tcBorders>
              <w:top w:val="single" w:sz="8" w:color="CCEEFF"/>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Increase in cash from book overdraft</w:t>
            </w:r>
          </w:p>
        </w:tc>
        <w:tc>
          <w:tcPr>
            <w:tcW w:w="1280" w:type="dxa"/>
            <w:vAlign w:val="bottom"/>
          </w:tcPr>
          <w:p>
            <w:pPr>
              <w:jc w:val="right"/>
              <w:spacing w:after="0"/>
              <w:rPr>
                <w:sz w:val="20"/>
                <w:szCs w:val="20"/>
                <w:color w:val="auto"/>
              </w:rPr>
            </w:pPr>
            <w:r>
              <w:rPr>
                <w:rFonts w:ascii="Arial" w:cs="Arial" w:eastAsia="Arial" w:hAnsi="Arial"/>
                <w:sz w:val="15"/>
                <w:szCs w:val="15"/>
                <w:color w:val="auto"/>
              </w:rPr>
              <w:t>84</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long-term debt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(617)</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(4,668)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Proceeds from short-term debt</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8,203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payment on capital lease</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(18)</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Repurchase of common stock</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issuance of stock</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292</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Proceeds from long term debt</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17,400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issuance cost paid</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(161)</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20"/>
              <w:spacing w:after="0"/>
              <w:rPr>
                <w:sz w:val="20"/>
                <w:szCs w:val="20"/>
                <w:color w:val="auto"/>
              </w:rPr>
            </w:pPr>
            <w:r>
              <w:rPr>
                <w:rFonts w:ascii="Arial" w:cs="Arial" w:eastAsia="Arial" w:hAnsi="Arial"/>
                <w:sz w:val="15"/>
                <w:szCs w:val="15"/>
                <w:color w:val="auto"/>
              </w:rPr>
              <w:t>Dividends paid</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(2,696)</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8"/>
              </w:rPr>
              <w:t>(2,753)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related party debt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(18,638)</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7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720" w:type="dxa"/>
            <w:vAlign w:val="bottom"/>
          </w:tcPr>
          <w:p>
            <w:pPr>
              <w:ind w:left="320"/>
              <w:spacing w:after="0"/>
              <w:rPr>
                <w:sz w:val="20"/>
                <w:szCs w:val="20"/>
                <w:color w:val="auto"/>
              </w:rPr>
            </w:pPr>
            <w:r>
              <w:rPr>
                <w:rFonts w:ascii="Arial" w:cs="Arial" w:eastAsia="Arial" w:hAnsi="Arial"/>
                <w:sz w:val="15"/>
                <w:szCs w:val="15"/>
                <w:color w:val="auto"/>
              </w:rPr>
              <w:t>Net cash provided (used) by financing activities</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3,849</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8"/>
              </w:rPr>
              <w:t>(5,747)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20" w:type="dxa"/>
            <w:vAlign w:val="bottom"/>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253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87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1,139</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1,285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at Beginning of Period</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11,681</w:t>
            </w: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10,856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87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8720" w:type="dxa"/>
            <w:vAlign w:val="bottom"/>
          </w:tcPr>
          <w:p>
            <w:pPr>
              <w:spacing w:after="0"/>
              <w:rPr>
                <w:sz w:val="20"/>
                <w:szCs w:val="20"/>
                <w:color w:val="auto"/>
              </w:rPr>
            </w:pPr>
            <w:r>
              <w:rPr>
                <w:rFonts w:ascii="Arial" w:cs="Arial" w:eastAsia="Arial" w:hAnsi="Arial"/>
                <w:sz w:val="15"/>
                <w:szCs w:val="15"/>
                <w:b w:val="1"/>
                <w:bCs w:val="1"/>
                <w:color w:val="auto"/>
              </w:rPr>
              <w:t>Cash and Cash Equivalents at End of Period</w:t>
            </w: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$ 12,820</w:t>
            </w:r>
          </w:p>
        </w:tc>
        <w:tc>
          <w:tcPr>
            <w:tcW w:w="420" w:type="dxa"/>
            <w:vAlign w:val="bottom"/>
          </w:tcPr>
          <w:p>
            <w:pPr>
              <w:spacing w:after="0"/>
              <w:rPr>
                <w:sz w:val="15"/>
                <w:szCs w:val="15"/>
                <w:color w:val="auto"/>
              </w:rPr>
            </w:pPr>
          </w:p>
        </w:tc>
        <w:tc>
          <w:tcPr>
            <w:tcW w:w="3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12,141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7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The accompanying notes are an integral part of the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450" w:right="2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Note 1.</w:t>
      </w:r>
      <w:r>
        <w:rPr>
          <w:sz w:val="20"/>
          <w:szCs w:val="20"/>
          <w:color w:val="auto"/>
        </w:rPr>
        <w:tab/>
      </w:r>
      <w:r>
        <w:rPr>
          <w:rFonts w:ascii="Arial" w:cs="Arial" w:eastAsia="Arial" w:hAnsi="Arial"/>
          <w:sz w:val="13"/>
          <w:szCs w:val="13"/>
          <w:b w:val="1"/>
          <w:bCs w:val="1"/>
          <w:color w:val="auto"/>
        </w:rPr>
        <w:t>Interim Financial Statements</w:t>
      </w:r>
    </w:p>
    <w:p>
      <w:pPr>
        <w:spacing w:after="0" w:line="212" w:lineRule="exact"/>
        <w:rPr>
          <w:sz w:val="20"/>
          <w:szCs w:val="20"/>
          <w:color w:val="auto"/>
        </w:rPr>
      </w:pPr>
    </w:p>
    <w:p>
      <w:pPr>
        <w:ind w:right="80"/>
        <w:spacing w:after="0" w:line="303" w:lineRule="auto"/>
        <w:rPr>
          <w:sz w:val="20"/>
          <w:szCs w:val="20"/>
          <w:color w:val="auto"/>
        </w:rPr>
      </w:pPr>
      <w:r>
        <w:rPr>
          <w:rFonts w:ascii="Arial" w:cs="Arial" w:eastAsia="Arial" w:hAnsi="Arial"/>
          <w:sz w:val="13"/>
          <w:szCs w:val="13"/>
          <w:color w:val="auto"/>
        </w:rPr>
        <w:t>The accompanying consolidated financial statements of NN, Inc. (the “Company”) have not been audited, except that the balance sheet at December 31, 2006 is derived from the Company’s consolidated audited financial statements. In the opinion of the Company’s management, the financial statements reflect all adjustments necessary to fairly state the results of operations for the three and six month periods ended June 30, 2007 and 2006, the Company’s financial position at June 30, 2007 and December 31, 2006, and the cash flows for the six month periods ended June 30, 2007 and 2006.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5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2006 which we filed with the Securities and Exchange Commission on March 16, 2007.</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results for the three and six month periods ended June 30, 2007 are not necessarily indicative of results for the year ending December 31, 2007 or any other future periods.</w:t>
      </w:r>
    </w:p>
    <w:p>
      <w:pPr>
        <w:spacing w:after="0" w:line="238"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3"/>
          <w:szCs w:val="13"/>
          <w:b w:val="1"/>
          <w:bCs w:val="1"/>
          <w:color w:val="auto"/>
        </w:rPr>
        <w:t>Restatement of Form 10-Q filed on August 9, 2007</w:t>
      </w:r>
    </w:p>
    <w:p>
      <w:pPr>
        <w:spacing w:after="0" w:line="212"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 xml:space="preserve">In preparing our financial statements for the three and six months ended June 30, 2007, management concluded that due to the internal restructuring of the Metal Bearing Components segment in the second quarter that the carrying amount of certain long-lived assets may not be recoverable. As a result, management performed impairment tests in accordance with the provisions of Statement of Financial Accounting Standards (“SFAS”) 144, </w:t>
      </w:r>
      <w:r>
        <w:rPr>
          <w:rFonts w:ascii="Arial" w:cs="Arial" w:eastAsia="Arial" w:hAnsi="Arial"/>
          <w:sz w:val="14"/>
          <w:szCs w:val="14"/>
          <w:i w:val="1"/>
          <w:iCs w:val="1"/>
          <w:color w:val="auto"/>
        </w:rPr>
        <w:t>Accounting for the Impairment or Disposal of Long-Lived Assets</w:t>
      </w:r>
      <w:r>
        <w:rPr>
          <w:rFonts w:ascii="Arial" w:cs="Arial" w:eastAsia="Arial" w:hAnsi="Arial"/>
          <w:sz w:val="14"/>
          <w:szCs w:val="14"/>
          <w:color w:val="auto"/>
        </w:rPr>
        <w:t xml:space="preserve"> ("SFAS 144").</w:t>
      </w:r>
    </w:p>
    <w:p>
      <w:pPr>
        <w:spacing w:after="0" w:line="160"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An impairment charge of $1,933 ($1,453 after-tax) was initially recorded in the second quarter, which related to a customer contract intangible asset recorded in conjunction with the October 2005 acquisition of the assets of SNR Roulements. After performing the impairment tests based on the Company's assumptions and interpretation of the provisions of SFAS 144, management determined that these intangible assets were impaired and consequently recorded non-cash charges to write these intangible assets down to the value supported by a fair value analysis based on their forecasted cash flows.</w:t>
      </w:r>
    </w:p>
    <w:p>
      <w:pPr>
        <w:spacing w:after="0" w:line="180"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color w:val="auto"/>
        </w:rPr>
        <w:t>During the preparation of its year-end financial statements and in response to a comment letter issued by the Division of Corporation Finance of the Securities and Exchange Commission related to a routine review of the Company's third quarter 10-Q filings, management re-evaluated the assessment of asset groups used to determine the grouping of long-lived assets at the lowest level for which identifiable cash flows are largely independent of the cash flows of other assets and liabilities to test for impairment pursuant to SFAS 144 paragraph 10. After this re-evaluation, management determined that different asset groups and cash flow assumptions should have been utilized in its assessment of whether the carrying value of its asset groups was recoverable. Upon testing the new asset groups for recoverability, management has determined that the undiscounted cash flows indicated the asset groups are recoverable. Accordingly, the previously recorded non-cash impairment charges related to these intangible assets were not supported and should be reversed. The Company has determined that the contract intangible should continue to be amortized over the remainder of its original useful life of five years.</w:t>
      </w:r>
    </w:p>
    <w:p>
      <w:pPr>
        <w:spacing w:after="0" w:line="170" w:lineRule="exact"/>
        <w:rPr>
          <w:sz w:val="20"/>
          <w:szCs w:val="20"/>
          <w:color w:val="auto"/>
        </w:rPr>
      </w:pPr>
    </w:p>
    <w:p>
      <w:pPr>
        <w:ind w:right="640"/>
        <w:spacing w:after="0" w:line="272" w:lineRule="auto"/>
        <w:rPr>
          <w:sz w:val="20"/>
          <w:szCs w:val="20"/>
          <w:color w:val="auto"/>
        </w:rPr>
      </w:pPr>
      <w:r>
        <w:rPr>
          <w:rFonts w:ascii="Arial" w:cs="Arial" w:eastAsia="Arial" w:hAnsi="Arial"/>
          <w:sz w:val="15"/>
          <w:szCs w:val="15"/>
          <w:color w:val="auto"/>
        </w:rPr>
        <w:t>After discussions between management and the Audit Committee of the Board of Directors of NN, Inc. on February 20, 2008, management, at the direction of the Audit Committee, concluded that the Company should restate its previously issued financial statements for the three and six months ended June 30, 2007.</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651" w:right="2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199"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The following tables summarize financial statement line items within the Consolidated Statements of Income and Comprehensive Income for the three and six month periods ended June 30, 2007, the Condensed Consolidated Balance Sheets as of June 30, 2007 and the Consolidated Statements of Cash Flows for the six months ended June 30, 2007 that were amended with the restated 10-Q/A for the three and six month periods ended June 30,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gridSpan w:val="2"/>
          </w:tcPr>
          <w:p>
            <w:pPr>
              <w:spacing w:after="0"/>
              <w:rPr>
                <w:sz w:val="20"/>
                <w:szCs w:val="20"/>
                <w:color w:val="auto"/>
              </w:rPr>
            </w:pPr>
            <w:r>
              <w:rPr>
                <w:rFonts w:ascii="Arial" w:cs="Arial" w:eastAsia="Arial" w:hAnsi="Arial"/>
                <w:sz w:val="15"/>
                <w:szCs w:val="15"/>
                <w:b w:val="1"/>
                <w:bCs w:val="1"/>
                <w:color w:val="auto"/>
              </w:rPr>
              <w:t>Consolidated Statements of Income and Comprehensive Income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5"/>
                <w:szCs w:val="15"/>
                <w:b w:val="1"/>
                <w:bCs w:val="1"/>
                <w:color w:val="auto"/>
              </w:rPr>
              <w:t>June 30 2007,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5"/>
                <w:szCs w:val="15"/>
                <w:b w:val="1"/>
                <w:bCs w:val="1"/>
                <w:color w:val="auto"/>
              </w:rPr>
              <w:t>June 30 2007,</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220"/>
              <w:spacing w:after="0" w:line="165" w:lineRule="exact"/>
              <w:rPr>
                <w:sz w:val="20"/>
                <w:szCs w:val="20"/>
                <w:color w:val="auto"/>
              </w:rPr>
            </w:pPr>
            <w:r>
              <w:rPr>
                <w:rFonts w:ascii="Arial" w:cs="Arial" w:eastAsia="Arial" w:hAnsi="Arial"/>
                <w:sz w:val="15"/>
                <w:szCs w:val="15"/>
                <w:b w:val="1"/>
                <w:bCs w:val="1"/>
                <w:color w:val="auto"/>
                <w:w w:val="83"/>
              </w:rPr>
              <w:t>As</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center"/>
              <w:ind w:right="200"/>
              <w:spacing w:after="0" w:line="165" w:lineRule="exact"/>
              <w:rPr>
                <w:sz w:val="20"/>
                <w:szCs w:val="20"/>
                <w:color w:val="auto"/>
              </w:rPr>
            </w:pPr>
            <w:r>
              <w:rPr>
                <w:rFonts w:ascii="Arial" w:cs="Arial" w:eastAsia="Arial" w:hAnsi="Arial"/>
                <w:sz w:val="15"/>
                <w:szCs w:val="15"/>
                <w:b w:val="1"/>
                <w:bCs w:val="1"/>
                <w:color w:val="auto"/>
                <w:w w:val="83"/>
              </w:rPr>
              <w:t>As</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Originally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As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Originally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3"/>
              </w:rPr>
              <w:t>As</w:t>
            </w:r>
          </w:p>
        </w:tc>
        <w:tc>
          <w:tcPr>
            <w:tcW w:w="0" w:type="dxa"/>
            <w:vAlign w:val="bottom"/>
          </w:tcPr>
          <w:p>
            <w:pPr>
              <w:spacing w:after="0"/>
              <w:rPr>
                <w:sz w:val="1"/>
                <w:szCs w:val="1"/>
                <w:color w:val="auto"/>
              </w:rPr>
            </w:pPr>
          </w:p>
        </w:tc>
      </w:tr>
      <w:tr>
        <w:trPr>
          <w:trHeight w:val="193"/>
        </w:trPr>
        <w:tc>
          <w:tcPr>
            <w:tcW w:w="5920" w:type="dxa"/>
            <w:vAlign w:val="bottom"/>
            <w:gridSpan w:val="2"/>
          </w:tcPr>
          <w:p>
            <w:pPr>
              <w:ind w:left="1160"/>
              <w:spacing w:after="0"/>
              <w:rPr>
                <w:sz w:val="20"/>
                <w:szCs w:val="20"/>
                <w:color w:val="auto"/>
              </w:rPr>
            </w:pPr>
            <w:r>
              <w:rPr>
                <w:rFonts w:ascii="Arial" w:cs="Arial" w:eastAsia="Arial" w:hAnsi="Arial"/>
                <w:sz w:val="15"/>
                <w:szCs w:val="15"/>
                <w:color w:val="auto"/>
              </w:rPr>
              <w:t>(Thousands of Dollars, Except Per Share Data)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Reported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2"/>
              </w:rPr>
              <w:t>restated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Reported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5"/>
              </w:rPr>
              <w:t>restated</w:t>
            </w:r>
          </w:p>
        </w:tc>
        <w:tc>
          <w:tcPr>
            <w:tcW w:w="0" w:type="dxa"/>
            <w:vAlign w:val="bottom"/>
          </w:tcPr>
          <w:p>
            <w:pPr>
              <w:spacing w:after="0"/>
              <w:rPr>
                <w:sz w:val="1"/>
                <w:szCs w:val="1"/>
                <w:color w:val="auto"/>
              </w:rPr>
            </w:pPr>
          </w:p>
        </w:tc>
      </w:tr>
      <w:tr>
        <w:trPr>
          <w:trHeight w:val="23"/>
        </w:trPr>
        <w:tc>
          <w:tcPr>
            <w:tcW w:w="1160" w:type="dxa"/>
            <w:vAlign w:val="bottom"/>
            <w:vMerge w:val="restart"/>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impairment charges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15,269</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13,336</w:t>
            </w:r>
          </w:p>
        </w:tc>
        <w:tc>
          <w:tcPr>
            <w:tcW w:w="6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15,269</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Pr>
          <w:p>
            <w:pPr>
              <w:ind w:left="80"/>
              <w:spacing w:after="0"/>
              <w:rPr>
                <w:sz w:val="20"/>
                <w:szCs w:val="20"/>
                <w:color w:val="auto"/>
              </w:rPr>
            </w:pPr>
            <w:r>
              <w:rPr>
                <w:rFonts w:ascii="Arial" w:cs="Arial" w:eastAsia="Arial" w:hAnsi="Arial"/>
                <w:sz w:val="15"/>
                <w:szCs w:val="15"/>
                <w:color w:val="auto"/>
              </w:rPr>
              <w:t>Income (loss) from operations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(9,106)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(7,173)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(1,185)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Loss before provision for income taxes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(10,714)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(8,781)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(4,513)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(2,580)</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(11,818)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(10,365)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(8,063)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(6,610)</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Pr>
          <w:p>
            <w:pPr>
              <w:ind w:left="180"/>
              <w:spacing w:after="0"/>
              <w:rPr>
                <w:sz w:val="20"/>
                <w:szCs w:val="20"/>
                <w:color w:val="auto"/>
              </w:rPr>
            </w:pPr>
            <w:r>
              <w:rPr>
                <w:rFonts w:ascii="Arial" w:cs="Arial" w:eastAsia="Arial" w:hAnsi="Arial"/>
                <w:sz w:val="15"/>
                <w:szCs w:val="15"/>
                <w:color w:val="auto"/>
              </w:rPr>
              <w:t>Comprehensive income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(10,467)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(9,014)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(4,636)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(3,183)</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vMerge w:val="continue"/>
          </w:tcPr>
          <w:p>
            <w:pPr>
              <w:spacing w:after="0"/>
              <w:rPr>
                <w:sz w:val="16"/>
                <w:szCs w:val="16"/>
                <w:color w:val="auto"/>
              </w:rPr>
            </w:pPr>
          </w:p>
        </w:tc>
        <w:tc>
          <w:tcPr>
            <w:tcW w:w="4760" w:type="dxa"/>
            <w:vAlign w:val="bottom"/>
          </w:tcPr>
          <w:p>
            <w:pPr>
              <w:spacing w:after="0"/>
              <w:rPr>
                <w:sz w:val="20"/>
                <w:szCs w:val="20"/>
                <w:color w:val="auto"/>
              </w:rPr>
            </w:pPr>
            <w:r>
              <w:rPr>
                <w:rFonts w:ascii="Arial" w:cs="Arial" w:eastAsia="Arial" w:hAnsi="Arial"/>
                <w:sz w:val="15"/>
                <w:szCs w:val="15"/>
                <w:color w:val="auto"/>
              </w:rPr>
              <w:t>Basic and Diluted Earnings Per Share</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(0.70)</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(0.62)</w:t>
            </w: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(0.48)</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(0.39)</w:t>
            </w:r>
          </w:p>
        </w:tc>
        <w:tc>
          <w:tcPr>
            <w:tcW w:w="0" w:type="dxa"/>
            <w:vAlign w:val="bottom"/>
          </w:tcPr>
          <w:p>
            <w:pPr>
              <w:spacing w:after="0"/>
              <w:rPr>
                <w:sz w:val="1"/>
                <w:szCs w:val="1"/>
                <w:color w:val="auto"/>
              </w:rPr>
            </w:pPr>
          </w:p>
        </w:tc>
      </w:tr>
      <w:tr>
        <w:trPr>
          <w:trHeight w:val="370"/>
        </w:trPr>
        <w:tc>
          <w:tcPr>
            <w:tcW w:w="5920" w:type="dxa"/>
            <w:vAlign w:val="bottom"/>
            <w:gridSpan w:val="2"/>
          </w:tcPr>
          <w:p>
            <w:pPr>
              <w:spacing w:after="0"/>
              <w:rPr>
                <w:sz w:val="20"/>
                <w:szCs w:val="20"/>
                <w:color w:val="auto"/>
              </w:rPr>
            </w:pPr>
            <w:r>
              <w:rPr>
                <w:rFonts w:ascii="Arial" w:cs="Arial" w:eastAsia="Arial" w:hAnsi="Arial"/>
                <w:sz w:val="15"/>
                <w:szCs w:val="15"/>
                <w:b w:val="1"/>
                <w:bCs w:val="1"/>
                <w:color w:val="auto"/>
              </w:rPr>
              <w:t>Condensed Consolidated Balance Sheets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8"/>
              </w:rPr>
              <w:t>June 30, 2007</w:t>
            </w:r>
          </w:p>
        </w:tc>
        <w:tc>
          <w:tcPr>
            <w:tcW w:w="8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8"/>
              </w:rPr>
              <w:t>June 30, 2007</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center"/>
              <w:spacing w:after="0" w:line="165" w:lineRule="exact"/>
              <w:rPr>
                <w:sz w:val="20"/>
                <w:szCs w:val="20"/>
                <w:color w:val="auto"/>
              </w:rPr>
            </w:pPr>
            <w:r>
              <w:rPr>
                <w:rFonts w:ascii="Arial" w:cs="Arial" w:eastAsia="Arial" w:hAnsi="Arial"/>
                <w:sz w:val="15"/>
                <w:szCs w:val="15"/>
                <w:b w:val="1"/>
                <w:bCs w:val="1"/>
                <w:color w:val="auto"/>
                <w:w w:val="92"/>
              </w:rPr>
              <w:t>As Originally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760" w:type="dxa"/>
            <w:vAlign w:val="bottom"/>
          </w:tcPr>
          <w:p>
            <w:pPr>
              <w:ind w:left="40"/>
              <w:spacing w:after="0"/>
              <w:rPr>
                <w:sz w:val="20"/>
                <w:szCs w:val="20"/>
                <w:color w:val="auto"/>
              </w:rPr>
            </w:pPr>
            <w:r>
              <w:rPr>
                <w:rFonts w:ascii="Arial" w:cs="Arial" w:eastAsia="Arial" w:hAnsi="Arial"/>
                <w:sz w:val="15"/>
                <w:szCs w:val="15"/>
                <w:color w:val="auto"/>
              </w:rPr>
              <w:t>(Thousands of Dollars)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Reported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As restated</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4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7,804</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4,884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4,404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assets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342,388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343,841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5"/>
                <w:szCs w:val="15"/>
                <w:color w:val="auto"/>
              </w:rPr>
              <w:t>Total stockholders’ equity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125,897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127,350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 and stockholders’ equity</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342,388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343,841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5920" w:type="dxa"/>
            <w:vAlign w:val="bottom"/>
            <w:gridSpan w:val="2"/>
          </w:tcPr>
          <w:p>
            <w:pPr>
              <w:spacing w:after="0"/>
              <w:rPr>
                <w:sz w:val="20"/>
                <w:szCs w:val="20"/>
                <w:color w:val="auto"/>
              </w:rPr>
            </w:pPr>
            <w:r>
              <w:rPr>
                <w:rFonts w:ascii="Arial" w:cs="Arial" w:eastAsia="Arial" w:hAnsi="Arial"/>
                <w:sz w:val="15"/>
                <w:szCs w:val="15"/>
                <w:b w:val="1"/>
                <w:bCs w:val="1"/>
                <w:color w:val="auto"/>
              </w:rPr>
              <w:t>Consolidated Statements of Cash Flows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5"/>
                <w:szCs w:val="15"/>
                <w:b w:val="1"/>
                <w:bCs w:val="1"/>
                <w:color w:val="auto"/>
              </w:rPr>
              <w:t>June 30 2007,</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3"/>
          </w:tcPr>
          <w:p>
            <w:pPr>
              <w:jc w:val="center"/>
              <w:ind w:right="140"/>
              <w:spacing w:after="0" w:line="165" w:lineRule="exact"/>
              <w:rPr>
                <w:sz w:val="20"/>
                <w:szCs w:val="20"/>
                <w:color w:val="auto"/>
              </w:rPr>
            </w:pPr>
            <w:r>
              <w:rPr>
                <w:rFonts w:ascii="Arial" w:cs="Arial" w:eastAsia="Arial" w:hAnsi="Arial"/>
                <w:sz w:val="15"/>
                <w:szCs w:val="15"/>
                <w:b w:val="1"/>
                <w:bCs w:val="1"/>
                <w:color w:val="auto"/>
                <w:w w:val="92"/>
              </w:rPr>
              <w:t>As Originally</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20" w:type="dxa"/>
            <w:vAlign w:val="bottom"/>
            <w:gridSpan w:val="2"/>
          </w:tcPr>
          <w:p>
            <w:pPr>
              <w:ind w:left="1160"/>
              <w:spacing w:after="0"/>
              <w:rPr>
                <w:sz w:val="20"/>
                <w:szCs w:val="20"/>
                <w:color w:val="auto"/>
              </w:rPr>
            </w:pPr>
            <w:r>
              <w:rPr>
                <w:rFonts w:ascii="Arial" w:cs="Arial" w:eastAsia="Arial" w:hAnsi="Arial"/>
                <w:sz w:val="15"/>
                <w:szCs w:val="15"/>
                <w:color w:val="auto"/>
              </w:rPr>
              <w:t>(Thousands of Dollars)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Reported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8"/>
              </w:rPr>
              <w:t>As restated</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Pr>
          <w:p>
            <w:pPr>
              <w:ind w:left="80"/>
              <w:spacing w:after="0"/>
              <w:rPr>
                <w:sz w:val="20"/>
                <w:szCs w:val="20"/>
                <w:color w:val="auto"/>
              </w:rPr>
            </w:pPr>
            <w:r>
              <w:rPr>
                <w:rFonts w:ascii="Arial" w:cs="Arial" w:eastAsia="Arial" w:hAnsi="Arial"/>
                <w:sz w:val="15"/>
                <w:szCs w:val="15"/>
                <w:color w:val="auto"/>
              </w:rPr>
              <w:t>Net 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(8,063)</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(6,610)</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shd w:val="clear" w:color="auto" w:fill="CCEEFF"/>
          </w:tcPr>
          <w:p>
            <w:pPr>
              <w:ind w:left="60"/>
              <w:spacing w:after="0"/>
              <w:rPr>
                <w:sz w:val="20"/>
                <w:szCs w:val="20"/>
                <w:color w:val="auto"/>
              </w:rPr>
            </w:pPr>
            <w:r>
              <w:rPr>
                <w:rFonts w:ascii="Arial" w:cs="Arial" w:eastAsia="Arial" w:hAnsi="Arial"/>
                <w:sz w:val="15"/>
                <w:szCs w:val="15"/>
                <w:color w:val="auto"/>
                <w:w w:val="91"/>
              </w:rPr>
              <w:t>Adjustments to reconcile net loss to net cash provided by operating activities: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tcPr>
          <w:p>
            <w:pPr>
              <w:ind w:left="140"/>
              <w:spacing w:after="0"/>
              <w:rPr>
                <w:sz w:val="20"/>
                <w:szCs w:val="20"/>
                <w:color w:val="auto"/>
              </w:rPr>
            </w:pPr>
            <w:r>
              <w:rPr>
                <w:rFonts w:ascii="Arial" w:cs="Arial" w:eastAsia="Arial" w:hAnsi="Arial"/>
                <w:sz w:val="15"/>
                <w:szCs w:val="15"/>
                <w:color w:val="auto"/>
              </w:rPr>
              <w:t>Restructuring and impairment charges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15,269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13,336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income tax</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Note 3.</w:t>
      </w:r>
      <w:r>
        <w:rPr>
          <w:sz w:val="20"/>
          <w:szCs w:val="20"/>
          <w:color w:val="auto"/>
        </w:rPr>
        <w:tab/>
      </w:r>
      <w:r>
        <w:rPr>
          <w:rFonts w:ascii="Arial" w:cs="Arial" w:eastAsia="Arial" w:hAnsi="Arial"/>
          <w:sz w:val="13"/>
          <w:szCs w:val="13"/>
          <w:b w:val="1"/>
          <w:bCs w:val="1"/>
          <w:color w:val="auto"/>
        </w:rPr>
        <w:t>Restructuring and Impairment Charges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Metal Bearing Components Segment Restructuring, Impairment and Other Cost Reduction Actions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On July 25, 2007, we announced several actions intended to improve corporate financial performance that result in the recognition of certain restructuring, impairment and other non-recurring charges. The most significant action is a restructuring of the European precision ball plants operations of the Metal Bearing</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20"/>
          </w:cols>
          <w:pgMar w:left="220" w:top="65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199"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Components Segment of the company. As we have increased capacity at our two newest ball plants in China and Slovakia, we now need to align our capacity across our worldwide system of six ball plants, both in assets currently in service and in production assets that have been held in reserve. Earlier in July 2007, management made a decision that, at this time, reducing output at four of the six ball plants would be the best financial and logistical solution to align capacity. Reducing capacity will necessitate changes in employment levels resulting in certain costs and charges, as well as a reduction in cash flow from each of the plants. Since the reporting value of tangible and intangible assets must be supported by cash flow from the operations, the changes will result in reduction in value of certain tangible and intangible assets at the affected ball plants.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During the second quarter of 2007, we recorded approximately $13,336 ($12,624 after-tax) of non-cash impairment costs. These charges include the write-down to estimated fair market value of certain excess production equipment of $3,320 ($3,212 after tax) and the full impairment of goodwill at one European reporting unit of $10,016 ($9,412 after tax) to levels supported by projected cash flows after the restructuring. These impairments were calculated using present value of expected future cash flows methods pursuant to SFAS 142 for the goodwill and estimates of fair value pursuant to SFAS 144 for the fixed assets.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Eltmann, Germany 2004 Restructuring</w:t>
      </w:r>
    </w:p>
    <w:p>
      <w:pPr>
        <w:spacing w:after="0" w:line="212"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During the fourth quarter of 2004, we announced a reduction in staffing at our Eltmann, Germany ball production facility, a component of our Metal Bearing Components Segments. The final severance payments to certain employees will occur during 2007. The following summarizes the charges related to the 2004 restructuring at the Company’s Eltmann, Germany facility for the six months ended June 30,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gridSpan w:val="2"/>
          </w:tcPr>
          <w:p>
            <w:pPr>
              <w:spacing w:after="0"/>
              <w:rPr>
                <w:sz w:val="20"/>
                <w:szCs w:val="20"/>
                <w:color w:val="auto"/>
              </w:rPr>
            </w:pPr>
            <w:r>
              <w:rPr>
                <w:rFonts w:ascii="Arial" w:cs="Arial" w:eastAsia="Arial" w:hAnsi="Arial"/>
                <w:sz w:val="15"/>
                <w:szCs w:val="15"/>
                <w:b w:val="1"/>
                <w:bCs w:val="1"/>
                <w:color w:val="auto"/>
              </w:rPr>
              <w:t>Six months ended June 30, 2007</w:t>
            </w:r>
          </w:p>
        </w:tc>
        <w:tc>
          <w:tcPr>
            <w:tcW w:w="13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85"/>
              </w:rPr>
              <w:t>Reserve</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restart"/>
          </w:tcPr>
          <w:p>
            <w:pPr>
              <w:jc w:val="right"/>
              <w:ind w:right="345"/>
              <w:spacing w:after="0"/>
              <w:rPr>
                <w:sz w:val="20"/>
                <w:szCs w:val="20"/>
                <w:color w:val="auto"/>
              </w:rPr>
            </w:pPr>
            <w:r>
              <w:rPr>
                <w:rFonts w:ascii="Arial" w:cs="Arial" w:eastAsia="Arial" w:hAnsi="Arial"/>
                <w:sz w:val="15"/>
                <w:szCs w:val="15"/>
                <w:b w:val="1"/>
                <w:bCs w:val="1"/>
                <w:color w:val="auto"/>
              </w:rPr>
              <w:t>Reserve</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6"/>
              </w:rPr>
              <w:t>Balance</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5"/>
                <w:szCs w:val="15"/>
                <w:b w:val="1"/>
                <w:bCs w:val="1"/>
                <w:color w:val="auto"/>
              </w:rPr>
              <w:t>Paid in</w:t>
            </w:r>
          </w:p>
        </w:tc>
        <w:tc>
          <w:tcPr>
            <w:tcW w:w="260" w:type="dxa"/>
            <w:vAlign w:val="bottom"/>
          </w:tcPr>
          <w:p>
            <w:pPr>
              <w:spacing w:after="0"/>
              <w:rPr>
                <w:sz w:val="15"/>
                <w:szCs w:val="15"/>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1"/>
              </w:rPr>
              <w:t>Currency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65"/>
              <w:spacing w:after="0"/>
              <w:rPr>
                <w:sz w:val="20"/>
                <w:szCs w:val="20"/>
                <w:color w:val="auto"/>
              </w:rPr>
            </w:pPr>
            <w:r>
              <w:rPr>
                <w:rFonts w:ascii="Arial" w:cs="Arial" w:eastAsia="Arial" w:hAnsi="Arial"/>
                <w:sz w:val="15"/>
                <w:szCs w:val="15"/>
                <w:b w:val="1"/>
                <w:bCs w:val="1"/>
                <w:color w:val="auto"/>
              </w:rPr>
              <w:t>Balance at</w:t>
            </w:r>
          </w:p>
        </w:tc>
        <w:tc>
          <w:tcPr>
            <w:tcW w:w="0" w:type="dxa"/>
            <w:vAlign w:val="bottom"/>
          </w:tcPr>
          <w:p>
            <w:pPr>
              <w:spacing w:after="0"/>
              <w:rPr>
                <w:sz w:val="1"/>
                <w:szCs w:val="1"/>
                <w:color w:val="auto"/>
              </w:rPr>
            </w:pPr>
          </w:p>
        </w:tc>
      </w:tr>
      <w:tr>
        <w:trPr>
          <w:trHeight w:val="196"/>
        </w:trPr>
        <w:tc>
          <w:tcPr>
            <w:tcW w:w="3520" w:type="dxa"/>
            <w:vAlign w:val="bottom"/>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at 01/01/07</w:t>
            </w:r>
          </w:p>
        </w:tc>
        <w:tc>
          <w:tcPr>
            <w:tcW w:w="26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5"/>
                <w:szCs w:val="15"/>
                <w:b w:val="1"/>
                <w:bCs w:val="1"/>
                <w:color w:val="auto"/>
              </w:rPr>
              <w:t>Charges</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w w:val="89"/>
              </w:rPr>
              <w:t>2007</w:t>
            </w:r>
          </w:p>
        </w:tc>
        <w:tc>
          <w:tcPr>
            <w:tcW w:w="260" w:type="dxa"/>
            <w:vAlign w:val="bottom"/>
          </w:tcPr>
          <w:p>
            <w:pPr>
              <w:spacing w:after="0"/>
              <w:rPr>
                <w:sz w:val="17"/>
                <w:szCs w:val="17"/>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b w:val="1"/>
                <w:bCs w:val="1"/>
                <w:color w:val="auto"/>
                <w:w w:val="91"/>
              </w:rPr>
              <w:t>Impacts</w:t>
            </w:r>
          </w:p>
        </w:tc>
        <w:tc>
          <w:tcPr>
            <w:tcW w:w="260" w:type="dxa"/>
            <w:vAlign w:val="bottom"/>
            <w:gridSpan w:val="2"/>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06/30/07</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4"/>
              </w:rPr>
              <w:t>Severance and other employee costs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rPr>
              <w:t>309</w:t>
            </w:r>
          </w:p>
        </w:tc>
        <w:tc>
          <w:tcPr>
            <w:tcW w:w="2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5"/>
                <w:szCs w:val="15"/>
                <w:color w:val="auto"/>
                <w:w w:val="91"/>
              </w:rPr>
              <w:t>$ (15)</w:t>
            </w:r>
          </w:p>
        </w:tc>
        <w:tc>
          <w:tcPr>
            <w:tcW w:w="2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rPr>
              <w:t>8</w:t>
            </w:r>
          </w:p>
        </w:tc>
        <w:tc>
          <w:tcPr>
            <w:tcW w:w="1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left="365"/>
              <w:spacing w:after="0"/>
              <w:rPr>
                <w:sz w:val="20"/>
                <w:szCs w:val="20"/>
                <w:color w:val="auto"/>
              </w:rPr>
            </w:pPr>
            <w:r>
              <w:rPr>
                <w:rFonts w:ascii="Arial" w:cs="Arial" w:eastAsia="Arial" w:hAnsi="Arial"/>
                <w:sz w:val="15"/>
                <w:szCs w:val="15"/>
                <w:color w:val="auto"/>
              </w:rPr>
              <w:t>$ 302</w:t>
            </w:r>
          </w:p>
        </w:tc>
        <w:tc>
          <w:tcPr>
            <w:tcW w:w="4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365"/>
              <w:spacing w:after="0"/>
              <w:rPr>
                <w:sz w:val="20"/>
                <w:szCs w:val="20"/>
                <w:color w:val="auto"/>
              </w:rPr>
            </w:pPr>
            <w:r>
              <w:rPr>
                <w:rFonts w:ascii="Arial" w:cs="Arial" w:eastAsia="Arial" w:hAnsi="Arial"/>
                <w:sz w:val="15"/>
                <w:szCs w:val="15"/>
                <w:color w:val="auto"/>
              </w:rPr>
              <w:t>309</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ind w:right="305"/>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5"/>
                <w:szCs w:val="15"/>
                <w:color w:val="auto"/>
                <w:w w:val="91"/>
              </w:rPr>
              <w:t>$ (15)</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205"/>
              <w:spacing w:after="0"/>
              <w:rPr>
                <w:sz w:val="20"/>
                <w:szCs w:val="20"/>
                <w:color w:val="auto"/>
              </w:rPr>
            </w:pPr>
            <w:r>
              <w:rPr>
                <w:rFonts w:ascii="Arial" w:cs="Arial" w:eastAsia="Arial" w:hAnsi="Arial"/>
                <w:sz w:val="15"/>
                <w:szCs w:val="15"/>
                <w:color w:val="auto"/>
              </w:rPr>
              <w:t>8</w:t>
            </w:r>
          </w:p>
        </w:tc>
        <w:tc>
          <w:tcPr>
            <w:tcW w:w="160" w:type="dxa"/>
            <w:vAlign w:val="bottom"/>
          </w:tcPr>
          <w:p>
            <w:pPr>
              <w:spacing w:after="0"/>
              <w:rPr>
                <w:sz w:val="15"/>
                <w:szCs w:val="15"/>
                <w:color w:val="auto"/>
              </w:rPr>
            </w:pPr>
          </w:p>
        </w:tc>
        <w:tc>
          <w:tcPr>
            <w:tcW w:w="1120" w:type="dxa"/>
            <w:vAlign w:val="bottom"/>
            <w:gridSpan w:val="3"/>
          </w:tcPr>
          <w:p>
            <w:pPr>
              <w:jc w:val="center"/>
              <w:ind w:left="625"/>
              <w:spacing w:after="0"/>
              <w:rPr>
                <w:sz w:val="20"/>
                <w:szCs w:val="20"/>
                <w:color w:val="auto"/>
              </w:rPr>
            </w:pPr>
            <w:r>
              <w:rPr>
                <w:rFonts w:ascii="Arial" w:cs="Arial" w:eastAsia="Arial" w:hAnsi="Arial"/>
                <w:sz w:val="15"/>
                <w:szCs w:val="15"/>
                <w:color w:val="auto"/>
              </w:rPr>
              <w:t>$ 302</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Note 4.  Inventories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35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520" w:type="dxa"/>
            <w:vAlign w:val="bottom"/>
            <w:gridSpan w:val="9"/>
          </w:tcPr>
          <w:p>
            <w:pPr>
              <w:spacing w:after="0"/>
              <w:rPr>
                <w:sz w:val="20"/>
                <w:szCs w:val="20"/>
                <w:color w:val="auto"/>
              </w:rPr>
            </w:pPr>
            <w:r>
              <w:rPr>
                <w:rFonts w:ascii="Arial" w:cs="Arial" w:eastAsia="Arial" w:hAnsi="Arial"/>
                <w:sz w:val="15"/>
                <w:szCs w:val="15"/>
                <w:color w:val="auto"/>
                <w:w w:val="92"/>
              </w:rPr>
              <w:t>Inventories are stated at the lower of cost or market. Cost is determined using the first-in, first-out method.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3520" w:type="dxa"/>
            <w:vAlign w:val="bottom"/>
            <w:gridSpan w:val="2"/>
          </w:tcPr>
          <w:p>
            <w:pPr>
              <w:spacing w:after="0"/>
              <w:rPr>
                <w:sz w:val="20"/>
                <w:szCs w:val="20"/>
                <w:color w:val="auto"/>
              </w:rPr>
            </w:pPr>
            <w:r>
              <w:rPr>
                <w:rFonts w:ascii="Arial" w:cs="Arial" w:eastAsia="Arial" w:hAnsi="Arial"/>
                <w:sz w:val="15"/>
                <w:szCs w:val="15"/>
                <w:color w:val="auto"/>
                <w:w w:val="92"/>
              </w:rPr>
              <w:t>Inventories are comprised of the following (in thousands):</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b w:val="1"/>
                <w:bCs w:val="1"/>
                <w:color w:val="auto"/>
              </w:rPr>
              <w:t>June 30,</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245"/>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b w:val="1"/>
                <w:bCs w:val="1"/>
                <w:color w:val="auto"/>
              </w:rPr>
              <w:t>2007</w:t>
            </w: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b w:val="1"/>
                <w:bCs w:val="1"/>
                <w:color w:val="auto"/>
              </w:rPr>
              <w:t>2006</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Raw materials</w:t>
            </w: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12,848</w:t>
            </w:r>
          </w:p>
        </w:tc>
        <w:tc>
          <w:tcPr>
            <w:tcW w:w="1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center"/>
              <w:ind w:left="605"/>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11,828</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Work in process</w:t>
            </w: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8,890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10,427</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25,422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23,596</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Less inventory reserves</w:t>
            </w: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(1,887)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(2,313)</w:t>
            </w: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$ 45,273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43,538</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Inventories on consignment at customer locations as of June 30, 2007 and December 31, 2006 totaled $5,453 and $4,554, respectively.</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651" w:right="21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gridSpan w:val="2"/>
          </w:tcPr>
          <w:p>
            <w:pPr>
              <w:spacing w:after="0"/>
              <w:rPr>
                <w:sz w:val="20"/>
                <w:szCs w:val="20"/>
                <w:color w:val="auto"/>
              </w:rPr>
            </w:pPr>
            <w:r>
              <w:rPr>
                <w:rFonts w:ascii="Arial" w:cs="Arial" w:eastAsia="Arial" w:hAnsi="Arial"/>
                <w:sz w:val="15"/>
                <w:szCs w:val="15"/>
                <w:b w:val="1"/>
                <w:bCs w:val="1"/>
                <w:color w:val="auto"/>
              </w:rPr>
              <w:t>Note 5.  Net Income Per Share</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gridSpan w:val="4"/>
          </w:tcPr>
          <w:p>
            <w:pPr>
              <w:jc w:val="center"/>
              <w:ind w:right="125"/>
              <w:spacing w:after="0"/>
              <w:rPr>
                <w:sz w:val="20"/>
                <w:szCs w:val="20"/>
                <w:color w:val="auto"/>
              </w:rPr>
            </w:pPr>
            <w:r>
              <w:rPr>
                <w:rFonts w:ascii="Arial" w:cs="Arial" w:eastAsia="Arial" w:hAnsi="Arial"/>
                <w:sz w:val="15"/>
                <w:szCs w:val="15"/>
                <w:b w:val="1"/>
                <w:bCs w:val="1"/>
                <w:color w:val="auto"/>
                <w:w w:val="91"/>
              </w:rPr>
              <w:t>Three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4"/>
          </w:tcPr>
          <w:p>
            <w:pPr>
              <w:jc w:val="center"/>
              <w:ind w:right="105"/>
              <w:spacing w:after="0"/>
              <w:rPr>
                <w:sz w:val="20"/>
                <w:szCs w:val="20"/>
                <w:color w:val="auto"/>
              </w:rPr>
            </w:pPr>
            <w:r>
              <w:rPr>
                <w:rFonts w:ascii="Arial" w:cs="Arial" w:eastAsia="Arial" w:hAnsi="Arial"/>
                <w:sz w:val="15"/>
                <w:szCs w:val="15"/>
                <w:b w:val="1"/>
                <w:bCs w:val="1"/>
                <w:color w:val="auto"/>
                <w:w w:val="90"/>
              </w:rPr>
              <w:t>Six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left="185"/>
              <w:spacing w:after="0"/>
              <w:rPr>
                <w:sz w:val="20"/>
                <w:szCs w:val="20"/>
                <w:color w:val="auto"/>
              </w:rPr>
            </w:pPr>
            <w:r>
              <w:rPr>
                <w:rFonts w:ascii="Arial" w:cs="Arial" w:eastAsia="Arial" w:hAnsi="Arial"/>
                <w:sz w:val="15"/>
                <w:szCs w:val="15"/>
                <w:b w:val="1"/>
                <w:bCs w:val="1"/>
                <w:color w:val="auto"/>
                <w:w w:val="89"/>
              </w:rPr>
              <w:t>June 30,</w:t>
            </w: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left="125"/>
              <w:spacing w:after="0"/>
              <w:rPr>
                <w:sz w:val="20"/>
                <w:szCs w:val="20"/>
                <w:color w:val="auto"/>
              </w:rPr>
            </w:pPr>
            <w:r>
              <w:rPr>
                <w:rFonts w:ascii="Arial" w:cs="Arial" w:eastAsia="Arial" w:hAnsi="Arial"/>
                <w:sz w:val="15"/>
                <w:szCs w:val="15"/>
                <w:b w:val="1"/>
                <w:bCs w:val="1"/>
                <w:color w:val="auto"/>
                <w:w w:val="89"/>
              </w:rPr>
              <w:t>June 30,</w:t>
            </w:r>
          </w:p>
        </w:tc>
        <w:tc>
          <w:tcPr>
            <w:tcW w:w="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4"/>
          </w:tcPr>
          <w:p>
            <w:pPr>
              <w:ind w:left="320"/>
              <w:spacing w:after="0"/>
              <w:rPr>
                <w:sz w:val="20"/>
                <w:szCs w:val="20"/>
                <w:color w:val="auto"/>
              </w:rPr>
            </w:pPr>
            <w:r>
              <w:rPr>
                <w:rFonts w:ascii="Arial" w:cs="Arial" w:eastAsia="Arial" w:hAnsi="Arial"/>
                <w:sz w:val="15"/>
                <w:szCs w:val="15"/>
                <w:b w:val="1"/>
                <w:bCs w:val="1"/>
                <w:color w:val="auto"/>
              </w:rPr>
              <w:t>2007 As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4"/>
          </w:tcPr>
          <w:p>
            <w:pPr>
              <w:jc w:val="center"/>
              <w:ind w:right="500"/>
              <w:spacing w:after="0"/>
              <w:rPr>
                <w:sz w:val="20"/>
                <w:szCs w:val="20"/>
                <w:color w:val="auto"/>
              </w:rPr>
            </w:pPr>
            <w:r>
              <w:rPr>
                <w:rFonts w:ascii="Arial" w:cs="Arial" w:eastAsia="Arial" w:hAnsi="Arial"/>
                <w:sz w:val="15"/>
                <w:szCs w:val="15"/>
                <w:b w:val="1"/>
                <w:bCs w:val="1"/>
                <w:color w:val="auto"/>
                <w:w w:val="88"/>
              </w:rPr>
              <w:t>2007 As</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20" w:type="dxa"/>
            <w:vAlign w:val="bottom"/>
            <w:gridSpan w:val="2"/>
          </w:tcPr>
          <w:p>
            <w:pPr>
              <w:ind w:left="1160"/>
              <w:spacing w:after="0"/>
              <w:rPr>
                <w:sz w:val="20"/>
                <w:szCs w:val="20"/>
                <w:color w:val="auto"/>
              </w:rPr>
            </w:pPr>
            <w:r>
              <w:rPr>
                <w:rFonts w:ascii="Arial" w:cs="Arial" w:eastAsia="Arial" w:hAnsi="Arial"/>
                <w:sz w:val="15"/>
                <w:szCs w:val="15"/>
                <w:color w:val="auto"/>
                <w:w w:val="99"/>
              </w:rPr>
              <w:t>(Thousands of Dollars, Except Share and Per Share Data)</w:t>
            </w:r>
          </w:p>
        </w:tc>
        <w:tc>
          <w:tcPr>
            <w:tcW w:w="40" w:type="dxa"/>
            <w:vAlign w:val="bottom"/>
          </w:tcPr>
          <w:p>
            <w:pPr>
              <w:spacing w:after="0"/>
              <w:rPr>
                <w:sz w:val="17"/>
                <w:szCs w:val="17"/>
                <w:color w:val="auto"/>
              </w:rPr>
            </w:pPr>
          </w:p>
        </w:tc>
        <w:tc>
          <w:tcPr>
            <w:tcW w:w="1640" w:type="dxa"/>
            <w:vAlign w:val="bottom"/>
            <w:gridSpan w:val="4"/>
          </w:tcPr>
          <w:p>
            <w:pPr>
              <w:ind w:left="320"/>
              <w:spacing w:after="0"/>
              <w:rPr>
                <w:sz w:val="20"/>
                <w:szCs w:val="20"/>
                <w:color w:val="auto"/>
              </w:rPr>
            </w:pPr>
            <w:r>
              <w:rPr>
                <w:rFonts w:ascii="Arial" w:cs="Arial" w:eastAsia="Arial" w:hAnsi="Arial"/>
                <w:sz w:val="15"/>
                <w:szCs w:val="15"/>
                <w:b w:val="1"/>
                <w:bCs w:val="1"/>
                <w:color w:val="auto"/>
              </w:rPr>
              <w:t>restated</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2006</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gridSpan w:val="4"/>
          </w:tcPr>
          <w:p>
            <w:pPr>
              <w:jc w:val="center"/>
              <w:ind w:right="520"/>
              <w:spacing w:after="0"/>
              <w:rPr>
                <w:sz w:val="20"/>
                <w:szCs w:val="20"/>
                <w:color w:val="auto"/>
              </w:rPr>
            </w:pPr>
            <w:r>
              <w:rPr>
                <w:rFonts w:ascii="Arial" w:cs="Arial" w:eastAsia="Arial" w:hAnsi="Arial"/>
                <w:sz w:val="15"/>
                <w:szCs w:val="15"/>
                <w:b w:val="1"/>
                <w:bCs w:val="1"/>
                <w:color w:val="auto"/>
                <w:w w:val="89"/>
              </w:rPr>
              <w:t>restated</w:t>
            </w:r>
          </w:p>
        </w:tc>
        <w:tc>
          <w:tcPr>
            <w:tcW w:w="880" w:type="dxa"/>
            <w:vAlign w:val="bottom"/>
            <w:gridSpan w:val="2"/>
          </w:tcPr>
          <w:p>
            <w:pPr>
              <w:jc w:val="right"/>
              <w:ind w:right="365"/>
              <w:spacing w:after="0"/>
              <w:rPr>
                <w:sz w:val="20"/>
                <w:szCs w:val="20"/>
                <w:color w:val="auto"/>
              </w:rPr>
            </w:pPr>
            <w:r>
              <w:rPr>
                <w:rFonts w:ascii="Arial" w:cs="Arial" w:eastAsia="Arial" w:hAnsi="Arial"/>
                <w:sz w:val="15"/>
                <w:szCs w:val="15"/>
                <w:b w:val="1"/>
                <w:bCs w:val="1"/>
                <w:color w:val="auto"/>
              </w:rPr>
              <w:t>2006</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3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160" w:type="dxa"/>
            <w:vAlign w:val="bottom"/>
            <w:vMerge w:val="continue"/>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(10,365)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3,453</w:t>
            </w:r>
          </w:p>
        </w:tc>
        <w:tc>
          <w:tcPr>
            <w:tcW w:w="840" w:type="dxa"/>
            <w:vAlign w:val="bottom"/>
            <w:gridSpan w:val="3"/>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8,715</w:t>
            </w:r>
          </w:p>
        </w:tc>
        <w:tc>
          <w:tcPr>
            <w:tcW w:w="0" w:type="dxa"/>
            <w:vAlign w:val="bottom"/>
          </w:tcPr>
          <w:p>
            <w:pPr>
              <w:spacing w:after="0"/>
              <w:rPr>
                <w:sz w:val="1"/>
                <w:szCs w:val="1"/>
                <w:color w:val="auto"/>
              </w:rPr>
            </w:pPr>
          </w:p>
        </w:tc>
      </w:tr>
      <w:tr>
        <w:trPr>
          <w:trHeight w:val="164"/>
        </w:trPr>
        <w:tc>
          <w:tcPr>
            <w:tcW w:w="1160" w:type="dxa"/>
            <w:vAlign w:val="bottom"/>
            <w:vMerge w:val="restart"/>
          </w:tcPr>
          <w:p>
            <w:pPr>
              <w:spacing w:after="0"/>
              <w:rPr>
                <w:sz w:val="14"/>
                <w:szCs w:val="14"/>
                <w:color w:val="auto"/>
              </w:rPr>
            </w:pPr>
          </w:p>
        </w:tc>
        <w:tc>
          <w:tcPr>
            <w:tcW w:w="38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CCEEFF"/>
            </w:tcBorders>
            <w:gridSpan w:val="2"/>
          </w:tcPr>
          <w:p>
            <w:pPr>
              <w:spacing w:after="0"/>
              <w:rPr>
                <w:sz w:val="14"/>
                <w:szCs w:val="14"/>
                <w:color w:val="auto"/>
              </w:rPr>
            </w:pPr>
          </w:p>
        </w:tc>
        <w:tc>
          <w:tcPr>
            <w:tcW w:w="114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basic shares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16,815,249</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17,156,721</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16,813,871</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17,152,713</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Arial" w:cs="Arial" w:eastAsia="Arial" w:hAnsi="Arial"/>
                <w:sz w:val="15"/>
                <w:szCs w:val="15"/>
                <w:color w:val="auto"/>
              </w:rPr>
              <w:t>Effect of dilutive stock options</w:t>
            </w:r>
          </w:p>
        </w:tc>
        <w:tc>
          <w:tcPr>
            <w:tcW w:w="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212,928</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211,863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217,667</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212,291</w:t>
            </w: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dilutive shares outstanding</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17,028,177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17,368,584</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17,031,538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17,365,004</w:t>
            </w:r>
          </w:p>
        </w:tc>
        <w:tc>
          <w:tcPr>
            <w:tcW w:w="0" w:type="dxa"/>
            <w:vAlign w:val="bottom"/>
          </w:tcPr>
          <w:p>
            <w:pPr>
              <w:spacing w:after="0"/>
              <w:rPr>
                <w:sz w:val="1"/>
                <w:szCs w:val="1"/>
                <w:color w:val="auto"/>
              </w:rPr>
            </w:pPr>
          </w:p>
        </w:tc>
      </w:tr>
      <w:tr>
        <w:trPr>
          <w:trHeight w:val="164"/>
        </w:trPr>
        <w:tc>
          <w:tcPr>
            <w:tcW w:w="1160" w:type="dxa"/>
            <w:vAlign w:val="bottom"/>
            <w:vMerge w:val="restart"/>
          </w:tcPr>
          <w:p>
            <w:pPr>
              <w:spacing w:after="0"/>
              <w:rPr>
                <w:sz w:val="14"/>
                <w:szCs w:val="14"/>
                <w:color w:val="auto"/>
              </w:rPr>
            </w:pPr>
          </w:p>
        </w:tc>
        <w:tc>
          <w:tcPr>
            <w:tcW w:w="38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gridSpan w:val="2"/>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160" w:type="dxa"/>
            <w:vAlign w:val="bottom"/>
            <w:vMerge w:val="continue"/>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net income per share</w:t>
            </w: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ind w:left="4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(0.39)</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3860" w:type="dxa"/>
            <w:vAlign w:val="bottom"/>
          </w:tcPr>
          <w:p>
            <w:pPr>
              <w:spacing w:after="0" w:line="164" w:lineRule="exact"/>
              <w:rPr>
                <w:sz w:val="20"/>
                <w:szCs w:val="20"/>
                <w:color w:val="auto"/>
              </w:rPr>
            </w:pPr>
            <w:r>
              <w:rPr>
                <w:rFonts w:ascii="Arial" w:cs="Arial" w:eastAsia="Arial" w:hAnsi="Arial"/>
                <w:sz w:val="15"/>
                <w:szCs w:val="15"/>
                <w:color w:val="auto"/>
              </w:rPr>
              <w:t>Diluted net income per share</w:t>
            </w:r>
          </w:p>
        </w:tc>
        <w:tc>
          <w:tcPr>
            <w:tcW w:w="60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4" w:lineRule="exact"/>
              <w:rPr>
                <w:sz w:val="20"/>
                <w:szCs w:val="20"/>
                <w:color w:val="auto"/>
              </w:rPr>
            </w:pPr>
            <w:r>
              <w:rPr>
                <w:rFonts w:ascii="Arial" w:cs="Arial" w:eastAsia="Arial" w:hAnsi="Arial"/>
                <w:sz w:val="15"/>
                <w:szCs w:val="15"/>
                <w:color w:val="auto"/>
              </w:rPr>
              <w:t>(0.61)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64" w:lineRule="exact"/>
              <w:rPr>
                <w:sz w:val="20"/>
                <w:szCs w:val="20"/>
                <w:color w:val="auto"/>
              </w:rPr>
            </w:pPr>
            <w:r>
              <w:rPr>
                <w:rFonts w:ascii="Arial" w:cs="Arial" w:eastAsia="Arial" w:hAnsi="Arial"/>
                <w:sz w:val="15"/>
                <w:szCs w:val="15"/>
                <w:color w:val="auto"/>
              </w:rPr>
              <w:t>0.20</w:t>
            </w:r>
          </w:p>
        </w:tc>
        <w:tc>
          <w:tcPr>
            <w:tcW w:w="840" w:type="dxa"/>
            <w:vAlign w:val="bottom"/>
            <w:gridSpan w:val="3"/>
          </w:tcPr>
          <w:p>
            <w:pPr>
              <w:jc w:val="center"/>
              <w:ind w:left="625"/>
              <w:spacing w:after="0" w:line="164"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4" w:lineRule="exact"/>
              <w:rPr>
                <w:sz w:val="20"/>
                <w:szCs w:val="20"/>
                <w:color w:val="auto"/>
              </w:rPr>
            </w:pPr>
            <w:r>
              <w:rPr>
                <w:rFonts w:ascii="Arial" w:cs="Arial" w:eastAsia="Arial" w:hAnsi="Arial"/>
                <w:sz w:val="15"/>
                <w:szCs w:val="15"/>
                <w:color w:val="auto"/>
              </w:rPr>
              <w:t>(0.39)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4" w:lineRule="exact"/>
              <w:rPr>
                <w:sz w:val="20"/>
                <w:szCs w:val="20"/>
                <w:color w:val="auto"/>
              </w:rPr>
            </w:pPr>
            <w:r>
              <w:rPr>
                <w:rFonts w:ascii="Arial" w:cs="Arial" w:eastAsia="Arial" w:hAnsi="Arial"/>
                <w:sz w:val="15"/>
                <w:szCs w:val="15"/>
                <w:color w:val="auto"/>
              </w:rPr>
              <w:t>0.50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color w:val="auto"/>
        </w:rPr>
        <w:t>Excluded from the shares outstanding for the three and six months ended June 30, 2007 were 624,000 anti-dilutive options which had exercise prices ranging from $11.29 to $12.62. There were no anti-dilutive options excluded from shares outstanding for the three and six month periods ended June 30, 2006.</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Note 6.</w:t>
      </w:r>
      <w:r>
        <w:rPr>
          <w:sz w:val="20"/>
          <w:szCs w:val="20"/>
          <w:color w:val="auto"/>
        </w:rPr>
        <w:tab/>
      </w:r>
      <w:r>
        <w:rPr>
          <w:rFonts w:ascii="Arial" w:cs="Arial" w:eastAsia="Arial" w:hAnsi="Arial"/>
          <w:sz w:val="13"/>
          <w:szCs w:val="13"/>
          <w:b w:val="1"/>
          <w:bCs w:val="1"/>
          <w:color w:val="auto"/>
        </w:rPr>
        <w:t>Segment Information</w:t>
      </w:r>
    </w:p>
    <w:p>
      <w:pPr>
        <w:spacing w:after="0" w:line="212"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The segment information and the accounting policies of each segment are the same as those described in the “Segment Information” footnote and the “Summary of Significant Accounting Policies” footnote, respectively, in our annual report on Form 10-K for the fiscal year ended December 31, 2006. We evaluate segment performance based on net income or loss after income taxes. For the three and six month periods ended June 30, 2007, we have reported segment profit excluding restructuring and impairment charges, a non-GAAP accounting measure, as this information is utilized by our chief operating decision maker to examine segment profitability. Additionally, this new line item was added to show only operational performance and to enhance comparability to the prior periods. We account for inter-segment sales and transfers at current market prices. We did not have any significant inter-segment transactions during the three and six month periods ended June 30, 2007 and 2006. As discussed in our annual report on Form 10-K for the year ended December 31, 2006, we changed our segment reporting during the fourth quarter of 2006. The three and six month periods ended June 30, 2006 have been restated to conform to the current presentation.</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00"/>
          </w:cols>
          <w:pgMar w:left="220" w:top="651"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40" w:type="dxa"/>
            <w:vAlign w:val="bottom"/>
            <w:gridSpan w:val="6"/>
          </w:tcPr>
          <w:p>
            <w:pPr>
              <w:jc w:val="right"/>
              <w:ind w:right="565"/>
              <w:spacing w:after="0"/>
              <w:rPr>
                <w:sz w:val="20"/>
                <w:szCs w:val="20"/>
                <w:color w:val="auto"/>
              </w:rPr>
            </w:pPr>
            <w:r>
              <w:rPr>
                <w:rFonts w:ascii="Arial" w:cs="Arial" w:eastAsia="Arial" w:hAnsi="Arial"/>
                <w:sz w:val="15"/>
                <w:szCs w:val="15"/>
                <w:b w:val="1"/>
                <w:bCs w:val="1"/>
                <w:color w:val="auto"/>
              </w:rPr>
              <w:t>Three Months Ended June 30,</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Metal</w:t>
            </w:r>
          </w:p>
        </w:tc>
        <w:tc>
          <w:tcPr>
            <w:tcW w:w="1720" w:type="dxa"/>
            <w:vAlign w:val="bottom"/>
            <w:gridSpan w:val="2"/>
          </w:tcPr>
          <w:p>
            <w:pPr>
              <w:jc w:val="right"/>
              <w:ind w:right="725"/>
              <w:spacing w:after="0"/>
              <w:rPr>
                <w:sz w:val="20"/>
                <w:szCs w:val="20"/>
                <w:color w:val="auto"/>
              </w:rPr>
            </w:pPr>
            <w:r>
              <w:rPr>
                <w:rFonts w:ascii="Arial" w:cs="Arial" w:eastAsia="Arial" w:hAnsi="Arial"/>
                <w:sz w:val="15"/>
                <w:szCs w:val="15"/>
                <w:b w:val="1"/>
                <w:bCs w:val="1"/>
                <w:color w:val="auto"/>
              </w:rPr>
              <w:t>2007</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3"/>
          </w:tcPr>
          <w:p>
            <w:pPr>
              <w:jc w:val="right"/>
              <w:ind w:right="705"/>
              <w:spacing w:after="0"/>
              <w:rPr>
                <w:sz w:val="20"/>
                <w:szCs w:val="20"/>
                <w:color w:val="auto"/>
              </w:rPr>
            </w:pPr>
            <w:r>
              <w:rPr>
                <w:rFonts w:ascii="Arial" w:cs="Arial" w:eastAsia="Arial" w:hAnsi="Arial"/>
                <w:sz w:val="15"/>
                <w:szCs w:val="15"/>
                <w:b w:val="1"/>
                <w:bCs w:val="1"/>
                <w:color w:val="auto"/>
              </w:rPr>
              <w:t>2006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9"/>
              </w:rPr>
              <w:t>Bearing</w:t>
            </w:r>
          </w:p>
        </w:tc>
        <w:tc>
          <w:tcPr>
            <w:tcW w:w="840" w:type="dxa"/>
            <w:vAlign w:val="bottom"/>
          </w:tcPr>
          <w:p>
            <w:pPr>
              <w:spacing w:after="0"/>
              <w:rPr>
                <w:sz w:val="15"/>
                <w:szCs w:val="15"/>
                <w:color w:val="auto"/>
              </w:rPr>
            </w:pPr>
          </w:p>
        </w:tc>
        <w:tc>
          <w:tcPr>
            <w:tcW w:w="880" w:type="dxa"/>
            <w:vAlign w:val="bottom"/>
          </w:tcPr>
          <w:p>
            <w:pPr>
              <w:jc w:val="center"/>
              <w:ind w:right="25"/>
              <w:spacing w:after="0"/>
              <w:rPr>
                <w:sz w:val="20"/>
                <w:szCs w:val="20"/>
                <w:color w:val="auto"/>
              </w:rPr>
            </w:pPr>
            <w:r>
              <w:rPr>
                <w:rFonts w:ascii="Arial" w:cs="Arial" w:eastAsia="Arial" w:hAnsi="Arial"/>
                <w:sz w:val="15"/>
                <w:szCs w:val="15"/>
                <w:b w:val="1"/>
                <w:bCs w:val="1"/>
                <w:color w:val="auto"/>
                <w:w w:val="88"/>
              </w:rPr>
              <w:t>Plastic and</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8"/>
              </w:rPr>
              <w:t>Metal</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8"/>
              </w:rPr>
              <w:t>Plastic and</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93"/>
              </w:rPr>
              <w:t>Com-</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8"/>
              </w:rPr>
              <w:t>Precision</w:t>
            </w:r>
          </w:p>
        </w:tc>
        <w:tc>
          <w:tcPr>
            <w:tcW w:w="880" w:type="dxa"/>
            <w:vAlign w:val="bottom"/>
          </w:tcPr>
          <w:p>
            <w:pPr>
              <w:jc w:val="center"/>
              <w:ind w:right="25"/>
              <w:spacing w:after="0"/>
              <w:rPr>
                <w:sz w:val="20"/>
                <w:szCs w:val="20"/>
                <w:color w:val="auto"/>
              </w:rPr>
            </w:pPr>
            <w:r>
              <w:rPr>
                <w:rFonts w:ascii="Arial" w:cs="Arial" w:eastAsia="Arial" w:hAnsi="Arial"/>
                <w:sz w:val="15"/>
                <w:szCs w:val="15"/>
                <w:b w:val="1"/>
                <w:bCs w:val="1"/>
                <w:color w:val="auto"/>
                <w:w w:val="95"/>
              </w:rPr>
              <w:t>Rubber</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Bearing</w:t>
            </w:r>
          </w:p>
        </w:tc>
        <w:tc>
          <w:tcPr>
            <w:tcW w:w="700" w:type="dxa"/>
            <w:vAlign w:val="bottom"/>
          </w:tcPr>
          <w:p>
            <w:pPr>
              <w:jc w:val="center"/>
              <w:ind w:left="45"/>
              <w:spacing w:after="0"/>
              <w:rPr>
                <w:sz w:val="20"/>
                <w:szCs w:val="20"/>
                <w:color w:val="auto"/>
              </w:rPr>
            </w:pPr>
            <w:r>
              <w:rPr>
                <w:rFonts w:ascii="Arial" w:cs="Arial" w:eastAsia="Arial" w:hAnsi="Arial"/>
                <w:sz w:val="15"/>
                <w:szCs w:val="15"/>
                <w:b w:val="1"/>
                <w:bCs w:val="1"/>
                <w:color w:val="auto"/>
                <w:w w:val="85"/>
              </w:rPr>
              <w:t>Precision</w:t>
            </w:r>
          </w:p>
        </w:tc>
        <w:tc>
          <w:tcPr>
            <w:tcW w:w="140" w:type="dxa"/>
            <w:vAlign w:val="bottom"/>
          </w:tcPr>
          <w:p>
            <w:pPr>
              <w:spacing w:after="0"/>
              <w:rPr>
                <w:sz w:val="15"/>
                <w:szCs w:val="15"/>
                <w:color w:val="auto"/>
              </w:rPr>
            </w:pPr>
          </w:p>
        </w:tc>
        <w:tc>
          <w:tcPr>
            <w:tcW w:w="840" w:type="dxa"/>
            <w:vAlign w:val="bottom"/>
          </w:tcPr>
          <w:p>
            <w:pPr>
              <w:jc w:val="center"/>
              <w:ind w:right="5"/>
              <w:spacing w:after="0"/>
              <w:rPr>
                <w:sz w:val="20"/>
                <w:szCs w:val="20"/>
                <w:color w:val="auto"/>
              </w:rPr>
            </w:pPr>
            <w:r>
              <w:rPr>
                <w:rFonts w:ascii="Arial" w:cs="Arial" w:eastAsia="Arial" w:hAnsi="Arial"/>
                <w:sz w:val="15"/>
                <w:szCs w:val="15"/>
                <w:b w:val="1"/>
                <w:bCs w:val="1"/>
                <w:color w:val="auto"/>
                <w:w w:val="91"/>
              </w:rPr>
              <w:t>Rubber</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5"/>
              </w:rPr>
              <w:t>ponents</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93"/>
              </w:rPr>
              <w:t>Metal Com-</w:t>
            </w:r>
          </w:p>
        </w:tc>
        <w:tc>
          <w:tcPr>
            <w:tcW w:w="880" w:type="dxa"/>
            <w:vAlign w:val="bottom"/>
          </w:tcPr>
          <w:p>
            <w:pPr>
              <w:jc w:val="center"/>
              <w:ind w:right="45"/>
              <w:spacing w:after="0"/>
              <w:rPr>
                <w:sz w:val="20"/>
                <w:szCs w:val="20"/>
                <w:color w:val="auto"/>
              </w:rPr>
            </w:pPr>
            <w:r>
              <w:rPr>
                <w:rFonts w:ascii="Arial" w:cs="Arial" w:eastAsia="Arial" w:hAnsi="Arial"/>
                <w:sz w:val="15"/>
                <w:szCs w:val="15"/>
                <w:b w:val="1"/>
                <w:bCs w:val="1"/>
                <w:color w:val="auto"/>
                <w:w w:val="93"/>
              </w:rPr>
              <w:t>Com-</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Com-</w:t>
            </w:r>
          </w:p>
        </w:tc>
        <w:tc>
          <w:tcPr>
            <w:tcW w:w="84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Metal Com-</w:t>
            </w:r>
          </w:p>
        </w:tc>
        <w:tc>
          <w:tcPr>
            <w:tcW w:w="840" w:type="dxa"/>
            <w:vAlign w:val="bottom"/>
          </w:tcPr>
          <w:p>
            <w:pPr>
              <w:jc w:val="center"/>
              <w:ind w:right="5"/>
              <w:spacing w:after="0"/>
              <w:rPr>
                <w:sz w:val="20"/>
                <w:szCs w:val="20"/>
                <w:color w:val="auto"/>
              </w:rPr>
            </w:pPr>
            <w:r>
              <w:rPr>
                <w:rFonts w:ascii="Arial" w:cs="Arial" w:eastAsia="Arial" w:hAnsi="Arial"/>
                <w:sz w:val="15"/>
                <w:szCs w:val="15"/>
                <w:b w:val="1"/>
                <w:bCs w:val="1"/>
                <w:color w:val="auto"/>
                <w:w w:val="93"/>
              </w:rPr>
              <w:t>Com-</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5"/>
              </w:rPr>
              <w:t>Segment</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5"/>
              </w:rPr>
              <w:t>ponents</w:t>
            </w:r>
          </w:p>
        </w:tc>
        <w:tc>
          <w:tcPr>
            <w:tcW w:w="880" w:type="dxa"/>
            <w:vAlign w:val="bottom"/>
          </w:tcPr>
          <w:p>
            <w:pPr>
              <w:jc w:val="center"/>
              <w:ind w:right="25"/>
              <w:spacing w:after="0"/>
              <w:rPr>
                <w:sz w:val="20"/>
                <w:szCs w:val="20"/>
                <w:color w:val="auto"/>
              </w:rPr>
            </w:pPr>
            <w:r>
              <w:rPr>
                <w:rFonts w:ascii="Arial" w:cs="Arial" w:eastAsia="Arial" w:hAnsi="Arial"/>
                <w:sz w:val="15"/>
                <w:szCs w:val="15"/>
                <w:b w:val="1"/>
                <w:bCs w:val="1"/>
                <w:color w:val="auto"/>
                <w:w w:val="85"/>
              </w:rPr>
              <w:t>ponents</w:t>
            </w:r>
          </w:p>
        </w:tc>
        <w:tc>
          <w:tcPr>
            <w:tcW w:w="760" w:type="dxa"/>
            <w:vAlign w:val="bottom"/>
            <w:gridSpan w:val="2"/>
          </w:tcPr>
          <w:p>
            <w:pPr>
              <w:jc w:val="right"/>
              <w:ind w:right="305"/>
              <w:spacing w:after="0"/>
              <w:rPr>
                <w:sz w:val="20"/>
                <w:szCs w:val="20"/>
                <w:color w:val="auto"/>
              </w:rPr>
            </w:pPr>
            <w:r>
              <w:rPr>
                <w:rFonts w:ascii="Arial" w:cs="Arial" w:eastAsia="Arial" w:hAnsi="Arial"/>
                <w:sz w:val="15"/>
                <w:szCs w:val="15"/>
                <w:b w:val="1"/>
                <w:bCs w:val="1"/>
                <w:color w:val="auto"/>
              </w:rPr>
              <w:t>All</w:t>
            </w:r>
          </w:p>
        </w:tc>
        <w:tc>
          <w:tcPr>
            <w:tcW w:w="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ponents</w:t>
            </w:r>
          </w:p>
        </w:tc>
        <w:tc>
          <w:tcPr>
            <w:tcW w:w="700" w:type="dxa"/>
            <w:vAlign w:val="bottom"/>
          </w:tcPr>
          <w:p>
            <w:pPr>
              <w:jc w:val="center"/>
              <w:ind w:left="45"/>
              <w:spacing w:after="0"/>
              <w:rPr>
                <w:sz w:val="20"/>
                <w:szCs w:val="20"/>
                <w:color w:val="auto"/>
              </w:rPr>
            </w:pPr>
            <w:r>
              <w:rPr>
                <w:rFonts w:ascii="Arial" w:cs="Arial" w:eastAsia="Arial" w:hAnsi="Arial"/>
                <w:sz w:val="15"/>
                <w:szCs w:val="15"/>
                <w:b w:val="1"/>
                <w:bCs w:val="1"/>
                <w:color w:val="auto"/>
                <w:w w:val="85"/>
              </w:rPr>
              <w:t>ponents</w:t>
            </w: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5"/>
              </w:rPr>
              <w:t>ponents</w:t>
            </w:r>
          </w:p>
        </w:tc>
        <w:tc>
          <w:tcPr>
            <w:tcW w:w="600" w:type="dxa"/>
            <w:vAlign w:val="bottom"/>
            <w:gridSpan w:val="2"/>
          </w:tcPr>
          <w:p>
            <w:pPr>
              <w:jc w:val="right"/>
              <w:ind w:right="165"/>
              <w:spacing w:after="0"/>
              <w:rPr>
                <w:sz w:val="20"/>
                <w:szCs w:val="20"/>
                <w:color w:val="auto"/>
              </w:rPr>
            </w:pPr>
            <w:r>
              <w:rPr>
                <w:rFonts w:ascii="Arial" w:cs="Arial" w:eastAsia="Arial" w:hAnsi="Arial"/>
                <w:sz w:val="15"/>
                <w:szCs w:val="15"/>
                <w:b w:val="1"/>
                <w:bCs w:val="1"/>
                <w:color w:val="auto"/>
              </w:rPr>
              <w:t>All</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20" w:type="dxa"/>
            <w:vAlign w:val="bottom"/>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5"/>
              </w:rPr>
              <w:t>As restated</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8"/>
              </w:rPr>
              <w:t>Segment</w:t>
            </w:r>
          </w:p>
        </w:tc>
        <w:tc>
          <w:tcPr>
            <w:tcW w:w="880" w:type="dxa"/>
            <w:vAlign w:val="bottom"/>
          </w:tcPr>
          <w:p>
            <w:pPr>
              <w:jc w:val="center"/>
              <w:ind w:right="25"/>
              <w:spacing w:after="0"/>
              <w:rPr>
                <w:sz w:val="20"/>
                <w:szCs w:val="20"/>
                <w:color w:val="auto"/>
              </w:rPr>
            </w:pPr>
            <w:r>
              <w:rPr>
                <w:rFonts w:ascii="Arial" w:cs="Arial" w:eastAsia="Arial" w:hAnsi="Arial"/>
                <w:sz w:val="15"/>
                <w:szCs w:val="15"/>
                <w:b w:val="1"/>
                <w:bCs w:val="1"/>
                <w:color w:val="auto"/>
                <w:w w:val="85"/>
              </w:rPr>
              <w:t>Segment</w:t>
            </w:r>
          </w:p>
        </w:tc>
        <w:tc>
          <w:tcPr>
            <w:tcW w:w="760" w:type="dxa"/>
            <w:vAlign w:val="bottom"/>
            <w:gridSpan w:val="2"/>
          </w:tcPr>
          <w:p>
            <w:pPr>
              <w:jc w:val="right"/>
              <w:ind w:right="205"/>
              <w:spacing w:after="0"/>
              <w:rPr>
                <w:sz w:val="20"/>
                <w:szCs w:val="20"/>
                <w:color w:val="auto"/>
              </w:rPr>
            </w:pPr>
            <w:r>
              <w:rPr>
                <w:rFonts w:ascii="Arial" w:cs="Arial" w:eastAsia="Arial" w:hAnsi="Arial"/>
                <w:sz w:val="15"/>
                <w:szCs w:val="15"/>
                <w:b w:val="1"/>
                <w:bCs w:val="1"/>
                <w:color w:val="auto"/>
              </w:rPr>
              <w:t>Other</w:t>
            </w:r>
          </w:p>
        </w:tc>
        <w:tc>
          <w:tcPr>
            <w:tcW w:w="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5"/>
              </w:rPr>
              <w:t>Segment</w:t>
            </w:r>
          </w:p>
        </w:tc>
        <w:tc>
          <w:tcPr>
            <w:tcW w:w="700" w:type="dxa"/>
            <w:vAlign w:val="bottom"/>
          </w:tcPr>
          <w:p>
            <w:pPr>
              <w:jc w:val="center"/>
              <w:ind w:left="45"/>
              <w:spacing w:after="0"/>
              <w:rPr>
                <w:sz w:val="20"/>
                <w:szCs w:val="20"/>
                <w:color w:val="auto"/>
              </w:rPr>
            </w:pPr>
            <w:r>
              <w:rPr>
                <w:rFonts w:ascii="Arial" w:cs="Arial" w:eastAsia="Arial" w:hAnsi="Arial"/>
                <w:sz w:val="15"/>
                <w:szCs w:val="15"/>
                <w:b w:val="1"/>
                <w:bCs w:val="1"/>
                <w:color w:val="auto"/>
                <w:w w:val="85"/>
              </w:rPr>
              <w:t>Segment</w:t>
            </w:r>
          </w:p>
        </w:tc>
        <w:tc>
          <w:tcPr>
            <w:tcW w:w="140" w:type="dxa"/>
            <w:vAlign w:val="bottom"/>
          </w:tcPr>
          <w:p>
            <w:pPr>
              <w:spacing w:after="0"/>
              <w:rPr>
                <w:sz w:val="17"/>
                <w:szCs w:val="17"/>
                <w:color w:val="auto"/>
              </w:rPr>
            </w:pPr>
          </w:p>
        </w:tc>
        <w:tc>
          <w:tcPr>
            <w:tcW w:w="840" w:type="dxa"/>
            <w:vAlign w:val="bottom"/>
          </w:tcPr>
          <w:p>
            <w:pPr>
              <w:jc w:val="center"/>
              <w:ind w:right="5"/>
              <w:spacing w:after="0"/>
              <w:rPr>
                <w:sz w:val="20"/>
                <w:szCs w:val="20"/>
                <w:color w:val="auto"/>
              </w:rPr>
            </w:pPr>
            <w:r>
              <w:rPr>
                <w:rFonts w:ascii="Arial" w:cs="Arial" w:eastAsia="Arial" w:hAnsi="Arial"/>
                <w:sz w:val="15"/>
                <w:szCs w:val="15"/>
                <w:b w:val="1"/>
                <w:bCs w:val="1"/>
                <w:color w:val="auto"/>
                <w:w w:val="88"/>
              </w:rPr>
              <w:t>Segment</w:t>
            </w:r>
          </w:p>
        </w:tc>
        <w:tc>
          <w:tcPr>
            <w:tcW w:w="600" w:type="dxa"/>
            <w:vAlign w:val="bottom"/>
            <w:gridSpan w:val="2"/>
          </w:tcPr>
          <w:p>
            <w:pPr>
              <w:ind w:left="80"/>
              <w:spacing w:after="0"/>
              <w:rPr>
                <w:sz w:val="20"/>
                <w:szCs w:val="20"/>
                <w:color w:val="auto"/>
              </w:rPr>
            </w:pPr>
            <w:r>
              <w:rPr>
                <w:rFonts w:ascii="Arial" w:cs="Arial" w:eastAsia="Arial" w:hAnsi="Arial"/>
                <w:sz w:val="15"/>
                <w:szCs w:val="15"/>
                <w:b w:val="1"/>
                <w:bCs w:val="1"/>
                <w:color w:val="auto"/>
              </w:rPr>
              <w:t>Other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Revenues from external customers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76,275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$ 17,108</w:t>
            </w:r>
          </w:p>
        </w:tc>
        <w:tc>
          <w:tcPr>
            <w:tcW w:w="8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$ 13,919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69,965</w:t>
            </w:r>
          </w:p>
        </w:tc>
        <w:tc>
          <w:tcPr>
            <w:tcW w:w="70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$ 13,589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2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Segment profit  (loss) excluding</w:t>
            </w:r>
          </w:p>
        </w:tc>
        <w:tc>
          <w:tcPr>
            <w:tcW w:w="8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impairment changes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4,826</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630</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rPr>
              <w:t>(1,894)</w:t>
            </w: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4,120</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Restructuring and impairment charges</w:t>
            </w:r>
          </w:p>
        </w:tc>
        <w:tc>
          <w:tcPr>
            <w:tcW w:w="840" w:type="dxa"/>
            <w:vAlign w:val="bottom"/>
          </w:tcPr>
          <w:p>
            <w:pPr>
              <w:jc w:val="right"/>
              <w:spacing w:after="0"/>
              <w:rPr>
                <w:sz w:val="20"/>
                <w:szCs w:val="20"/>
                <w:color w:val="auto"/>
              </w:rPr>
            </w:pPr>
            <w:r>
              <w:rPr>
                <w:rFonts w:ascii="Arial" w:cs="Arial" w:eastAsia="Arial" w:hAnsi="Arial"/>
                <w:sz w:val="15"/>
                <w:szCs w:val="15"/>
                <w:color w:val="auto"/>
              </w:rPr>
              <w:t>(13,336)</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46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9"/>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income tax impacts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5"/>
                <w:szCs w:val="15"/>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(8,594)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(507)</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  630</w:t>
            </w:r>
          </w:p>
        </w:tc>
        <w:tc>
          <w:tcPr>
            <w:tcW w:w="76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rPr>
              <w:t>$ (1,894)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4,120</w:t>
            </w: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777</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6"/>
              </w:rPr>
              <w:t>$ (1,444)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60" w:type="dxa"/>
            <w:vAlign w:val="bottom"/>
          </w:tcPr>
          <w:p>
            <w:pPr>
              <w:spacing w:after="0"/>
              <w:rPr>
                <w:sz w:val="14"/>
                <w:szCs w:val="14"/>
                <w:color w:val="auto"/>
              </w:rPr>
            </w:pPr>
          </w:p>
        </w:tc>
        <w:tc>
          <w:tcPr>
            <w:tcW w:w="276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Assets</w:t>
            </w:r>
          </w:p>
        </w:tc>
        <w:tc>
          <w:tcPr>
            <w:tcW w:w="84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rPr>
              <w:t>$ 231,614</w:t>
            </w:r>
          </w:p>
        </w:tc>
        <w:tc>
          <w:tcPr>
            <w:tcW w:w="84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rPr>
              <w:t>$53,064</w:t>
            </w:r>
          </w:p>
        </w:tc>
        <w:tc>
          <w:tcPr>
            <w:tcW w:w="880" w:type="dxa"/>
            <w:vAlign w:val="bottom"/>
            <w:shd w:val="clear" w:color="auto" w:fill="CCEEFF"/>
          </w:tcPr>
          <w:p>
            <w:pPr>
              <w:jc w:val="right"/>
              <w:ind w:right="5"/>
              <w:spacing w:after="0" w:line="164" w:lineRule="exact"/>
              <w:rPr>
                <w:sz w:val="20"/>
                <w:szCs w:val="20"/>
                <w:color w:val="auto"/>
              </w:rPr>
            </w:pPr>
            <w:r>
              <w:rPr>
                <w:rFonts w:ascii="Arial" w:cs="Arial" w:eastAsia="Arial" w:hAnsi="Arial"/>
                <w:sz w:val="15"/>
                <w:szCs w:val="15"/>
                <w:color w:val="auto"/>
              </w:rPr>
              <w:t>$52,182</w:t>
            </w:r>
          </w:p>
        </w:tc>
        <w:tc>
          <w:tcPr>
            <w:tcW w:w="300" w:type="dxa"/>
            <w:vAlign w:val="bottom"/>
            <w:shd w:val="clear" w:color="auto" w:fill="CCEEFF"/>
          </w:tcPr>
          <w:p>
            <w:pPr>
              <w:jc w:val="right"/>
              <w:ind w:right="25"/>
              <w:spacing w:after="0" w:line="164"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45"/>
              <w:spacing w:after="0" w:line="164" w:lineRule="exact"/>
              <w:rPr>
                <w:sz w:val="20"/>
                <w:szCs w:val="20"/>
                <w:color w:val="auto"/>
              </w:rPr>
            </w:pPr>
            <w:r>
              <w:rPr>
                <w:rFonts w:ascii="Arial" w:cs="Arial" w:eastAsia="Arial" w:hAnsi="Arial"/>
                <w:sz w:val="15"/>
                <w:szCs w:val="15"/>
                <w:color w:val="auto"/>
                <w:w w:val="85"/>
              </w:rPr>
              <w:t>6,981</w:t>
            </w:r>
          </w:p>
        </w:tc>
        <w:tc>
          <w:tcPr>
            <w:tcW w:w="800" w:type="dxa"/>
            <w:vAlign w:val="bottom"/>
            <w:gridSpan w:val="2"/>
            <w:shd w:val="clear" w:color="auto" w:fill="CCEEFF"/>
          </w:tcPr>
          <w:p>
            <w:pPr>
              <w:jc w:val="right"/>
              <w:spacing w:after="0" w:line="164" w:lineRule="exact"/>
              <w:rPr>
                <w:sz w:val="20"/>
                <w:szCs w:val="20"/>
                <w:color w:val="auto"/>
              </w:rPr>
            </w:pPr>
            <w:r>
              <w:rPr>
                <w:rFonts w:ascii="Arial" w:cs="Arial" w:eastAsia="Arial" w:hAnsi="Arial"/>
                <w:sz w:val="15"/>
                <w:szCs w:val="15"/>
                <w:color w:val="auto"/>
              </w:rPr>
              <w:t>$229,456</w:t>
            </w:r>
          </w:p>
        </w:tc>
        <w:tc>
          <w:tcPr>
            <w:tcW w:w="700" w:type="dxa"/>
            <w:vAlign w:val="bottom"/>
            <w:shd w:val="clear" w:color="auto" w:fill="CCEEFF"/>
          </w:tcPr>
          <w:p>
            <w:pPr>
              <w:jc w:val="right"/>
              <w:ind w:right="65"/>
              <w:spacing w:after="0" w:line="164"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w w:val="99"/>
              </w:rPr>
              <w:t>--</w:t>
            </w:r>
          </w:p>
        </w:tc>
        <w:tc>
          <w:tcPr>
            <w:tcW w:w="84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rPr>
              <w:t>$ 52,981</w:t>
            </w:r>
          </w:p>
        </w:tc>
        <w:tc>
          <w:tcPr>
            <w:tcW w:w="220" w:type="dxa"/>
            <w:vAlign w:val="bottom"/>
            <w:shd w:val="clear" w:color="auto" w:fill="CCEEFF"/>
          </w:tcPr>
          <w:p>
            <w:pPr>
              <w:ind w:left="60"/>
              <w:spacing w:after="0" w:line="164"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line="164" w:lineRule="exact"/>
              <w:rPr>
                <w:sz w:val="20"/>
                <w:szCs w:val="20"/>
                <w:color w:val="auto"/>
              </w:rPr>
            </w:pPr>
            <w:r>
              <w:rPr>
                <w:rFonts w:ascii="Arial" w:cs="Arial" w:eastAsia="Arial" w:hAnsi="Arial"/>
                <w:sz w:val="15"/>
                <w:szCs w:val="15"/>
                <w:color w:val="auto"/>
                <w:w w:val="95"/>
              </w:rPr>
              <w:t>5,763</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5"/>
        </w:trPr>
        <w:tc>
          <w:tcPr>
            <w:tcW w:w="1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jc w:val="right"/>
              <w:ind w:right="605"/>
              <w:spacing w:after="0"/>
              <w:rPr>
                <w:sz w:val="20"/>
                <w:szCs w:val="20"/>
                <w:color w:val="auto"/>
              </w:rPr>
            </w:pPr>
            <w:r>
              <w:rPr>
                <w:rFonts w:ascii="Arial" w:cs="Arial" w:eastAsia="Arial" w:hAnsi="Arial"/>
                <w:sz w:val="15"/>
                <w:szCs w:val="15"/>
                <w:color w:val="auto"/>
              </w:rPr>
              <w:t>10</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Borders>
              <w:bottom w:val="single" w:sz="8" w:color="808080"/>
            </w:tcBorders>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651" w:right="21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(unaudited)</w:t>
      </w:r>
    </w:p>
    <w:p>
      <w:pPr>
        <w:spacing w:after="0" w:line="396" w:lineRule="exact"/>
        <w:rPr>
          <w:sz w:val="20"/>
          <w:szCs w:val="20"/>
          <w:color w:val="auto"/>
        </w:rPr>
      </w:pPr>
    </w:p>
    <w:tbl>
      <w:tblPr>
        <w:tblLayout w:type="fixed"/>
        <w:tblInd w:w="11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vMerge w:val="restart"/>
          </w:tcPr>
          <w:p>
            <w:pPr>
              <w:jc w:val="center"/>
              <w:ind w:right="45"/>
              <w:spacing w:after="0"/>
              <w:rPr>
                <w:sz w:val="20"/>
                <w:szCs w:val="20"/>
                <w:color w:val="auto"/>
              </w:rPr>
            </w:pPr>
            <w:r>
              <w:rPr>
                <w:rFonts w:ascii="Arial" w:cs="Arial" w:eastAsia="Arial" w:hAnsi="Arial"/>
                <w:sz w:val="15"/>
                <w:szCs w:val="15"/>
                <w:b w:val="1"/>
                <w:bCs w:val="1"/>
                <w:color w:val="auto"/>
                <w:w w:val="89"/>
              </w:rPr>
              <w:t>2007</w:t>
            </w:r>
          </w:p>
        </w:tc>
        <w:tc>
          <w:tcPr>
            <w:tcW w:w="2240" w:type="dxa"/>
            <w:vAlign w:val="bottom"/>
            <w:gridSpan w:val="3"/>
          </w:tcPr>
          <w:p>
            <w:pPr>
              <w:jc w:val="right"/>
              <w:ind w:right="165"/>
              <w:spacing w:after="0"/>
              <w:rPr>
                <w:sz w:val="20"/>
                <w:szCs w:val="20"/>
                <w:color w:val="auto"/>
              </w:rPr>
            </w:pPr>
            <w:r>
              <w:rPr>
                <w:rFonts w:ascii="Arial" w:cs="Arial" w:eastAsia="Arial" w:hAnsi="Arial"/>
                <w:sz w:val="15"/>
                <w:szCs w:val="15"/>
                <w:b w:val="1"/>
                <w:bCs w:val="1"/>
                <w:color w:val="auto"/>
              </w:rPr>
              <w:t>Six Months Ended June 30,</w:t>
            </w:r>
          </w:p>
        </w:tc>
        <w:tc>
          <w:tcPr>
            <w:tcW w:w="680" w:type="dxa"/>
            <w:vAlign w:val="bottom"/>
          </w:tcPr>
          <w:p>
            <w:pPr>
              <w:spacing w:after="0"/>
              <w:rPr>
                <w:sz w:val="16"/>
                <w:szCs w:val="16"/>
                <w:color w:val="auto"/>
              </w:rPr>
            </w:pPr>
          </w:p>
        </w:tc>
        <w:tc>
          <w:tcPr>
            <w:tcW w:w="4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2006</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3"/>
              </w:rPr>
              <w:t>Metal</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9"/>
              </w:rPr>
              <w:t>Bearing</w:t>
            </w:r>
          </w:p>
        </w:tc>
        <w:tc>
          <w:tcPr>
            <w:tcW w:w="780" w:type="dxa"/>
            <w:vAlign w:val="bottom"/>
          </w:tcPr>
          <w:p>
            <w:pPr>
              <w:spacing w:after="0"/>
              <w:rPr>
                <w:sz w:val="15"/>
                <w:szCs w:val="15"/>
                <w:color w:val="auto"/>
              </w:rPr>
            </w:pPr>
          </w:p>
        </w:tc>
        <w:tc>
          <w:tcPr>
            <w:tcW w:w="860" w:type="dxa"/>
            <w:vAlign w:val="bottom"/>
          </w:tcPr>
          <w:p>
            <w:pPr>
              <w:jc w:val="center"/>
              <w:ind w:right="45"/>
              <w:spacing w:after="0"/>
              <w:rPr>
                <w:sz w:val="20"/>
                <w:szCs w:val="20"/>
                <w:color w:val="auto"/>
              </w:rPr>
            </w:pPr>
            <w:r>
              <w:rPr>
                <w:rFonts w:ascii="Arial" w:cs="Arial" w:eastAsia="Arial" w:hAnsi="Arial"/>
                <w:sz w:val="15"/>
                <w:szCs w:val="15"/>
                <w:b w:val="1"/>
                <w:bCs w:val="1"/>
                <w:color w:val="auto"/>
                <w:w w:val="88"/>
              </w:rPr>
              <w:t>Plastic and</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85"/>
              <w:spacing w:after="0"/>
              <w:rPr>
                <w:sz w:val="20"/>
                <w:szCs w:val="20"/>
                <w:color w:val="auto"/>
              </w:rPr>
            </w:pPr>
            <w:r>
              <w:rPr>
                <w:rFonts w:ascii="Arial" w:cs="Arial" w:eastAsia="Arial" w:hAnsi="Arial"/>
                <w:sz w:val="15"/>
                <w:szCs w:val="15"/>
                <w:b w:val="1"/>
                <w:bCs w:val="1"/>
                <w:color w:val="auto"/>
                <w:w w:val="88"/>
              </w:rPr>
              <w:t>Plastic and</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3"/>
              </w:rPr>
              <w:t>Com-</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5"/>
              </w:rPr>
              <w:t>Precision</w:t>
            </w:r>
          </w:p>
        </w:tc>
        <w:tc>
          <w:tcPr>
            <w:tcW w:w="860" w:type="dxa"/>
            <w:vAlign w:val="bottom"/>
          </w:tcPr>
          <w:p>
            <w:pPr>
              <w:jc w:val="center"/>
              <w:ind w:right="45"/>
              <w:spacing w:after="0"/>
              <w:rPr>
                <w:sz w:val="20"/>
                <w:szCs w:val="20"/>
                <w:color w:val="auto"/>
              </w:rPr>
            </w:pPr>
            <w:r>
              <w:rPr>
                <w:rFonts w:ascii="Arial" w:cs="Arial" w:eastAsia="Arial" w:hAnsi="Arial"/>
                <w:sz w:val="15"/>
                <w:szCs w:val="15"/>
                <w:b w:val="1"/>
                <w:bCs w:val="1"/>
                <w:color w:val="auto"/>
                <w:w w:val="95"/>
              </w:rPr>
              <w:t>Rubber</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center"/>
              <w:ind w:left="25"/>
              <w:spacing w:after="0"/>
              <w:rPr>
                <w:sz w:val="20"/>
                <w:szCs w:val="20"/>
                <w:color w:val="auto"/>
              </w:rPr>
            </w:pPr>
            <w:r>
              <w:rPr>
                <w:rFonts w:ascii="Arial" w:cs="Arial" w:eastAsia="Arial" w:hAnsi="Arial"/>
                <w:sz w:val="15"/>
                <w:szCs w:val="15"/>
                <w:b w:val="1"/>
                <w:bCs w:val="1"/>
                <w:color w:val="auto"/>
                <w:w w:val="85"/>
              </w:rPr>
              <w:t>Precision</w:t>
            </w:r>
          </w:p>
        </w:tc>
        <w:tc>
          <w:tcPr>
            <w:tcW w:w="120" w:type="dxa"/>
            <w:vAlign w:val="bottom"/>
          </w:tcPr>
          <w:p>
            <w:pPr>
              <w:spacing w:after="0"/>
              <w:rPr>
                <w:sz w:val="15"/>
                <w:szCs w:val="15"/>
                <w:color w:val="auto"/>
              </w:rPr>
            </w:pPr>
          </w:p>
        </w:tc>
        <w:tc>
          <w:tcPr>
            <w:tcW w:w="900" w:type="dxa"/>
            <w:vAlign w:val="bottom"/>
            <w:gridSpan w:val="2"/>
          </w:tcPr>
          <w:p>
            <w:pPr>
              <w:jc w:val="center"/>
              <w:ind w:right="85"/>
              <w:spacing w:after="0"/>
              <w:rPr>
                <w:sz w:val="20"/>
                <w:szCs w:val="20"/>
                <w:color w:val="auto"/>
              </w:rPr>
            </w:pPr>
            <w:r>
              <w:rPr>
                <w:rFonts w:ascii="Arial" w:cs="Arial" w:eastAsia="Arial" w:hAnsi="Arial"/>
                <w:sz w:val="15"/>
                <w:szCs w:val="15"/>
                <w:b w:val="1"/>
                <w:bCs w:val="1"/>
                <w:color w:val="auto"/>
                <w:w w:val="95"/>
              </w:rPr>
              <w:t>Rubber</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5"/>
              </w:rPr>
              <w:t>ponents</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3"/>
              </w:rPr>
              <w:t>Metal Com-</w:t>
            </w:r>
          </w:p>
        </w:tc>
        <w:tc>
          <w:tcPr>
            <w:tcW w:w="860" w:type="dxa"/>
            <w:vAlign w:val="bottom"/>
          </w:tcPr>
          <w:p>
            <w:pPr>
              <w:jc w:val="center"/>
              <w:ind w:right="45"/>
              <w:spacing w:after="0"/>
              <w:rPr>
                <w:sz w:val="20"/>
                <w:szCs w:val="20"/>
                <w:color w:val="auto"/>
              </w:rPr>
            </w:pPr>
            <w:r>
              <w:rPr>
                <w:rFonts w:ascii="Arial" w:cs="Arial" w:eastAsia="Arial" w:hAnsi="Arial"/>
                <w:sz w:val="15"/>
                <w:szCs w:val="15"/>
                <w:b w:val="1"/>
                <w:bCs w:val="1"/>
                <w:color w:val="auto"/>
                <w:w w:val="88"/>
              </w:rPr>
              <w:t>Com-</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6"/>
              </w:rPr>
              <w:t>Metal Com-</w:t>
            </w:r>
          </w:p>
        </w:tc>
        <w:tc>
          <w:tcPr>
            <w:tcW w:w="90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93"/>
              </w:rPr>
              <w:t>Com-</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8"/>
              </w:rPr>
              <w:t>Segment</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5"/>
              </w:rPr>
              <w:t>ponents</w:t>
            </w:r>
          </w:p>
        </w:tc>
        <w:tc>
          <w:tcPr>
            <w:tcW w:w="860" w:type="dxa"/>
            <w:vAlign w:val="bottom"/>
          </w:tcPr>
          <w:p>
            <w:pPr>
              <w:jc w:val="center"/>
              <w:ind w:right="45"/>
              <w:spacing w:after="0"/>
              <w:rPr>
                <w:sz w:val="20"/>
                <w:szCs w:val="20"/>
                <w:color w:val="auto"/>
              </w:rPr>
            </w:pPr>
            <w:r>
              <w:rPr>
                <w:rFonts w:ascii="Arial" w:cs="Arial" w:eastAsia="Arial" w:hAnsi="Arial"/>
                <w:sz w:val="15"/>
                <w:szCs w:val="15"/>
                <w:b w:val="1"/>
                <w:bCs w:val="1"/>
                <w:color w:val="auto"/>
                <w:w w:val="85"/>
              </w:rPr>
              <w:t>ponents</w:t>
            </w:r>
          </w:p>
        </w:tc>
        <w:tc>
          <w:tcPr>
            <w:tcW w:w="740" w:type="dxa"/>
            <w:vAlign w:val="bottom"/>
          </w:tcPr>
          <w:p>
            <w:pPr>
              <w:jc w:val="right"/>
              <w:ind w:right="285"/>
              <w:spacing w:after="0"/>
              <w:rPr>
                <w:sz w:val="20"/>
                <w:szCs w:val="20"/>
                <w:color w:val="auto"/>
              </w:rPr>
            </w:pPr>
            <w:r>
              <w:rPr>
                <w:rFonts w:ascii="Arial" w:cs="Arial" w:eastAsia="Arial" w:hAnsi="Arial"/>
                <w:sz w:val="15"/>
                <w:szCs w:val="15"/>
                <w:b w:val="1"/>
                <w:bCs w:val="1"/>
                <w:color w:val="auto"/>
              </w:rPr>
              <w:t>All</w:t>
            </w:r>
          </w:p>
        </w:tc>
        <w:tc>
          <w:tcPr>
            <w:tcW w:w="1500" w:type="dxa"/>
            <w:vAlign w:val="bottom"/>
            <w:gridSpan w:val="2"/>
          </w:tcPr>
          <w:p>
            <w:pPr>
              <w:jc w:val="right"/>
              <w:ind w:right="65"/>
              <w:spacing w:after="0"/>
              <w:rPr>
                <w:sz w:val="20"/>
                <w:szCs w:val="20"/>
                <w:color w:val="auto"/>
              </w:rPr>
            </w:pPr>
            <w:r>
              <w:rPr>
                <w:rFonts w:ascii="Arial" w:cs="Arial" w:eastAsia="Arial" w:hAnsi="Arial"/>
                <w:sz w:val="15"/>
                <w:szCs w:val="15"/>
                <w:b w:val="1"/>
                <w:bCs w:val="1"/>
                <w:color w:val="auto"/>
                <w:w w:val="95"/>
              </w:rPr>
              <w:t>Metal Bearing Com-</w:t>
            </w:r>
          </w:p>
        </w:tc>
        <w:tc>
          <w:tcPr>
            <w:tcW w:w="680" w:type="dxa"/>
            <w:vAlign w:val="bottom"/>
          </w:tcPr>
          <w:p>
            <w:pPr>
              <w:jc w:val="center"/>
              <w:ind w:left="25"/>
              <w:spacing w:after="0"/>
              <w:rPr>
                <w:sz w:val="20"/>
                <w:szCs w:val="20"/>
                <w:color w:val="auto"/>
              </w:rPr>
            </w:pPr>
            <w:r>
              <w:rPr>
                <w:rFonts w:ascii="Arial" w:cs="Arial" w:eastAsia="Arial" w:hAnsi="Arial"/>
                <w:sz w:val="15"/>
                <w:szCs w:val="15"/>
                <w:b w:val="1"/>
                <w:bCs w:val="1"/>
                <w:color w:val="auto"/>
                <w:w w:val="85"/>
              </w:rPr>
              <w:t>ponents</w:t>
            </w:r>
          </w:p>
        </w:tc>
        <w:tc>
          <w:tcPr>
            <w:tcW w:w="120" w:type="dxa"/>
            <w:vAlign w:val="bottom"/>
          </w:tcPr>
          <w:p>
            <w:pPr>
              <w:spacing w:after="0"/>
              <w:rPr>
                <w:sz w:val="15"/>
                <w:szCs w:val="15"/>
                <w:color w:val="auto"/>
              </w:rPr>
            </w:pPr>
          </w:p>
        </w:tc>
        <w:tc>
          <w:tcPr>
            <w:tcW w:w="900" w:type="dxa"/>
            <w:vAlign w:val="bottom"/>
            <w:gridSpan w:val="2"/>
          </w:tcPr>
          <w:p>
            <w:pPr>
              <w:jc w:val="center"/>
              <w:ind w:right="85"/>
              <w:spacing w:after="0"/>
              <w:rPr>
                <w:sz w:val="20"/>
                <w:szCs w:val="20"/>
                <w:color w:val="auto"/>
              </w:rPr>
            </w:pPr>
            <w:r>
              <w:rPr>
                <w:rFonts w:ascii="Arial" w:cs="Arial" w:eastAsia="Arial" w:hAnsi="Arial"/>
                <w:sz w:val="15"/>
                <w:szCs w:val="15"/>
                <w:b w:val="1"/>
                <w:bCs w:val="1"/>
                <w:color w:val="auto"/>
                <w:w w:val="85"/>
              </w:rPr>
              <w:t>ponents</w:t>
            </w:r>
          </w:p>
        </w:tc>
        <w:tc>
          <w:tcPr>
            <w:tcW w:w="760" w:type="dxa"/>
            <w:vAlign w:val="bottom"/>
            <w:gridSpan w:val="2"/>
          </w:tcPr>
          <w:p>
            <w:pPr>
              <w:ind w:left="220"/>
              <w:spacing w:after="0"/>
              <w:rPr>
                <w:sz w:val="20"/>
                <w:szCs w:val="20"/>
                <w:color w:val="auto"/>
              </w:rPr>
            </w:pPr>
            <w:r>
              <w:rPr>
                <w:rFonts w:ascii="Arial" w:cs="Arial" w:eastAsia="Arial" w:hAnsi="Arial"/>
                <w:sz w:val="15"/>
                <w:szCs w:val="15"/>
                <w:b w:val="1"/>
                <w:bCs w:val="1"/>
                <w:color w:val="auto"/>
              </w:rPr>
              <w:t>All</w:t>
            </w:r>
          </w:p>
        </w:tc>
        <w:tc>
          <w:tcPr>
            <w:tcW w:w="0" w:type="dxa"/>
            <w:vAlign w:val="bottom"/>
          </w:tcPr>
          <w:p>
            <w:pPr>
              <w:spacing w:after="0"/>
              <w:rPr>
                <w:sz w:val="1"/>
                <w:szCs w:val="1"/>
                <w:color w:val="auto"/>
              </w:rPr>
            </w:pPr>
          </w:p>
        </w:tc>
      </w:tr>
      <w:tr>
        <w:trPr>
          <w:trHeight w:val="196"/>
        </w:trPr>
        <w:tc>
          <w:tcPr>
            <w:tcW w:w="2040" w:type="dxa"/>
            <w:vAlign w:val="bottom"/>
            <w:gridSpan w:val="2"/>
          </w:tcPr>
          <w:p>
            <w:pPr>
              <w:spacing w:after="0"/>
              <w:rPr>
                <w:sz w:val="20"/>
                <w:szCs w:val="20"/>
                <w:color w:val="auto"/>
              </w:rPr>
            </w:pPr>
            <w:r>
              <w:rPr>
                <w:rFonts w:ascii="Arial" w:cs="Arial" w:eastAsia="Arial" w:hAnsi="Arial"/>
                <w:sz w:val="15"/>
                <w:szCs w:val="15"/>
                <w:color w:val="auto"/>
              </w:rPr>
              <w:t>(In Thousands of Dollars)</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8"/>
              </w:rPr>
              <w:t>As restated</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5"/>
              </w:rPr>
              <w:t>Segment</w:t>
            </w:r>
          </w:p>
        </w:tc>
        <w:tc>
          <w:tcPr>
            <w:tcW w:w="860" w:type="dxa"/>
            <w:vAlign w:val="bottom"/>
          </w:tcPr>
          <w:p>
            <w:pPr>
              <w:jc w:val="center"/>
              <w:ind w:right="45"/>
              <w:spacing w:after="0"/>
              <w:rPr>
                <w:sz w:val="20"/>
                <w:szCs w:val="20"/>
                <w:color w:val="auto"/>
              </w:rPr>
            </w:pPr>
            <w:r>
              <w:rPr>
                <w:rFonts w:ascii="Arial" w:cs="Arial" w:eastAsia="Arial" w:hAnsi="Arial"/>
                <w:sz w:val="15"/>
                <w:szCs w:val="15"/>
                <w:b w:val="1"/>
                <w:bCs w:val="1"/>
                <w:color w:val="auto"/>
                <w:w w:val="85"/>
              </w:rPr>
              <w:t>Segment</w:t>
            </w:r>
          </w:p>
        </w:tc>
        <w:tc>
          <w:tcPr>
            <w:tcW w:w="740" w:type="dxa"/>
            <w:vAlign w:val="bottom"/>
          </w:tcPr>
          <w:p>
            <w:pPr>
              <w:jc w:val="right"/>
              <w:ind w:right="185"/>
              <w:spacing w:after="0"/>
              <w:rPr>
                <w:sz w:val="20"/>
                <w:szCs w:val="20"/>
                <w:color w:val="auto"/>
              </w:rPr>
            </w:pPr>
            <w:r>
              <w:rPr>
                <w:rFonts w:ascii="Arial" w:cs="Arial" w:eastAsia="Arial" w:hAnsi="Arial"/>
                <w:sz w:val="15"/>
                <w:szCs w:val="15"/>
                <w:b w:val="1"/>
                <w:bCs w:val="1"/>
                <w:color w:val="auto"/>
              </w:rPr>
              <w:t>Other</w:t>
            </w:r>
          </w:p>
        </w:tc>
        <w:tc>
          <w:tcPr>
            <w:tcW w:w="1500" w:type="dxa"/>
            <w:vAlign w:val="bottom"/>
            <w:gridSpan w:val="2"/>
          </w:tcPr>
          <w:p>
            <w:pPr>
              <w:jc w:val="right"/>
              <w:ind w:right="165"/>
              <w:spacing w:after="0"/>
              <w:rPr>
                <w:sz w:val="20"/>
                <w:szCs w:val="20"/>
                <w:color w:val="auto"/>
              </w:rPr>
            </w:pPr>
            <w:r>
              <w:rPr>
                <w:rFonts w:ascii="Arial" w:cs="Arial" w:eastAsia="Arial" w:hAnsi="Arial"/>
                <w:sz w:val="15"/>
                <w:szCs w:val="15"/>
                <w:b w:val="1"/>
                <w:bCs w:val="1"/>
                <w:color w:val="auto"/>
                <w:w w:val="98"/>
              </w:rPr>
              <w:t>ponents Segment</w:t>
            </w:r>
          </w:p>
        </w:tc>
        <w:tc>
          <w:tcPr>
            <w:tcW w:w="680" w:type="dxa"/>
            <w:vAlign w:val="bottom"/>
          </w:tcPr>
          <w:p>
            <w:pPr>
              <w:jc w:val="center"/>
              <w:ind w:left="25"/>
              <w:spacing w:after="0"/>
              <w:rPr>
                <w:sz w:val="20"/>
                <w:szCs w:val="20"/>
                <w:color w:val="auto"/>
              </w:rPr>
            </w:pPr>
            <w:r>
              <w:rPr>
                <w:rFonts w:ascii="Arial" w:cs="Arial" w:eastAsia="Arial" w:hAnsi="Arial"/>
                <w:sz w:val="15"/>
                <w:szCs w:val="15"/>
                <w:b w:val="1"/>
                <w:bCs w:val="1"/>
                <w:color w:val="auto"/>
                <w:w w:val="85"/>
              </w:rPr>
              <w:t>Segment</w:t>
            </w:r>
          </w:p>
        </w:tc>
        <w:tc>
          <w:tcPr>
            <w:tcW w:w="120" w:type="dxa"/>
            <w:vAlign w:val="bottom"/>
          </w:tcPr>
          <w:p>
            <w:pPr>
              <w:spacing w:after="0"/>
              <w:rPr>
                <w:sz w:val="17"/>
                <w:szCs w:val="17"/>
                <w:color w:val="auto"/>
              </w:rPr>
            </w:pPr>
          </w:p>
        </w:tc>
        <w:tc>
          <w:tcPr>
            <w:tcW w:w="900" w:type="dxa"/>
            <w:vAlign w:val="bottom"/>
            <w:gridSpan w:val="2"/>
          </w:tcPr>
          <w:p>
            <w:pPr>
              <w:jc w:val="center"/>
              <w:ind w:right="85"/>
              <w:spacing w:after="0"/>
              <w:rPr>
                <w:sz w:val="20"/>
                <w:szCs w:val="20"/>
                <w:color w:val="auto"/>
              </w:rPr>
            </w:pPr>
            <w:r>
              <w:rPr>
                <w:rFonts w:ascii="Arial" w:cs="Arial" w:eastAsia="Arial" w:hAnsi="Arial"/>
                <w:sz w:val="15"/>
                <w:szCs w:val="15"/>
                <w:b w:val="1"/>
                <w:bCs w:val="1"/>
                <w:color w:val="auto"/>
                <w:w w:val="85"/>
              </w:rPr>
              <w:t>Segment</w:t>
            </w:r>
          </w:p>
        </w:tc>
        <w:tc>
          <w:tcPr>
            <w:tcW w:w="760" w:type="dxa"/>
            <w:vAlign w:val="bottom"/>
            <w:gridSpan w:val="2"/>
          </w:tcPr>
          <w:p>
            <w:pPr>
              <w:jc w:val="right"/>
              <w:ind w:right="185"/>
              <w:spacing w:after="0"/>
              <w:rPr>
                <w:sz w:val="20"/>
                <w:szCs w:val="20"/>
                <w:color w:val="auto"/>
              </w:rPr>
            </w:pPr>
            <w:r>
              <w:rPr>
                <w:rFonts w:ascii="Arial" w:cs="Arial" w:eastAsia="Arial" w:hAnsi="Arial"/>
                <w:sz w:val="15"/>
                <w:szCs w:val="15"/>
                <w:b w:val="1"/>
                <w:bCs w:val="1"/>
                <w:color w:val="auto"/>
              </w:rPr>
              <w:t>Other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Revenues from external</w:t>
            </w:r>
          </w:p>
        </w:tc>
        <w:tc>
          <w:tcPr>
            <w:tcW w:w="7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customers</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$ 153,559</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$ 35,136</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$ 26,551</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4"/>
              </w:rPr>
              <w:t>141,305</w:t>
            </w:r>
          </w:p>
        </w:tc>
        <w:tc>
          <w:tcPr>
            <w:tcW w:w="68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87"/>
              </w:rPr>
              <w:t>28,266</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2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7"/>
              </w:rPr>
              <w:t>Segment profit (loss) excluding</w:t>
            </w: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impairment</w:t>
            </w: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5"/>
                <w:szCs w:val="15"/>
                <w:color w:val="auto"/>
              </w:rPr>
              <w:t>changes</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9,708</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1,119</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(3,557)</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9,939</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w w:val="99"/>
              </w:rPr>
              <w:t>--</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1,705</w:t>
            </w: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(2,929)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20" w:type="dxa"/>
            <w:vAlign w:val="bottom"/>
          </w:tcPr>
          <w:p>
            <w:pPr>
              <w:spacing w:after="0" w:line="169" w:lineRule="exact"/>
              <w:rPr>
                <w:sz w:val="20"/>
                <w:szCs w:val="20"/>
                <w:color w:val="auto"/>
              </w:rPr>
            </w:pPr>
            <w:r>
              <w:rPr>
                <w:rFonts w:ascii="Arial" w:cs="Arial" w:eastAsia="Arial" w:hAnsi="Arial"/>
                <w:sz w:val="15"/>
                <w:szCs w:val="15"/>
                <w:color w:val="auto"/>
              </w:rPr>
              <w:t>Restructuring and impairment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40" w:type="dxa"/>
            <w:vAlign w:val="bottom"/>
            <w:gridSpan w:val="2"/>
          </w:tcPr>
          <w:p>
            <w:pPr>
              <w:spacing w:after="0"/>
              <w:rPr>
                <w:sz w:val="20"/>
                <w:szCs w:val="20"/>
                <w:color w:val="auto"/>
              </w:rPr>
            </w:pPr>
            <w:r>
              <w:rPr>
                <w:rFonts w:ascii="Arial" w:cs="Arial" w:eastAsia="Arial" w:hAnsi="Arial"/>
                <w:sz w:val="15"/>
                <w:szCs w:val="15"/>
                <w:color w:val="auto"/>
              </w:rPr>
              <w:t>charges</w:t>
            </w:r>
          </w:p>
        </w:tc>
        <w:tc>
          <w:tcPr>
            <w:tcW w:w="780" w:type="dxa"/>
            <w:vAlign w:val="bottom"/>
          </w:tcPr>
          <w:p>
            <w:pPr>
              <w:jc w:val="right"/>
              <w:spacing w:after="0"/>
              <w:rPr>
                <w:sz w:val="20"/>
                <w:szCs w:val="20"/>
                <w:color w:val="auto"/>
              </w:rPr>
            </w:pPr>
            <w:r>
              <w:rPr>
                <w:rFonts w:ascii="Arial" w:cs="Arial" w:eastAsia="Arial" w:hAnsi="Arial"/>
                <w:sz w:val="15"/>
                <w:szCs w:val="15"/>
                <w:color w:val="auto"/>
              </w:rPr>
              <w:t>(13,336)</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w w:val="99"/>
              </w:rPr>
              <w:t>--</w:t>
            </w:r>
          </w:p>
        </w:tc>
        <w:tc>
          <w:tcPr>
            <w:tcW w:w="340" w:type="dxa"/>
            <w:vAlign w:val="bottom"/>
          </w:tcPr>
          <w:p>
            <w:pPr>
              <w:spacing w:after="0"/>
              <w:rPr>
                <w:sz w:val="16"/>
                <w:szCs w:val="16"/>
                <w:color w:val="auto"/>
              </w:rPr>
            </w:pPr>
          </w:p>
        </w:tc>
        <w:tc>
          <w:tcPr>
            <w:tcW w:w="56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income tax impacts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9"/>
              </w:rPr>
              <w:t>--</w:t>
            </w: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Arial" w:cs="Arial" w:eastAsia="Arial" w:hAnsi="Arial"/>
                <w:sz w:val="15"/>
                <w:szCs w:val="15"/>
                <w:color w:val="auto"/>
              </w:rPr>
              <w:t>Net income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(3,712)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(460)</w:t>
            </w:r>
          </w:p>
        </w:tc>
        <w:tc>
          <w:tcPr>
            <w:tcW w:w="8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$ 1,119</w:t>
            </w: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 (3,557)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9,939</w:t>
            </w:r>
          </w:p>
        </w:tc>
        <w:tc>
          <w:tcPr>
            <w:tcW w:w="6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1,705</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(2,929)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20" w:type="dxa"/>
            <w:vAlign w:val="bottom"/>
          </w:tcPr>
          <w:p>
            <w:pPr>
              <w:spacing w:after="0"/>
              <w:rPr>
                <w:sz w:val="20"/>
                <w:szCs w:val="20"/>
                <w:color w:val="auto"/>
              </w:rPr>
            </w:pPr>
            <w:r>
              <w:rPr>
                <w:rFonts w:ascii="Arial" w:cs="Arial" w:eastAsia="Arial" w:hAnsi="Arial"/>
                <w:sz w:val="15"/>
                <w:szCs w:val="15"/>
                <w:color w:val="auto"/>
              </w:rPr>
              <w:t>Assets</w:t>
            </w:r>
          </w:p>
        </w:tc>
        <w:tc>
          <w:tcPr>
            <w:tcW w:w="780" w:type="dxa"/>
            <w:vAlign w:val="bottom"/>
          </w:tcPr>
          <w:p>
            <w:pPr>
              <w:jc w:val="right"/>
              <w:spacing w:after="0"/>
              <w:rPr>
                <w:sz w:val="20"/>
                <w:szCs w:val="20"/>
                <w:color w:val="auto"/>
              </w:rPr>
            </w:pPr>
            <w:r>
              <w:rPr>
                <w:rFonts w:ascii="Arial" w:cs="Arial" w:eastAsia="Arial" w:hAnsi="Arial"/>
                <w:sz w:val="15"/>
                <w:szCs w:val="15"/>
                <w:color w:val="auto"/>
              </w:rPr>
              <w:t>$231,614</w:t>
            </w:r>
          </w:p>
        </w:tc>
        <w:tc>
          <w:tcPr>
            <w:tcW w:w="780" w:type="dxa"/>
            <w:vAlign w:val="bottom"/>
          </w:tcPr>
          <w:p>
            <w:pPr>
              <w:jc w:val="right"/>
              <w:spacing w:after="0"/>
              <w:rPr>
                <w:sz w:val="20"/>
                <w:szCs w:val="20"/>
                <w:color w:val="auto"/>
              </w:rPr>
            </w:pPr>
            <w:r>
              <w:rPr>
                <w:rFonts w:ascii="Arial" w:cs="Arial" w:eastAsia="Arial" w:hAnsi="Arial"/>
                <w:sz w:val="15"/>
                <w:szCs w:val="15"/>
                <w:color w:val="auto"/>
              </w:rPr>
              <w:t>$53,064</w:t>
            </w:r>
          </w:p>
        </w:tc>
        <w:tc>
          <w:tcPr>
            <w:tcW w:w="860" w:type="dxa"/>
            <w:vAlign w:val="bottom"/>
          </w:tcPr>
          <w:p>
            <w:pPr>
              <w:jc w:val="right"/>
              <w:ind w:right="25"/>
              <w:spacing w:after="0"/>
              <w:rPr>
                <w:sz w:val="20"/>
                <w:szCs w:val="20"/>
                <w:color w:val="auto"/>
              </w:rPr>
            </w:pPr>
            <w:r>
              <w:rPr>
                <w:rFonts w:ascii="Arial" w:cs="Arial" w:eastAsia="Arial" w:hAnsi="Arial"/>
                <w:sz w:val="15"/>
                <w:szCs w:val="15"/>
                <w:color w:val="auto"/>
              </w:rPr>
              <w:t>$52,182</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  6,981</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$229,456</w:t>
            </w: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w w:val="99"/>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65"/>
              <w:spacing w:after="0"/>
              <w:rPr>
                <w:sz w:val="20"/>
                <w:szCs w:val="20"/>
                <w:color w:val="auto"/>
              </w:rPr>
            </w:pPr>
            <w:r>
              <w:rPr>
                <w:rFonts w:ascii="Arial" w:cs="Arial" w:eastAsia="Arial" w:hAnsi="Arial"/>
                <w:sz w:val="15"/>
                <w:szCs w:val="15"/>
                <w:color w:val="auto"/>
                <w:w w:val="87"/>
              </w:rPr>
              <w:t>52,981</w:t>
            </w:r>
          </w:p>
        </w:tc>
        <w:tc>
          <w:tcPr>
            <w:tcW w:w="320" w:type="dxa"/>
            <w:vAlign w:val="bottom"/>
          </w:tcPr>
          <w:p>
            <w:pPr>
              <w:ind w:left="220"/>
              <w:spacing w:after="0"/>
              <w:rPr>
                <w:sz w:val="20"/>
                <w:szCs w:val="20"/>
                <w:color w:val="auto"/>
              </w:rPr>
            </w:pPr>
            <w:r>
              <w:rPr>
                <w:rFonts w:ascii="Arial" w:cs="Arial" w:eastAsia="Arial" w:hAnsi="Arial"/>
                <w:sz w:val="15"/>
                <w:szCs w:val="15"/>
                <w:color w:val="auto"/>
                <w:w w:val="95"/>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5,763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Note 7.</w:t>
      </w:r>
      <w:r>
        <w:rPr>
          <w:sz w:val="20"/>
          <w:szCs w:val="20"/>
          <w:color w:val="auto"/>
        </w:rPr>
        <w:tab/>
      </w:r>
      <w:r>
        <w:rPr>
          <w:rFonts w:ascii="Arial" w:cs="Arial" w:eastAsia="Arial" w:hAnsi="Arial"/>
          <w:sz w:val="13"/>
          <w:szCs w:val="13"/>
          <w:b w:val="1"/>
          <w:bCs w:val="1"/>
          <w:color w:val="auto"/>
        </w:rPr>
        <w:t>Recent Investing Activity</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The opening balance sheet for the Whirlaway Corporation (“Whirlaway”) acquisition on November 30, 2006 is still in the process of being finalized. For the six month period ended June 30, 2007, Goodwill decreased by $134 as certain opening balance sheet liabilities were reduced to their proper values partially offset by legal costs related to the acquisition paid during</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5"/>
          <w:szCs w:val="15"/>
          <w:color w:val="auto"/>
        </w:rPr>
        <w:t>2007. The following unaudited pro-forma financial information shows the net sales, net income, and net income per share for the six month period ended June 30, 2006, as though the acquisition of Whirlaway occurred at the beginning of 2006.</w:t>
      </w:r>
    </w:p>
    <w:p>
      <w:pPr>
        <w:spacing w:after="0" w:line="179"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96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Six Months Ended June 30, 2006</w:t>
            </w: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9"/>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2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211,547</w:t>
            </w:r>
          </w:p>
        </w:tc>
        <w:tc>
          <w:tcPr>
            <w:tcW w:w="20" w:type="dxa"/>
            <w:vAlign w:val="bottom"/>
          </w:tcPr>
          <w:p>
            <w:pPr>
              <w:spacing w:after="0"/>
              <w:rPr>
                <w:sz w:val="15"/>
                <w:szCs w:val="15"/>
                <w:color w:val="auto"/>
              </w:rPr>
            </w:pPr>
          </w:p>
        </w:tc>
      </w:tr>
      <w:tr>
        <w:trPr>
          <w:trHeight w:val="179"/>
        </w:trPr>
        <w:tc>
          <w:tcPr>
            <w:tcW w:w="5100" w:type="dxa"/>
            <w:vAlign w:val="bottom"/>
          </w:tcPr>
          <w:p>
            <w:pPr>
              <w:spacing w:after="0"/>
              <w:rPr>
                <w:sz w:val="20"/>
                <w:szCs w:val="20"/>
                <w:color w:val="auto"/>
              </w:rPr>
            </w:pPr>
            <w:r>
              <w:rPr>
                <w:rFonts w:ascii="Arial" w:cs="Arial" w:eastAsia="Arial" w:hAnsi="Arial"/>
                <w:sz w:val="15"/>
                <w:szCs w:val="15"/>
                <w:color w:val="auto"/>
              </w:rPr>
              <w:t>Net income</w:t>
            </w:r>
          </w:p>
        </w:tc>
        <w:tc>
          <w:tcPr>
            <w:tcW w:w="29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9,856</w:t>
            </w:r>
          </w:p>
        </w:tc>
        <w:tc>
          <w:tcPr>
            <w:tcW w:w="20" w:type="dxa"/>
            <w:vAlign w:val="bottom"/>
          </w:tcPr>
          <w:p>
            <w:pPr>
              <w:spacing w:after="0"/>
              <w:rPr>
                <w:sz w:val="15"/>
                <w:szCs w:val="15"/>
                <w:color w:val="auto"/>
              </w:rPr>
            </w:pPr>
          </w:p>
        </w:tc>
      </w:tr>
      <w:tr>
        <w:trPr>
          <w:trHeight w:val="179"/>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Basic net income per share</w:t>
            </w:r>
          </w:p>
        </w:tc>
        <w:tc>
          <w:tcPr>
            <w:tcW w:w="2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0.57</w:t>
            </w:r>
          </w:p>
        </w:tc>
        <w:tc>
          <w:tcPr>
            <w:tcW w:w="20" w:type="dxa"/>
            <w:vAlign w:val="bottom"/>
          </w:tcPr>
          <w:p>
            <w:pPr>
              <w:spacing w:after="0"/>
              <w:rPr>
                <w:sz w:val="15"/>
                <w:szCs w:val="15"/>
                <w:color w:val="auto"/>
              </w:rPr>
            </w:pPr>
          </w:p>
        </w:tc>
      </w:tr>
      <w:tr>
        <w:trPr>
          <w:trHeight w:val="189"/>
        </w:trPr>
        <w:tc>
          <w:tcPr>
            <w:tcW w:w="5100" w:type="dxa"/>
            <w:vAlign w:val="bottom"/>
          </w:tcPr>
          <w:p>
            <w:pPr>
              <w:spacing w:after="0"/>
              <w:rPr>
                <w:sz w:val="20"/>
                <w:szCs w:val="20"/>
                <w:color w:val="auto"/>
              </w:rPr>
            </w:pPr>
            <w:r>
              <w:rPr>
                <w:rFonts w:ascii="Arial" w:cs="Arial" w:eastAsia="Arial" w:hAnsi="Arial"/>
                <w:sz w:val="15"/>
                <w:szCs w:val="15"/>
                <w:color w:val="auto"/>
              </w:rPr>
              <w:t>Diluted net income per share</w:t>
            </w:r>
          </w:p>
        </w:tc>
        <w:tc>
          <w:tcPr>
            <w:tcW w:w="296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0.57</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Note 8.</w:t>
      </w:r>
      <w:r>
        <w:rPr>
          <w:sz w:val="20"/>
          <w:szCs w:val="20"/>
          <w:color w:val="auto"/>
        </w:rPr>
        <w:tab/>
      </w:r>
      <w:r>
        <w:rPr>
          <w:rFonts w:ascii="Arial" w:cs="Arial" w:eastAsia="Arial" w:hAnsi="Arial"/>
          <w:sz w:val="12"/>
          <w:szCs w:val="12"/>
          <w:b w:val="1"/>
          <w:bCs w:val="1"/>
          <w:color w:val="auto"/>
        </w:rPr>
        <w:t>Pensions</w:t>
      </w:r>
    </w:p>
    <w:p>
      <w:pPr>
        <w:spacing w:after="0" w:line="212" w:lineRule="exact"/>
        <w:rPr>
          <w:sz w:val="20"/>
          <w:szCs w:val="20"/>
          <w:color w:val="auto"/>
        </w:rPr>
      </w:pPr>
    </w:p>
    <w:p>
      <w:pPr>
        <w:ind w:right="60"/>
        <w:spacing w:after="0" w:line="351" w:lineRule="auto"/>
        <w:rPr>
          <w:sz w:val="20"/>
          <w:szCs w:val="20"/>
          <w:color w:val="auto"/>
        </w:rPr>
      </w:pPr>
      <w:r>
        <w:rPr>
          <w:rFonts w:ascii="Arial" w:cs="Arial" w:eastAsia="Arial" w:hAnsi="Arial"/>
          <w:sz w:val="13"/>
          <w:szCs w:val="13"/>
          <w:color w:val="auto"/>
        </w:rPr>
        <w:t>We have a defined benefit pension plan covering the employees at our Eltmann, Germany facility. The benefits are based on the expected years of service; however, as the plan was curtailed in 2006, the plan will no longer incur service costs. The plan is unfunded. There were no prior service costs recognized in the three and six month periods ended June 30, 2007 and 2006.</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00"/>
          </w:cols>
          <w:pgMar w:left="220" w:top="65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gridSpan w:val="2"/>
          </w:tcPr>
          <w:p>
            <w:pPr>
              <w:spacing w:after="0"/>
              <w:rPr>
                <w:sz w:val="20"/>
                <w:szCs w:val="20"/>
                <w:color w:val="auto"/>
              </w:rPr>
            </w:pPr>
            <w:r>
              <w:rPr>
                <w:rFonts w:ascii="Arial" w:cs="Arial" w:eastAsia="Arial" w:hAnsi="Arial"/>
                <w:sz w:val="15"/>
                <w:szCs w:val="15"/>
                <w:b w:val="1"/>
                <w:bCs w:val="1"/>
                <w:color w:val="auto"/>
              </w:rPr>
              <w:t>Components of Net Periodic Pension Cost: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72"/>
        </w:trPr>
        <w:tc>
          <w:tcPr>
            <w:tcW w:w="1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tcPr>
          <w:p>
            <w:pPr>
              <w:jc w:val="right"/>
              <w:ind w:right="245"/>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5"/>
          </w:tcPr>
          <w:p>
            <w:pPr>
              <w:ind w:left="240"/>
              <w:spacing w:after="0"/>
              <w:rPr>
                <w:sz w:val="20"/>
                <w:szCs w:val="20"/>
                <w:color w:val="auto"/>
              </w:rPr>
            </w:pPr>
            <w:r>
              <w:rPr>
                <w:rFonts w:ascii="Arial" w:cs="Arial" w:eastAsia="Arial" w:hAnsi="Arial"/>
                <w:sz w:val="15"/>
                <w:szCs w:val="15"/>
                <w:b w:val="1"/>
                <w:bCs w:val="1"/>
                <w:color w:val="auto"/>
              </w:rPr>
              <w:t>Six Months Ended</w:t>
            </w:r>
          </w:p>
        </w:tc>
      </w:tr>
      <w:tr>
        <w:trPr>
          <w:trHeight w:val="193"/>
        </w:trPr>
        <w:tc>
          <w:tcPr>
            <w:tcW w:w="11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116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Arial" w:cs="Arial" w:eastAsia="Arial" w:hAnsi="Arial"/>
                <w:sz w:val="15"/>
                <w:szCs w:val="15"/>
                <w:color w:val="auto"/>
              </w:rPr>
              <w:t>(In Thousands of Dollars)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2007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2006</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2007</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2006</w:t>
            </w:r>
          </w:p>
        </w:tc>
        <w:tc>
          <w:tcPr>
            <w:tcW w:w="10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5"/>
                <w:szCs w:val="15"/>
                <w:color w:val="auto"/>
              </w:rPr>
              <w:t>Interest cost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5"/>
                <w:szCs w:val="15"/>
                <w:color w:val="auto"/>
              </w:rPr>
            </w:pPr>
          </w:p>
        </w:tc>
      </w:tr>
      <w:tr>
        <w:trPr>
          <w:trHeight w:val="182"/>
        </w:trPr>
        <w:tc>
          <w:tcPr>
            <w:tcW w:w="1160" w:type="dxa"/>
            <w:vAlign w:val="bottom"/>
          </w:tcPr>
          <w:p>
            <w:pPr>
              <w:spacing w:after="0"/>
              <w:rPr>
                <w:sz w:val="15"/>
                <w:szCs w:val="15"/>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4860" w:type="dxa"/>
            <w:vAlign w:val="bottom"/>
          </w:tcPr>
          <w:p>
            <w:pPr>
              <w:ind w:left="80"/>
              <w:spacing w:after="0"/>
              <w:rPr>
                <w:sz w:val="20"/>
                <w:szCs w:val="20"/>
                <w:color w:val="auto"/>
              </w:rPr>
            </w:pPr>
            <w:r>
              <w:rPr>
                <w:rFonts w:ascii="Arial" w:cs="Arial" w:eastAsia="Arial" w:hAnsi="Arial"/>
                <w:sz w:val="15"/>
                <w:szCs w:val="15"/>
                <w:color w:val="auto"/>
              </w:rPr>
              <w:t>Net periodic pension cost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62</w:t>
            </w:r>
          </w:p>
        </w:tc>
        <w:tc>
          <w:tcPr>
            <w:tcW w:w="4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105</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121</w:t>
            </w:r>
          </w:p>
        </w:tc>
        <w:tc>
          <w:tcPr>
            <w:tcW w:w="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We expect to contribute approximately $240 to the Eltmann, Germany pension plan in 2007. As of June 30, 2007, approximately $120 of contributions had been made.</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Severance Indemnity</w:t>
      </w:r>
    </w:p>
    <w:p>
      <w:pPr>
        <w:spacing w:after="0" w:line="212" w:lineRule="exact"/>
        <w:rPr>
          <w:sz w:val="20"/>
          <w:szCs w:val="20"/>
          <w:color w:val="auto"/>
        </w:rPr>
      </w:pPr>
    </w:p>
    <w:p>
      <w:pPr>
        <w:spacing w:after="0" w:line="351" w:lineRule="auto"/>
        <w:rPr>
          <w:sz w:val="20"/>
          <w:szCs w:val="20"/>
          <w:color w:val="auto"/>
        </w:rPr>
      </w:pPr>
      <w:r>
        <w:rPr>
          <w:rFonts w:ascii="Arial" w:cs="Arial" w:eastAsia="Arial" w:hAnsi="Arial"/>
          <w:sz w:val="13"/>
          <w:szCs w:val="13"/>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and six months ended June 30, 2007 and 2006:</w:t>
      </w:r>
    </w:p>
    <w:p>
      <w:pPr>
        <w:spacing w:after="0" w:line="119" w:lineRule="exact"/>
        <w:rPr>
          <w:sz w:val="20"/>
          <w:szCs w:val="20"/>
          <w:color w:val="auto"/>
        </w:rPr>
      </w:pPr>
    </w:p>
    <w:tbl>
      <w:tblPr>
        <w:tblLayout w:type="fixed"/>
        <w:tblInd w:w="11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6"/>
          </w:tcPr>
          <w:p>
            <w:pPr>
              <w:ind w:left="160"/>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ind w:left="560"/>
              <w:spacing w:after="0"/>
              <w:rPr>
                <w:sz w:val="20"/>
                <w:szCs w:val="20"/>
                <w:color w:val="auto"/>
              </w:rPr>
            </w:pPr>
            <w:r>
              <w:rPr>
                <w:rFonts w:ascii="Arial" w:cs="Arial" w:eastAsia="Arial" w:hAnsi="Arial"/>
                <w:sz w:val="15"/>
                <w:szCs w:val="15"/>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680" w:type="dxa"/>
            <w:vAlign w:val="bottom"/>
            <w:gridSpan w:val="2"/>
          </w:tcPr>
          <w:p>
            <w:pPr>
              <w:spacing w:after="0"/>
              <w:rPr>
                <w:sz w:val="20"/>
                <w:szCs w:val="20"/>
                <w:color w:val="auto"/>
              </w:rPr>
            </w:pPr>
            <w:r>
              <w:rPr>
                <w:rFonts w:ascii="Arial" w:cs="Arial" w:eastAsia="Arial" w:hAnsi="Arial"/>
                <w:sz w:val="15"/>
                <w:szCs w:val="15"/>
                <w:color w:val="auto"/>
              </w:rPr>
              <w:t>(In Thousands of Dollars)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ind w:left="160"/>
              <w:spacing w:after="0"/>
              <w:rPr>
                <w:sz w:val="20"/>
                <w:szCs w:val="20"/>
                <w:color w:val="auto"/>
              </w:rPr>
            </w:pPr>
            <w:r>
              <w:rPr>
                <w:rFonts w:ascii="Arial" w:cs="Arial" w:eastAsia="Arial" w:hAnsi="Arial"/>
                <w:sz w:val="15"/>
                <w:szCs w:val="15"/>
                <w:color w:val="auto"/>
              </w:rPr>
              <w:t>2007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Arial" w:cs="Arial" w:eastAsia="Arial" w:hAnsi="Arial"/>
                <w:sz w:val="15"/>
                <w:szCs w:val="15"/>
                <w:color w:val="auto"/>
              </w:rPr>
              <w:t>2006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Arial" w:cs="Arial" w:eastAsia="Arial" w:hAnsi="Arial"/>
                <w:sz w:val="15"/>
                <w:szCs w:val="15"/>
                <w:color w:val="auto"/>
              </w:rPr>
              <w:t>2007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25"/>
              <w:spacing w:after="0"/>
              <w:rPr>
                <w:sz w:val="20"/>
                <w:szCs w:val="20"/>
                <w:color w:val="auto"/>
              </w:rPr>
            </w:pPr>
            <w:r>
              <w:rPr>
                <w:rFonts w:ascii="Arial" w:cs="Arial" w:eastAsia="Arial" w:hAnsi="Arial"/>
                <w:sz w:val="15"/>
                <w:szCs w:val="15"/>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(7,975)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(6,950)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(8,020)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(6,644)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Amounts accrued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(343)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(269)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(586)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Payments</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Currency impacts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(358)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Ending balance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(8,431)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(7,369)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(8,431)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Note 9.</w:t>
      </w:r>
      <w:r>
        <w:rPr>
          <w:sz w:val="20"/>
          <w:szCs w:val="20"/>
          <w:color w:val="auto"/>
        </w:rPr>
        <w:tab/>
      </w:r>
      <w:r>
        <w:rPr>
          <w:rFonts w:ascii="Arial" w:cs="Arial" w:eastAsia="Arial" w:hAnsi="Arial"/>
          <w:sz w:val="13"/>
          <w:szCs w:val="13"/>
          <w:b w:val="1"/>
          <w:bCs w:val="1"/>
          <w:color w:val="auto"/>
        </w:rPr>
        <w:t>New Accounting Pronouncements</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In July 2006, the Financial Accounting Standards Board (“FASB”) issued Interpretation No. 48 ("FIN 48"), "Accounting for Uncertainty in Income Taxes—an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The Company adopted FIN 48 on January 1, 2007, and the effects on our consolidated financial position, liquidity, and results of operations were not material. See Note 16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157”), which provides guidance on how to measure assets and liabilities that use fair value. SFAS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157 will apply whenever another US GAAP standard requires (or permits) assets or liabilities to be measured at fair value but does not expand the use of fair value to any new</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circumstances. This standard also will require additional disclosures in both annual and quarterly reports. SFAS 157 will be effective for financial statements issued for fiscal years beginning</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after November 15, 2007, and will be adopted by us beginning in the first quarter of 2008. We are currently evaluating the potential impact this standard may have on our consolidated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financial position and results of operations, but do not believe the impact of the adoption will be material.</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651" w:right="21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(unaudited)</w:t>
      </w:r>
    </w:p>
    <w:p>
      <w:pPr>
        <w:spacing w:after="0" w:line="400"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The Company is currently evaluating the effect SFAS No. 159 will have on its consolidated financial position, liquidity, or results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20" w:type="dxa"/>
            <w:vAlign w:val="bottom"/>
            <w:gridSpan w:val="2"/>
          </w:tcPr>
          <w:p>
            <w:pPr>
              <w:spacing w:after="0"/>
              <w:rPr>
                <w:sz w:val="20"/>
                <w:szCs w:val="20"/>
                <w:color w:val="auto"/>
              </w:rPr>
            </w:pPr>
            <w:r>
              <w:rPr>
                <w:rFonts w:ascii="Arial" w:cs="Arial" w:eastAsia="Arial" w:hAnsi="Arial"/>
                <w:sz w:val="15"/>
                <w:szCs w:val="15"/>
                <w:b w:val="1"/>
                <w:bCs w:val="1"/>
                <w:color w:val="auto"/>
              </w:rPr>
              <w:t>Note 10.  Long-Term Debt and Short-Term Debt</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7120" w:type="dxa"/>
            <w:vAlign w:val="bottom"/>
            <w:gridSpan w:val="2"/>
          </w:tcPr>
          <w:p>
            <w:pPr>
              <w:spacing w:after="0"/>
              <w:rPr>
                <w:sz w:val="20"/>
                <w:szCs w:val="20"/>
                <w:color w:val="auto"/>
              </w:rPr>
            </w:pPr>
            <w:r>
              <w:rPr>
                <w:rFonts w:ascii="Arial" w:cs="Arial" w:eastAsia="Arial" w:hAnsi="Arial"/>
                <w:sz w:val="15"/>
                <w:szCs w:val="15"/>
                <w:color w:val="auto"/>
              </w:rPr>
              <w:t>Long-term debt at June 30, 2007 and December 31, 2006 consisted of the following:</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June 30,</w:t>
            </w:r>
          </w:p>
        </w:tc>
        <w:tc>
          <w:tcPr>
            <w:tcW w:w="700" w:type="dxa"/>
            <w:vAlign w:val="bottom"/>
          </w:tcPr>
          <w:p>
            <w:pPr>
              <w:spacing w:after="0"/>
              <w:rPr>
                <w:sz w:val="24"/>
                <w:szCs w:val="24"/>
                <w:color w:val="auto"/>
              </w:rPr>
            </w:pPr>
          </w:p>
        </w:tc>
        <w:tc>
          <w:tcPr>
            <w:tcW w:w="1460" w:type="dxa"/>
            <w:vAlign w:val="bottom"/>
            <w:gridSpan w:val="2"/>
          </w:tcPr>
          <w:p>
            <w:pPr>
              <w:jc w:val="center"/>
              <w:ind w:right="125"/>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2007</w:t>
            </w: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2006</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3"/>
              </w:rPr>
              <w:t>Borrowings under our $135,000 revolving credit facility bearing interest at a floating rate equal to</w:t>
            </w: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LIBOR (5.36% at June 30, 2007) plus an applicable margin of 0.60 to 0.925, expiring</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September 20, 2011.</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65,069</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39,466</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4"/>
              </w:rPr>
              <w:t>Borrowings under our $40,000 aggregate principal amount of senior notes bearing interest at a</w:t>
            </w: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5"/>
              </w:rPr>
              <w:t>fixed rate of 4.89% maturing on April 26, 2014. Annual principal payments of $5,714 begin</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on April 26, 2008 and extend through the date of maturity.</w:t>
            </w:r>
          </w:p>
        </w:tc>
        <w:tc>
          <w:tcPr>
            <w:tcW w:w="10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40,000</w:t>
            </w:r>
          </w:p>
        </w:tc>
        <w:tc>
          <w:tcPr>
            <w:tcW w:w="10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40,000</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5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5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4"/>
              </w:rPr>
              <w:t>Long term note payable with customer related to acquiring equipment from customer as part of</w:t>
            </w:r>
          </w:p>
        </w:tc>
        <w:tc>
          <w:tcPr>
            <w:tcW w:w="10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1"/>
              </w:rPr>
              <w:t>long term supply agreement. Note carries a 0% rate of interest. Interest on this note has been</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w w:val="90"/>
              </w:rPr>
              <w:t>imputed at a rate of 5.41%. Note is paid down by applying a fixed amount per piece purchased</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5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by customer.</w:t>
            </w:r>
          </w:p>
        </w:tc>
        <w:tc>
          <w:tcPr>
            <w:tcW w:w="10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1,478</w:t>
            </w:r>
          </w:p>
        </w:tc>
        <w:tc>
          <w:tcPr>
            <w:tcW w:w="10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2,096</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Total debt</w:t>
            </w:r>
          </w:p>
        </w:tc>
        <w:tc>
          <w:tcPr>
            <w:tcW w:w="10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88"/>
              </w:rPr>
              <w:t>106,547</w:t>
            </w: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81,562</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rPr>
              <w:t>Less current maturities of long-term debt</w:t>
            </w:r>
          </w:p>
        </w:tc>
        <w:tc>
          <w:tcPr>
            <w:tcW w:w="10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9,054</w:t>
            </w:r>
          </w:p>
        </w:tc>
        <w:tc>
          <w:tcPr>
            <w:tcW w:w="10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color w:val="auto"/>
                <w:w w:val="98"/>
              </w:rPr>
              <w:t>Long-term debt, excluding current maturities of long-term debt and related party debt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97,493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80,711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560"/>
        <w:spacing w:after="0" w:line="351" w:lineRule="auto"/>
        <w:rPr>
          <w:sz w:val="20"/>
          <w:szCs w:val="20"/>
          <w:color w:val="auto"/>
        </w:rPr>
      </w:pPr>
      <w:r>
        <w:rPr>
          <w:rFonts w:ascii="Arial" w:cs="Arial" w:eastAsia="Arial" w:hAnsi="Arial"/>
          <w:sz w:val="13"/>
          <w:szCs w:val="13"/>
          <w:color w:val="auto"/>
        </w:rPr>
        <w:t>On May 30, 2007, we entered into an agreement to amend our $90,000 credit facility to increase the total commitment from $90,000 to $135,000. Other than the increase in the total commitment, the other terms of the credit facility remained substantially the same. The company incurred $114 of cost related to this amendment which has been capitalized.</w:t>
      </w:r>
    </w:p>
    <w:p>
      <w:pPr>
        <w:spacing w:after="0" w:line="123"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The increase in borrowings under the $135,000 credit facility is related primarily to the payment of $18,600 in related party notes payable in connection with the Whirlaway acquisition. The majority of the current maturities of long-term debt are borrowings under our $10,000 short-term swing line used for cash management purposes. As of June 30, 2007, $1,191 of capitalized loan origination cost, net of amortization, for both facilities was recorded on the balance sheet within other assets and additions are presented in the Financing Activities section of the Statements of Cash Flows.</w:t>
      </w:r>
    </w:p>
    <w:p>
      <w:pPr>
        <w:spacing w:after="0" w:line="180"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The Company received an amendment to the $135,000 credit facility, retroactive to June 30, 2007, that amends the definitions of certain components of the financial covenant calculations to exclude the negative</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00"/>
          </w:cols>
          <w:pgMar w:left="220" w:top="651" w:right="27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impact of non-cash restructuring and impairment charges.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As a result of the Company’s cash management system including all U.S. operations, checks issued but not presented to the banks for payment may create negative book cash balances. Such negative balances are included in accounts payable and totaled $868 and $784 as of June 30, 2007 and December 31, 2006, respectively, with the change in the balances reported in the Financing Activities section of the Statements of Cash Flows.</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Note 11.</w:t>
      </w:r>
      <w:r>
        <w:rPr>
          <w:sz w:val="20"/>
          <w:szCs w:val="20"/>
          <w:color w:val="auto"/>
        </w:rPr>
        <w:tab/>
      </w:r>
      <w:r>
        <w:rPr>
          <w:rFonts w:ascii="Arial" w:cs="Arial" w:eastAsia="Arial" w:hAnsi="Arial"/>
          <w:sz w:val="13"/>
          <w:szCs w:val="13"/>
          <w:b w:val="1"/>
          <w:b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the carrying amount of goodwill for the six month period ended June 30, 2007 and the twelve month period ended December 31, 2006 are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Goodwill</w:t>
      </w:r>
    </w:p>
    <w:p>
      <w:pPr>
        <w:spacing w:after="0" w:line="200" w:lineRule="exact"/>
        <w:rPr>
          <w:sz w:val="20"/>
          <w:szCs w:val="20"/>
          <w:color w:val="auto"/>
        </w:rPr>
      </w:pPr>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gridSpan w:val="2"/>
          </w:tcPr>
          <w:p>
            <w:pPr>
              <w:jc w:val="center"/>
              <w:ind w:right="205"/>
              <w:spacing w:after="0"/>
              <w:rPr>
                <w:sz w:val="20"/>
                <w:szCs w:val="20"/>
                <w:color w:val="auto"/>
              </w:rPr>
            </w:pPr>
            <w:r>
              <w:rPr>
                <w:rFonts w:ascii="Arial" w:cs="Arial" w:eastAsia="Arial" w:hAnsi="Arial"/>
                <w:sz w:val="15"/>
                <w:szCs w:val="15"/>
                <w:b w:val="1"/>
                <w:bCs w:val="1"/>
                <w:color w:val="auto"/>
                <w:w w:val="88"/>
              </w:rPr>
              <w:t>Plastic and</w:t>
            </w:r>
          </w:p>
        </w:tc>
        <w:tc>
          <w:tcPr>
            <w:tcW w:w="1280" w:type="dxa"/>
            <w:vAlign w:val="bottom"/>
          </w:tcPr>
          <w:p>
            <w:pPr>
              <w:jc w:val="center"/>
              <w:ind w:right="165"/>
              <w:spacing w:after="0"/>
              <w:rPr>
                <w:sz w:val="20"/>
                <w:szCs w:val="20"/>
                <w:color w:val="auto"/>
              </w:rPr>
            </w:pPr>
            <w:r>
              <w:rPr>
                <w:rFonts w:ascii="Arial" w:cs="Arial" w:eastAsia="Arial" w:hAnsi="Arial"/>
                <w:sz w:val="15"/>
                <w:szCs w:val="15"/>
                <w:b w:val="1"/>
                <w:bCs w:val="1"/>
                <w:color w:val="auto"/>
                <w:w w:val="93"/>
              </w:rPr>
              <w:t>Metal</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5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90"/>
              </w:rPr>
              <w:t>Precision Metal</w:t>
            </w:r>
          </w:p>
        </w:tc>
        <w:tc>
          <w:tcPr>
            <w:tcW w:w="1420" w:type="dxa"/>
            <w:vAlign w:val="bottom"/>
            <w:gridSpan w:val="2"/>
          </w:tcPr>
          <w:p>
            <w:pPr>
              <w:jc w:val="center"/>
              <w:ind w:right="205"/>
              <w:spacing w:after="0"/>
              <w:rPr>
                <w:sz w:val="20"/>
                <w:szCs w:val="20"/>
                <w:color w:val="auto"/>
              </w:rPr>
            </w:pPr>
            <w:r>
              <w:rPr>
                <w:rFonts w:ascii="Arial" w:cs="Arial" w:eastAsia="Arial" w:hAnsi="Arial"/>
                <w:sz w:val="15"/>
                <w:szCs w:val="15"/>
                <w:b w:val="1"/>
                <w:bCs w:val="1"/>
                <w:color w:val="auto"/>
                <w:w w:val="95"/>
              </w:rPr>
              <w:t>Rubber</w:t>
            </w:r>
          </w:p>
        </w:tc>
        <w:tc>
          <w:tcPr>
            <w:tcW w:w="1280" w:type="dxa"/>
            <w:vAlign w:val="bottom"/>
          </w:tcPr>
          <w:p>
            <w:pPr>
              <w:jc w:val="center"/>
              <w:ind w:right="165"/>
              <w:spacing w:after="0"/>
              <w:rPr>
                <w:sz w:val="20"/>
                <w:szCs w:val="20"/>
                <w:color w:val="auto"/>
              </w:rPr>
            </w:pPr>
            <w:r>
              <w:rPr>
                <w:rFonts w:ascii="Arial" w:cs="Arial" w:eastAsia="Arial" w:hAnsi="Arial"/>
                <w:sz w:val="15"/>
                <w:szCs w:val="15"/>
                <w:b w:val="1"/>
                <w:bCs w:val="1"/>
                <w:color w:val="auto"/>
                <w:w w:val="93"/>
              </w:rPr>
              <w:t>Bearing</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580" w:type="dxa"/>
            <w:vAlign w:val="bottom"/>
            <w:gridSpan w:val="2"/>
          </w:tcPr>
          <w:p>
            <w:pPr>
              <w:jc w:val="center"/>
              <w:ind w:right="65"/>
              <w:spacing w:after="0"/>
              <w:rPr>
                <w:sz w:val="20"/>
                <w:szCs w:val="20"/>
                <w:color w:val="auto"/>
              </w:rPr>
            </w:pPr>
            <w:r>
              <w:rPr>
                <w:rFonts w:ascii="Arial" w:cs="Arial" w:eastAsia="Arial" w:hAnsi="Arial"/>
                <w:sz w:val="15"/>
                <w:szCs w:val="15"/>
                <w:b w:val="1"/>
                <w:bCs w:val="1"/>
                <w:color w:val="auto"/>
                <w:w w:val="87"/>
              </w:rPr>
              <w:t>Components</w:t>
            </w:r>
          </w:p>
        </w:tc>
        <w:tc>
          <w:tcPr>
            <w:tcW w:w="1420" w:type="dxa"/>
            <w:vAlign w:val="bottom"/>
            <w:gridSpan w:val="2"/>
          </w:tcPr>
          <w:p>
            <w:pPr>
              <w:jc w:val="center"/>
              <w:ind w:right="225"/>
              <w:spacing w:after="0"/>
              <w:rPr>
                <w:sz w:val="20"/>
                <w:szCs w:val="20"/>
                <w:color w:val="auto"/>
              </w:rPr>
            </w:pPr>
            <w:r>
              <w:rPr>
                <w:rFonts w:ascii="Arial" w:cs="Arial" w:eastAsia="Arial" w:hAnsi="Arial"/>
                <w:sz w:val="15"/>
                <w:szCs w:val="15"/>
                <w:b w:val="1"/>
                <w:bCs w:val="1"/>
                <w:color w:val="auto"/>
                <w:w w:val="87"/>
              </w:rPr>
              <w:t>Components</w:t>
            </w:r>
          </w:p>
        </w:tc>
        <w:tc>
          <w:tcPr>
            <w:tcW w:w="1280" w:type="dxa"/>
            <w:vAlign w:val="bottom"/>
          </w:tcPr>
          <w:p>
            <w:pPr>
              <w:jc w:val="center"/>
              <w:ind w:right="165"/>
              <w:spacing w:after="0"/>
              <w:rPr>
                <w:sz w:val="20"/>
                <w:szCs w:val="20"/>
                <w:color w:val="auto"/>
              </w:rPr>
            </w:pPr>
            <w:r>
              <w:rPr>
                <w:rFonts w:ascii="Arial" w:cs="Arial" w:eastAsia="Arial" w:hAnsi="Arial"/>
                <w:sz w:val="15"/>
                <w:szCs w:val="15"/>
                <w:b w:val="1"/>
                <w:bCs w:val="1"/>
                <w:color w:val="auto"/>
                <w:w w:val="87"/>
              </w:rPr>
              <w:t>Components</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6"/>
        </w:trPr>
        <w:tc>
          <w:tcPr>
            <w:tcW w:w="3620" w:type="dxa"/>
            <w:vAlign w:val="bottom"/>
            <w:gridSpan w:val="2"/>
          </w:tcPr>
          <w:p>
            <w:pPr>
              <w:spacing w:after="0"/>
              <w:rPr>
                <w:sz w:val="20"/>
                <w:szCs w:val="20"/>
                <w:color w:val="auto"/>
              </w:rPr>
            </w:pPr>
            <w:r>
              <w:rPr>
                <w:rFonts w:ascii="Arial" w:cs="Arial" w:eastAsia="Arial" w:hAnsi="Arial"/>
                <w:sz w:val="15"/>
                <w:szCs w:val="15"/>
                <w:color w:val="auto"/>
              </w:rPr>
              <w:t>(In Thousands of Dollars)</w:t>
            </w:r>
          </w:p>
        </w:tc>
        <w:tc>
          <w:tcPr>
            <w:tcW w:w="1000" w:type="dxa"/>
            <w:vAlign w:val="bottom"/>
          </w:tcPr>
          <w:p>
            <w:pPr>
              <w:jc w:val="center"/>
              <w:ind w:left="345"/>
              <w:spacing w:after="0"/>
              <w:rPr>
                <w:sz w:val="20"/>
                <w:szCs w:val="20"/>
                <w:color w:val="auto"/>
              </w:rPr>
            </w:pPr>
            <w:r>
              <w:rPr>
                <w:rFonts w:ascii="Arial" w:cs="Arial" w:eastAsia="Arial" w:hAnsi="Arial"/>
                <w:sz w:val="15"/>
                <w:szCs w:val="15"/>
                <w:b w:val="1"/>
                <w:bCs w:val="1"/>
                <w:color w:val="auto"/>
                <w:w w:val="85"/>
              </w:rPr>
              <w:t>Segment</w:t>
            </w:r>
          </w:p>
        </w:tc>
        <w:tc>
          <w:tcPr>
            <w:tcW w:w="580" w:type="dxa"/>
            <w:vAlign w:val="bottom"/>
          </w:tcPr>
          <w:p>
            <w:pPr>
              <w:spacing w:after="0"/>
              <w:rPr>
                <w:sz w:val="17"/>
                <w:szCs w:val="17"/>
                <w:color w:val="auto"/>
              </w:rPr>
            </w:pPr>
          </w:p>
        </w:tc>
        <w:tc>
          <w:tcPr>
            <w:tcW w:w="1420" w:type="dxa"/>
            <w:vAlign w:val="bottom"/>
            <w:gridSpan w:val="2"/>
          </w:tcPr>
          <w:p>
            <w:pPr>
              <w:jc w:val="center"/>
              <w:ind w:right="205"/>
              <w:spacing w:after="0"/>
              <w:rPr>
                <w:sz w:val="20"/>
                <w:szCs w:val="20"/>
                <w:color w:val="auto"/>
              </w:rPr>
            </w:pPr>
            <w:r>
              <w:rPr>
                <w:rFonts w:ascii="Arial" w:cs="Arial" w:eastAsia="Arial" w:hAnsi="Arial"/>
                <w:sz w:val="15"/>
                <w:szCs w:val="15"/>
                <w:b w:val="1"/>
                <w:bCs w:val="1"/>
                <w:color w:val="auto"/>
                <w:w w:val="85"/>
              </w:rPr>
              <w:t>Segment</w:t>
            </w:r>
          </w:p>
        </w:tc>
        <w:tc>
          <w:tcPr>
            <w:tcW w:w="1280" w:type="dxa"/>
            <w:vAlign w:val="bottom"/>
          </w:tcPr>
          <w:p>
            <w:pPr>
              <w:jc w:val="center"/>
              <w:ind w:right="165"/>
              <w:spacing w:after="0"/>
              <w:rPr>
                <w:sz w:val="20"/>
                <w:szCs w:val="20"/>
                <w:color w:val="auto"/>
              </w:rPr>
            </w:pPr>
            <w:r>
              <w:rPr>
                <w:rFonts w:ascii="Arial" w:cs="Arial" w:eastAsia="Arial" w:hAnsi="Arial"/>
                <w:sz w:val="15"/>
                <w:szCs w:val="15"/>
                <w:b w:val="1"/>
                <w:bCs w:val="1"/>
                <w:color w:val="auto"/>
                <w:w w:val="88"/>
              </w:rPr>
              <w:t>Segment</w:t>
            </w:r>
          </w:p>
        </w:tc>
        <w:tc>
          <w:tcPr>
            <w:tcW w:w="1260" w:type="dxa"/>
            <w:vAlign w:val="bottom"/>
            <w:gridSpan w:val="3"/>
          </w:tcPr>
          <w:p>
            <w:pPr>
              <w:ind w:left="400"/>
              <w:spacing w:after="0"/>
              <w:rPr>
                <w:sz w:val="20"/>
                <w:szCs w:val="20"/>
                <w:color w:val="auto"/>
              </w:rPr>
            </w:pPr>
            <w:r>
              <w:rPr>
                <w:rFonts w:ascii="Arial" w:cs="Arial" w:eastAsia="Arial" w:hAnsi="Arial"/>
                <w:sz w:val="15"/>
                <w:szCs w:val="15"/>
                <w:b w:val="1"/>
                <w:bCs w:val="1"/>
                <w:color w:val="auto"/>
              </w:rPr>
              <w:t>Total</w:t>
            </w:r>
          </w:p>
        </w:tc>
      </w:tr>
      <w:tr>
        <w:trPr>
          <w:trHeight w:val="179"/>
        </w:trPr>
        <w:tc>
          <w:tcPr>
            <w:tcW w:w="20" w:type="dxa"/>
            <w:vAlign w:val="bottom"/>
          </w:tcPr>
          <w:p>
            <w:pPr>
              <w:spacing w:after="0"/>
              <w:rPr>
                <w:sz w:val="15"/>
                <w:szCs w:val="15"/>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January 1, 2006</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25,755</w:t>
            </w:r>
          </w:p>
        </w:tc>
        <w:tc>
          <w:tcPr>
            <w:tcW w:w="128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rPr>
              <w:t>$ 15,893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41,648</w:t>
            </w:r>
          </w:p>
        </w:tc>
        <w:tc>
          <w:tcPr>
            <w:tcW w:w="280" w:type="dxa"/>
            <w:vAlign w:val="bottom"/>
            <w:tcBorders>
              <w:top w:val="single" w:sz="8" w:color="auto"/>
            </w:tcBorders>
            <w:shd w:val="clear" w:color="auto" w:fill="CCEEFF"/>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600" w:type="dxa"/>
            <w:vAlign w:val="bottom"/>
          </w:tcPr>
          <w:p>
            <w:pPr>
              <w:ind w:left="120"/>
              <w:spacing w:after="0"/>
              <w:rPr>
                <w:sz w:val="20"/>
                <w:szCs w:val="20"/>
                <w:color w:val="auto"/>
              </w:rPr>
            </w:pPr>
            <w:r>
              <w:rPr>
                <w:rFonts w:ascii="Arial" w:cs="Arial" w:eastAsia="Arial" w:hAnsi="Arial"/>
                <w:sz w:val="15"/>
                <w:szCs w:val="15"/>
                <w:color w:val="auto"/>
              </w:rPr>
              <w:t>Goodwill acquired</w:t>
            </w:r>
          </w:p>
        </w:tc>
        <w:tc>
          <w:tcPr>
            <w:tcW w:w="1000" w:type="dxa"/>
            <w:vAlign w:val="bottom"/>
          </w:tcPr>
          <w:p>
            <w:pPr>
              <w:spacing w:after="0"/>
              <w:rPr>
                <w:sz w:val="15"/>
                <w:szCs w:val="15"/>
                <w:color w:val="auto"/>
              </w:rPr>
            </w:pPr>
          </w:p>
        </w:tc>
        <w:tc>
          <w:tcPr>
            <w:tcW w:w="580" w:type="dxa"/>
            <w:vAlign w:val="bottom"/>
          </w:tcPr>
          <w:p>
            <w:pPr>
              <w:jc w:val="right"/>
              <w:ind w:right="65"/>
              <w:spacing w:after="0"/>
              <w:rPr>
                <w:sz w:val="20"/>
                <w:szCs w:val="20"/>
                <w:color w:val="auto"/>
              </w:rPr>
            </w:pPr>
            <w:r>
              <w:rPr>
                <w:rFonts w:ascii="Arial" w:cs="Arial" w:eastAsia="Arial" w:hAnsi="Arial"/>
                <w:sz w:val="15"/>
                <w:szCs w:val="15"/>
                <w:color w:val="auto"/>
              </w:rPr>
              <w:t>2,352</w:t>
            </w:r>
          </w:p>
        </w:tc>
        <w:tc>
          <w:tcPr>
            <w:tcW w:w="740" w:type="dxa"/>
            <w:vAlign w:val="bottom"/>
          </w:tcPr>
          <w:p>
            <w:pPr>
              <w:spacing w:after="0"/>
              <w:rPr>
                <w:sz w:val="15"/>
                <w:szCs w:val="15"/>
                <w:color w:val="auto"/>
              </w:rPr>
            </w:pPr>
          </w:p>
        </w:tc>
        <w:tc>
          <w:tcPr>
            <w:tcW w:w="6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2,352</w:t>
            </w:r>
          </w:p>
        </w:tc>
        <w:tc>
          <w:tcPr>
            <w:tcW w:w="28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Currency impacts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rPr>
              <w:t>2,147</w:t>
            </w:r>
          </w:p>
        </w:tc>
        <w:tc>
          <w:tcPr>
            <w:tcW w:w="4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2,147</w:t>
            </w:r>
          </w:p>
        </w:tc>
        <w:tc>
          <w:tcPr>
            <w:tcW w:w="280" w:type="dxa"/>
            <w:vAlign w:val="bottom"/>
            <w:tcBorders>
              <w:bottom w:val="single" w:sz="8" w:color="CCEEFF"/>
            </w:tcBorders>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Balance as of December 31, 2006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2,352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25,755</w:t>
            </w:r>
          </w:p>
        </w:tc>
        <w:tc>
          <w:tcPr>
            <w:tcW w:w="128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$ 18,040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46,147</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Arial" w:cs="Arial" w:eastAsia="Arial" w:hAnsi="Arial"/>
                <w:sz w:val="15"/>
                <w:szCs w:val="15"/>
                <w:color w:val="auto"/>
              </w:rPr>
              <w:t>Balance as of January 1, 2007</w:t>
            </w:r>
          </w:p>
        </w:tc>
        <w:tc>
          <w:tcPr>
            <w:tcW w:w="1000" w:type="dxa"/>
            <w:vAlign w:val="bottom"/>
          </w:tcPr>
          <w:p>
            <w:pPr>
              <w:spacing w:after="0"/>
              <w:rPr>
                <w:sz w:val="16"/>
                <w:szCs w:val="16"/>
                <w:color w:val="auto"/>
              </w:rPr>
            </w:pPr>
          </w:p>
        </w:tc>
        <w:tc>
          <w:tcPr>
            <w:tcW w:w="580" w:type="dxa"/>
            <w:vAlign w:val="bottom"/>
          </w:tcPr>
          <w:p>
            <w:pPr>
              <w:jc w:val="right"/>
              <w:ind w:right="65"/>
              <w:spacing w:after="0"/>
              <w:rPr>
                <w:sz w:val="20"/>
                <w:szCs w:val="20"/>
                <w:color w:val="auto"/>
              </w:rPr>
            </w:pPr>
            <w:r>
              <w:rPr>
                <w:rFonts w:ascii="Arial" w:cs="Arial" w:eastAsia="Arial" w:hAnsi="Arial"/>
                <w:sz w:val="15"/>
                <w:szCs w:val="15"/>
                <w:color w:val="auto"/>
                <w:w w:val="91"/>
              </w:rPr>
              <w:t>$2,352</w:t>
            </w:r>
          </w:p>
        </w:tc>
        <w:tc>
          <w:tcPr>
            <w:tcW w:w="740" w:type="dxa"/>
            <w:vAlign w:val="bottom"/>
          </w:tcPr>
          <w:p>
            <w:pPr>
              <w:spacing w:after="0"/>
              <w:rPr>
                <w:sz w:val="16"/>
                <w:szCs w:val="16"/>
                <w:color w:val="auto"/>
              </w:rPr>
            </w:pPr>
          </w:p>
        </w:tc>
        <w:tc>
          <w:tcPr>
            <w:tcW w:w="680" w:type="dxa"/>
            <w:vAlign w:val="bottom"/>
          </w:tcPr>
          <w:p>
            <w:pPr>
              <w:jc w:val="right"/>
              <w:ind w:right="105"/>
              <w:spacing w:after="0"/>
              <w:rPr>
                <w:sz w:val="20"/>
                <w:szCs w:val="20"/>
                <w:color w:val="auto"/>
              </w:rPr>
            </w:pPr>
            <w:r>
              <w:rPr>
                <w:rFonts w:ascii="Arial" w:cs="Arial" w:eastAsia="Arial" w:hAnsi="Arial"/>
                <w:sz w:val="15"/>
                <w:szCs w:val="15"/>
                <w:color w:val="auto"/>
                <w:w w:val="88"/>
              </w:rPr>
              <w:t>$25,755</w:t>
            </w:r>
          </w:p>
        </w:tc>
        <w:tc>
          <w:tcPr>
            <w:tcW w:w="1280" w:type="dxa"/>
            <w:vAlign w:val="bottom"/>
          </w:tcPr>
          <w:p>
            <w:pPr>
              <w:jc w:val="right"/>
              <w:ind w:right="285"/>
              <w:spacing w:after="0"/>
              <w:rPr>
                <w:sz w:val="20"/>
                <w:szCs w:val="20"/>
                <w:color w:val="auto"/>
              </w:rPr>
            </w:pPr>
            <w:r>
              <w:rPr>
                <w:rFonts w:ascii="Arial" w:cs="Arial" w:eastAsia="Arial" w:hAnsi="Arial"/>
                <w:sz w:val="15"/>
                <w:szCs w:val="15"/>
                <w:color w:val="auto"/>
              </w:rPr>
              <w:t>$18,040</w:t>
            </w:r>
          </w:p>
        </w:tc>
        <w:tc>
          <w:tcPr>
            <w:tcW w:w="4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84"/>
              </w:rPr>
              <w:t>$46,147</w:t>
            </w:r>
          </w:p>
        </w:tc>
        <w:tc>
          <w:tcPr>
            <w:tcW w:w="280" w:type="dxa"/>
            <w:vAlign w:val="bottom"/>
          </w:tcPr>
          <w:p>
            <w:pPr>
              <w:spacing w:after="0"/>
              <w:rPr>
                <w:sz w:val="16"/>
                <w:szCs w:val="16"/>
                <w:color w:val="auto"/>
              </w:rPr>
            </w:pPr>
          </w:p>
        </w:tc>
      </w:tr>
      <w:tr>
        <w:trPr>
          <w:trHeight w:val="35"/>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04"/>
        </w:trPr>
        <w:tc>
          <w:tcPr>
            <w:tcW w:w="20" w:type="dxa"/>
            <w:vAlign w:val="bottom"/>
          </w:tcPr>
          <w:p>
            <w:pPr>
              <w:spacing w:after="0"/>
              <w:rPr>
                <w:sz w:val="17"/>
                <w:szCs w:val="17"/>
                <w:color w:val="auto"/>
              </w:rPr>
            </w:pPr>
          </w:p>
        </w:tc>
        <w:tc>
          <w:tcPr>
            <w:tcW w:w="3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Adjustment to the purchase price allocation</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(134)</w:t>
            </w:r>
          </w:p>
        </w:tc>
        <w:tc>
          <w:tcPr>
            <w:tcW w:w="7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600" w:type="dxa"/>
            <w:vAlign w:val="bottom"/>
          </w:tcPr>
          <w:p>
            <w:pPr>
              <w:ind w:left="120"/>
              <w:spacing w:after="0"/>
              <w:rPr>
                <w:sz w:val="20"/>
                <w:szCs w:val="20"/>
                <w:color w:val="auto"/>
              </w:rPr>
            </w:pPr>
            <w:r>
              <w:rPr>
                <w:rFonts w:ascii="Arial" w:cs="Arial" w:eastAsia="Arial" w:hAnsi="Arial"/>
                <w:sz w:val="15"/>
                <w:szCs w:val="15"/>
                <w:color w:val="auto"/>
              </w:rPr>
              <w:t>Goodwill impaired</w:t>
            </w:r>
          </w:p>
        </w:tc>
        <w:tc>
          <w:tcPr>
            <w:tcW w:w="1000" w:type="dxa"/>
            <w:vAlign w:val="bottom"/>
          </w:tcPr>
          <w:p>
            <w:pPr>
              <w:spacing w:after="0"/>
              <w:rPr>
                <w:sz w:val="16"/>
                <w:szCs w:val="16"/>
                <w:color w:val="auto"/>
              </w:rPr>
            </w:pP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6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85"/>
              <w:spacing w:after="0"/>
              <w:rPr>
                <w:sz w:val="20"/>
                <w:szCs w:val="20"/>
                <w:color w:val="auto"/>
              </w:rPr>
            </w:pPr>
            <w:r>
              <w:rPr>
                <w:rFonts w:ascii="Arial" w:cs="Arial" w:eastAsia="Arial" w:hAnsi="Arial"/>
                <w:sz w:val="15"/>
                <w:szCs w:val="15"/>
                <w:color w:val="auto"/>
              </w:rPr>
              <w:t>(10,016)</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(10,016)</w:t>
            </w:r>
          </w:p>
        </w:tc>
        <w:tc>
          <w:tcPr>
            <w:tcW w:w="280" w:type="dxa"/>
            <w:vAlign w:val="bottom"/>
          </w:tcPr>
          <w:p>
            <w:pPr>
              <w:spacing w:after="0"/>
              <w:rPr>
                <w:sz w:val="16"/>
                <w:szCs w:val="16"/>
                <w:color w:val="auto"/>
              </w:rPr>
            </w:pPr>
          </w:p>
        </w:tc>
      </w:tr>
      <w:tr>
        <w:trPr>
          <w:trHeight w:val="35"/>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3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Currency impacts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rPr>
              <w:t>526</w:t>
            </w:r>
          </w:p>
        </w:tc>
        <w:tc>
          <w:tcPr>
            <w:tcW w:w="4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280" w:type="dxa"/>
            <w:vAlign w:val="bottom"/>
            <w:tcBorders>
              <w:bottom w:val="single" w:sz="8" w:color="CCEEFF"/>
            </w:tcBorders>
            <w:shd w:val="clear" w:color="auto" w:fill="CCEEFF"/>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Arial" w:cs="Arial" w:eastAsia="Arial" w:hAnsi="Arial"/>
                <w:sz w:val="15"/>
                <w:szCs w:val="15"/>
                <w:color w:val="auto"/>
              </w:rPr>
              <w:t>Balance as of June 30, 2007</w:t>
            </w:r>
          </w:p>
        </w:tc>
        <w:tc>
          <w:tcPr>
            <w:tcW w:w="15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rPr>
              <w:t>$ 2,218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25,755</w:t>
            </w:r>
          </w:p>
        </w:tc>
        <w:tc>
          <w:tcPr>
            <w:tcW w:w="128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  8,550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36,523</w:t>
            </w:r>
          </w:p>
        </w:tc>
        <w:tc>
          <w:tcPr>
            <w:tcW w:w="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right="160"/>
        <w:spacing w:after="0" w:line="272" w:lineRule="auto"/>
        <w:rPr>
          <w:sz w:val="20"/>
          <w:szCs w:val="20"/>
          <w:color w:val="auto"/>
        </w:rPr>
      </w:pPr>
      <w:r>
        <w:rPr>
          <w:rFonts w:ascii="Arial" w:cs="Arial" w:eastAsia="Arial" w:hAnsi="Arial"/>
          <w:sz w:val="15"/>
          <w:szCs w:val="15"/>
          <w:color w:val="auto"/>
        </w:rPr>
        <w:t>The adjustment to the purchase price allocation during the six months ended June 30, 2007 related to legal cost paid subsequent to the year ended December 31, 2006 for the acquisition of Whirlaway offset by adjustments to certain beginning liability balances.</w:t>
      </w:r>
    </w:p>
    <w:p>
      <w:pPr>
        <w:spacing w:after="0" w:line="169"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The goodwill impairment at our Metal Bearing Components Segment related to the decision to restructure the European operations of this segment (see Note 2). Accordingly, the goodwill was tested for impairment at locations affected by the planned restructuring using a present value of future expected cash flows method performed pursuant to the provision of SFAS</w:t>
      </w:r>
    </w:p>
    <w:p>
      <w:pPr>
        <w:spacing w:after="0" w:line="1" w:lineRule="exact"/>
        <w:rPr>
          <w:sz w:val="20"/>
          <w:szCs w:val="20"/>
          <w:color w:val="auto"/>
        </w:rPr>
      </w:pPr>
    </w:p>
    <w:p>
      <w:pPr>
        <w:ind w:right="100" w:firstLine="10"/>
        <w:spacing w:after="0" w:line="258" w:lineRule="auto"/>
        <w:tabs>
          <w:tab w:leader="none" w:pos="371"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implied fair value of the goodwill was less than the carrying amount of the goodwill at one European reporting unit and an impairment charge of $10,016 was included within the Restructuring and impairment charges of the Consolidated Statements of Income.</w:t>
      </w: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360"/>
          </w:cols>
          <w:pgMar w:left="220" w:top="651" w:right="31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20"/>
                <w:szCs w:val="20"/>
                <w:color w:val="auto"/>
              </w:rPr>
            </w:pPr>
            <w:r>
              <w:rPr>
                <w:rFonts w:ascii="Arial" w:cs="Arial" w:eastAsia="Arial" w:hAnsi="Arial"/>
                <w:sz w:val="15"/>
                <w:szCs w:val="15"/>
                <w:b w:val="1"/>
                <w:bCs w:val="1"/>
                <w:color w:val="auto"/>
              </w:rPr>
              <w:t>Note 12.</w:t>
            </w:r>
          </w:p>
        </w:tc>
        <w:tc>
          <w:tcPr>
            <w:tcW w:w="5200" w:type="dxa"/>
            <w:vAlign w:val="bottom"/>
            <w:gridSpan w:val="3"/>
          </w:tcPr>
          <w:p>
            <w:pPr>
              <w:ind w:left="120"/>
              <w:spacing w:after="0"/>
              <w:rPr>
                <w:sz w:val="20"/>
                <w:szCs w:val="20"/>
                <w:color w:val="auto"/>
              </w:rPr>
            </w:pPr>
            <w:r>
              <w:rPr>
                <w:rFonts w:ascii="Arial" w:cs="Arial" w:eastAsia="Arial" w:hAnsi="Arial"/>
                <w:sz w:val="15"/>
                <w:szCs w:val="15"/>
                <w:b w:val="1"/>
                <w:bCs w:val="1"/>
                <w:color w:val="auto"/>
              </w:rPr>
              <w:t>Intangible assets, net of amortization</w:t>
            </w: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gridSpan w:val="2"/>
          </w:tcPr>
          <w:p>
            <w:pPr>
              <w:jc w:val="center"/>
              <w:ind w:right="225"/>
              <w:spacing w:after="0"/>
              <w:rPr>
                <w:sz w:val="20"/>
                <w:szCs w:val="20"/>
                <w:color w:val="auto"/>
              </w:rPr>
            </w:pPr>
            <w:r>
              <w:rPr>
                <w:rFonts w:ascii="Arial" w:cs="Arial" w:eastAsia="Arial" w:hAnsi="Arial"/>
                <w:sz w:val="15"/>
                <w:szCs w:val="15"/>
                <w:b w:val="1"/>
                <w:bCs w:val="1"/>
                <w:color w:val="auto"/>
                <w:w w:val="93"/>
              </w:rPr>
              <w:t>Metal Bearing</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2"/>
          </w:tcPr>
          <w:p>
            <w:pPr>
              <w:jc w:val="right"/>
              <w:ind w:right="385"/>
              <w:spacing w:after="0"/>
              <w:rPr>
                <w:sz w:val="20"/>
                <w:szCs w:val="20"/>
                <w:color w:val="auto"/>
              </w:rPr>
            </w:pPr>
            <w:r>
              <w:rPr>
                <w:rFonts w:ascii="Arial" w:cs="Arial" w:eastAsia="Arial" w:hAnsi="Arial"/>
                <w:sz w:val="15"/>
                <w:szCs w:val="15"/>
                <w:b w:val="1"/>
                <w:bCs w:val="1"/>
                <w:color w:val="auto"/>
              </w:rPr>
              <w:t>Precision Metal</w:t>
            </w:r>
          </w:p>
        </w:tc>
        <w:tc>
          <w:tcPr>
            <w:tcW w:w="1500" w:type="dxa"/>
            <w:vAlign w:val="bottom"/>
            <w:gridSpan w:val="2"/>
          </w:tcPr>
          <w:p>
            <w:pPr>
              <w:jc w:val="center"/>
              <w:ind w:right="225"/>
              <w:spacing w:after="0"/>
              <w:rPr>
                <w:sz w:val="20"/>
                <w:szCs w:val="20"/>
                <w:color w:val="auto"/>
              </w:rPr>
            </w:pPr>
            <w:r>
              <w:rPr>
                <w:rFonts w:ascii="Arial" w:cs="Arial" w:eastAsia="Arial" w:hAnsi="Arial"/>
                <w:sz w:val="15"/>
                <w:szCs w:val="15"/>
                <w:b w:val="1"/>
                <w:bCs w:val="1"/>
                <w:color w:val="auto"/>
                <w:w w:val="87"/>
              </w:rPr>
              <w:t>Components</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Components</w:t>
            </w:r>
          </w:p>
        </w:tc>
        <w:tc>
          <w:tcPr>
            <w:tcW w:w="520" w:type="dxa"/>
            <w:vAlign w:val="bottom"/>
          </w:tcPr>
          <w:p>
            <w:pPr>
              <w:spacing w:after="0"/>
              <w:rPr>
                <w:sz w:val="15"/>
                <w:szCs w:val="15"/>
                <w:color w:val="auto"/>
              </w:rPr>
            </w:pPr>
          </w:p>
        </w:tc>
        <w:tc>
          <w:tcPr>
            <w:tcW w:w="980" w:type="dxa"/>
            <w:vAlign w:val="bottom"/>
          </w:tcPr>
          <w:p>
            <w:pPr>
              <w:jc w:val="center"/>
              <w:ind w:left="125"/>
              <w:spacing w:after="0"/>
              <w:rPr>
                <w:sz w:val="20"/>
                <w:szCs w:val="20"/>
                <w:color w:val="auto"/>
              </w:rPr>
            </w:pPr>
            <w:r>
              <w:rPr>
                <w:rFonts w:ascii="Arial" w:cs="Arial" w:eastAsia="Arial" w:hAnsi="Arial"/>
                <w:sz w:val="15"/>
                <w:szCs w:val="15"/>
                <w:b w:val="1"/>
                <w:bCs w:val="1"/>
                <w:color w:val="auto"/>
                <w:w w:val="85"/>
              </w:rPr>
              <w:t>Segment</w:t>
            </w:r>
          </w:p>
        </w:tc>
        <w:tc>
          <w:tcPr>
            <w:tcW w:w="5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Arial" w:cs="Arial" w:eastAsia="Arial" w:hAnsi="Arial"/>
                <w:sz w:val="15"/>
                <w:szCs w:val="15"/>
                <w:b w:val="1"/>
                <w:bCs w:val="1"/>
                <w:color w:val="auto"/>
              </w:rPr>
              <w:t>Total</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200" w:type="dxa"/>
            <w:vAlign w:val="bottom"/>
            <w:gridSpan w:val="3"/>
          </w:tcPr>
          <w:p>
            <w:pPr>
              <w:ind w:left="500"/>
              <w:spacing w:after="0"/>
              <w:rPr>
                <w:sz w:val="20"/>
                <w:szCs w:val="20"/>
                <w:color w:val="auto"/>
              </w:rPr>
            </w:pPr>
            <w:r>
              <w:rPr>
                <w:rFonts w:ascii="Arial" w:cs="Arial" w:eastAsia="Arial" w:hAnsi="Arial"/>
                <w:sz w:val="15"/>
                <w:szCs w:val="15"/>
                <w:color w:val="auto"/>
              </w:rPr>
              <w:t>(In Thousands of Dollars)</w:t>
            </w:r>
          </w:p>
        </w:tc>
        <w:tc>
          <w:tcPr>
            <w:tcW w:w="1240" w:type="dxa"/>
            <w:vAlign w:val="bottom"/>
          </w:tcPr>
          <w:p>
            <w:pPr>
              <w:jc w:val="right"/>
              <w:ind w:right="85"/>
              <w:spacing w:after="0"/>
              <w:rPr>
                <w:sz w:val="20"/>
                <w:szCs w:val="20"/>
                <w:color w:val="auto"/>
              </w:rPr>
            </w:pPr>
            <w:r>
              <w:rPr>
                <w:rFonts w:ascii="Arial" w:cs="Arial" w:eastAsia="Arial" w:hAnsi="Arial"/>
                <w:sz w:val="15"/>
                <w:szCs w:val="15"/>
                <w:b w:val="1"/>
                <w:bCs w:val="1"/>
                <w:color w:val="auto"/>
              </w:rPr>
              <w:t>Segment</w:t>
            </w:r>
          </w:p>
        </w:tc>
        <w:tc>
          <w:tcPr>
            <w:tcW w:w="520" w:type="dxa"/>
            <w:vAlign w:val="bottom"/>
          </w:tcPr>
          <w:p>
            <w:pPr>
              <w:spacing w:after="0"/>
              <w:rPr>
                <w:sz w:val="17"/>
                <w:szCs w:val="17"/>
                <w:color w:val="auto"/>
              </w:rPr>
            </w:pPr>
          </w:p>
        </w:tc>
        <w:tc>
          <w:tcPr>
            <w:tcW w:w="980" w:type="dxa"/>
            <w:vAlign w:val="bottom"/>
          </w:tcPr>
          <w:p>
            <w:pPr>
              <w:jc w:val="center"/>
              <w:ind w:left="145"/>
              <w:spacing w:after="0"/>
              <w:rPr>
                <w:sz w:val="20"/>
                <w:szCs w:val="20"/>
                <w:color w:val="auto"/>
              </w:rPr>
            </w:pPr>
            <w:r>
              <w:rPr>
                <w:rFonts w:ascii="Arial" w:cs="Arial" w:eastAsia="Arial" w:hAnsi="Arial"/>
                <w:sz w:val="15"/>
                <w:szCs w:val="15"/>
                <w:b w:val="1"/>
                <w:bCs w:val="1"/>
                <w:color w:val="auto"/>
                <w:w w:val="88"/>
              </w:rPr>
              <w:t>As restated</w:t>
            </w:r>
          </w:p>
        </w:tc>
        <w:tc>
          <w:tcPr>
            <w:tcW w:w="520" w:type="dxa"/>
            <w:vAlign w:val="bottom"/>
          </w:tcPr>
          <w:p>
            <w:pPr>
              <w:spacing w:after="0"/>
              <w:rPr>
                <w:sz w:val="17"/>
                <w:szCs w:val="17"/>
                <w:color w:val="auto"/>
              </w:rPr>
            </w:pPr>
          </w:p>
        </w:tc>
        <w:tc>
          <w:tcPr>
            <w:tcW w:w="1200" w:type="dxa"/>
            <w:vAlign w:val="bottom"/>
            <w:gridSpan w:val="2"/>
          </w:tcPr>
          <w:p>
            <w:pPr>
              <w:jc w:val="right"/>
              <w:ind w:right="265"/>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Balance as of January 1, 2006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474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00" w:type="dxa"/>
            <w:vAlign w:val="bottom"/>
            <w:gridSpan w:val="2"/>
          </w:tcPr>
          <w:p>
            <w:pPr>
              <w:ind w:left="140"/>
              <w:spacing w:after="0"/>
              <w:rPr>
                <w:sz w:val="20"/>
                <w:szCs w:val="20"/>
                <w:color w:val="auto"/>
              </w:rPr>
            </w:pPr>
            <w:r>
              <w:rPr>
                <w:rFonts w:ascii="Arial" w:cs="Arial" w:eastAsia="Arial" w:hAnsi="Arial"/>
                <w:sz w:val="15"/>
                <w:szCs w:val="15"/>
                <w:color w:val="auto"/>
              </w:rPr>
              <w:t>Acquisition of Intangibles</w:t>
            </w:r>
          </w:p>
        </w:tc>
        <w:tc>
          <w:tcPr>
            <w:tcW w:w="1240" w:type="dxa"/>
            <w:vAlign w:val="bottom"/>
          </w:tcPr>
          <w:p>
            <w:pPr>
              <w:spacing w:after="0"/>
              <w:rPr>
                <w:sz w:val="15"/>
                <w:szCs w:val="15"/>
                <w:color w:val="auto"/>
              </w:rPr>
            </w:pPr>
          </w:p>
        </w:tc>
        <w:tc>
          <w:tcPr>
            <w:tcW w:w="520" w:type="dxa"/>
            <w:vAlign w:val="bottom"/>
          </w:tcPr>
          <w:p>
            <w:pPr>
              <w:jc w:val="right"/>
              <w:ind w:right="65"/>
              <w:spacing w:after="0"/>
              <w:rPr>
                <w:sz w:val="20"/>
                <w:szCs w:val="20"/>
                <w:color w:val="auto"/>
              </w:rPr>
            </w:pPr>
            <w:r>
              <w:rPr>
                <w:rFonts w:ascii="Arial" w:cs="Arial" w:eastAsia="Arial" w:hAnsi="Arial"/>
                <w:sz w:val="15"/>
                <w:szCs w:val="15"/>
                <w:color w:val="auto"/>
                <w:w w:val="95"/>
              </w:rPr>
              <w:t>7,180</w:t>
            </w:r>
          </w:p>
        </w:tc>
        <w:tc>
          <w:tcPr>
            <w:tcW w:w="980" w:type="dxa"/>
            <w:vAlign w:val="bottom"/>
          </w:tcPr>
          <w:p>
            <w:pPr>
              <w:spacing w:after="0"/>
              <w:rPr>
                <w:sz w:val="15"/>
                <w:szCs w:val="15"/>
                <w:color w:val="auto"/>
              </w:rPr>
            </w:pPr>
          </w:p>
        </w:tc>
        <w:tc>
          <w:tcPr>
            <w:tcW w:w="520" w:type="dxa"/>
            <w:vAlign w:val="bottom"/>
          </w:tcPr>
          <w:p>
            <w:pPr>
              <w:jc w:val="right"/>
              <w:ind w:right="85"/>
              <w:spacing w:after="0"/>
              <w:rPr>
                <w:sz w:val="20"/>
                <w:szCs w:val="20"/>
                <w:color w:val="auto"/>
              </w:rPr>
            </w:pPr>
            <w:r>
              <w:rPr>
                <w:rFonts w:ascii="Arial" w:cs="Arial" w:eastAsia="Arial" w:hAnsi="Arial"/>
                <w:sz w:val="15"/>
                <w:szCs w:val="15"/>
                <w:color w:val="auto"/>
                <w:w w:val="90"/>
              </w:rPr>
              <w:t>1,855</w:t>
            </w:r>
          </w:p>
        </w:tc>
        <w:tc>
          <w:tcPr>
            <w:tcW w:w="8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9,035</w:t>
            </w: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Amortization</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(39)</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6"/>
              </w:rPr>
              <w:t>(402)</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00" w:type="dxa"/>
            <w:vAlign w:val="bottom"/>
            <w:gridSpan w:val="2"/>
          </w:tcPr>
          <w:p>
            <w:pPr>
              <w:ind w:left="140"/>
              <w:spacing w:after="0"/>
              <w:rPr>
                <w:sz w:val="20"/>
                <w:szCs w:val="20"/>
                <w:color w:val="auto"/>
              </w:rPr>
            </w:pPr>
            <w:r>
              <w:rPr>
                <w:rFonts w:ascii="Arial" w:cs="Arial" w:eastAsia="Arial" w:hAnsi="Arial"/>
                <w:sz w:val="15"/>
                <w:szCs w:val="15"/>
                <w:color w:val="auto"/>
              </w:rPr>
              <w:t>Currency impacts</w:t>
            </w: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163</w:t>
            </w: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19"/>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Balance as of December 31, 2006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7,141</w:t>
            </w:r>
          </w:p>
        </w:tc>
        <w:tc>
          <w:tcPr>
            <w:tcW w:w="9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0"/>
              </w:rPr>
              <w:t>2,090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9,231</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500" w:type="dxa"/>
            <w:vAlign w:val="bottom"/>
            <w:vMerge w:val="restart"/>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as of January 1, 2007</w:t>
            </w:r>
          </w:p>
        </w:tc>
        <w:tc>
          <w:tcPr>
            <w:tcW w:w="1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7,141</w:t>
            </w:r>
          </w:p>
        </w:tc>
        <w:tc>
          <w:tcPr>
            <w:tcW w:w="9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85"/>
              </w:rPr>
              <w:t>2,090</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9,231</w:t>
            </w: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00" w:type="dxa"/>
            <w:vAlign w:val="bottom"/>
            <w:gridSpan w:val="2"/>
          </w:tcPr>
          <w:p>
            <w:pPr>
              <w:ind w:left="140"/>
              <w:spacing w:after="0"/>
              <w:rPr>
                <w:sz w:val="20"/>
                <w:szCs w:val="20"/>
                <w:color w:val="auto"/>
              </w:rPr>
            </w:pPr>
            <w:r>
              <w:rPr>
                <w:rFonts w:ascii="Arial" w:cs="Arial" w:eastAsia="Arial" w:hAnsi="Arial"/>
                <w:sz w:val="15"/>
                <w:szCs w:val="15"/>
                <w:color w:val="auto"/>
              </w:rPr>
              <w:t>Acquisition of Intangibles</w:t>
            </w:r>
          </w:p>
        </w:tc>
        <w:tc>
          <w:tcPr>
            <w:tcW w:w="1240" w:type="dxa"/>
            <w:vAlign w:val="bottom"/>
          </w:tcPr>
          <w:p>
            <w:pPr>
              <w:spacing w:after="0"/>
              <w:rPr>
                <w:sz w:val="15"/>
                <w:szCs w:val="15"/>
                <w:color w:val="auto"/>
              </w:rPr>
            </w:pPr>
          </w:p>
        </w:tc>
        <w:tc>
          <w:tcPr>
            <w:tcW w:w="5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5"/>
                <w:szCs w:val="15"/>
                <w:color w:val="auto"/>
              </w:rPr>
            </w:pPr>
          </w:p>
        </w:tc>
        <w:tc>
          <w:tcPr>
            <w:tcW w:w="520" w:type="dxa"/>
            <w:vAlign w:val="bottom"/>
          </w:tcPr>
          <w:p>
            <w:pPr>
              <w:jc w:val="right"/>
              <w:ind w:right="105"/>
              <w:spacing w:after="0"/>
              <w:rPr>
                <w:sz w:val="20"/>
                <w:szCs w:val="20"/>
                <w:color w:val="auto"/>
              </w:rPr>
            </w:pPr>
            <w:r>
              <w:rPr>
                <w:rFonts w:ascii="Arial" w:cs="Arial" w:eastAsia="Arial" w:hAnsi="Arial"/>
                <w:sz w:val="15"/>
                <w:szCs w:val="15"/>
                <w:color w:val="auto"/>
              </w:rPr>
              <w:t>66</w:t>
            </w:r>
          </w:p>
        </w:tc>
        <w:tc>
          <w:tcPr>
            <w:tcW w:w="8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7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Amortization</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(237)</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1"/>
              </w:rPr>
              <w:t>(267)</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80" w:type="dxa"/>
            <w:vAlign w:val="bottom"/>
          </w:tcPr>
          <w:p>
            <w:pPr>
              <w:ind w:left="140"/>
              <w:spacing w:after="0"/>
              <w:rPr>
                <w:sz w:val="20"/>
                <w:szCs w:val="20"/>
                <w:color w:val="auto"/>
              </w:rPr>
            </w:pPr>
            <w:r>
              <w:rPr>
                <w:rFonts w:ascii="Arial" w:cs="Arial" w:eastAsia="Arial" w:hAnsi="Arial"/>
                <w:sz w:val="15"/>
                <w:szCs w:val="15"/>
                <w:color w:val="auto"/>
              </w:rPr>
              <w:t>Currency impacts</w:t>
            </w: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44</w:t>
            </w: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19"/>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as of June 30, 2007</w:t>
            </w:r>
          </w:p>
        </w:tc>
        <w:tc>
          <w:tcPr>
            <w:tcW w:w="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6,904</w:t>
            </w:r>
          </w:p>
        </w:tc>
        <w:tc>
          <w:tcPr>
            <w:tcW w:w="980" w:type="dxa"/>
            <w:vAlign w:val="bottom"/>
            <w:tcBorders>
              <w:bottom w:val="single" w:sz="8" w:color="auto"/>
            </w:tcBorders>
            <w:shd w:val="clear" w:color="auto" w:fill="CCEEFF"/>
          </w:tcPr>
          <w:p>
            <w:pPr>
              <w:jc w:val="center"/>
              <w:ind w:left="10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85"/>
              </w:rPr>
              <w:t>1,933</w:t>
            </w: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8,837</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line="303" w:lineRule="auto"/>
        <w:rPr>
          <w:sz w:val="20"/>
          <w:szCs w:val="20"/>
          <w:color w:val="auto"/>
        </w:rPr>
      </w:pPr>
      <w:r>
        <w:rPr>
          <w:rFonts w:ascii="Arial" w:cs="Arial" w:eastAsia="Arial" w:hAnsi="Arial"/>
          <w:sz w:val="13"/>
          <w:szCs w:val="13"/>
          <w:color w:val="auto"/>
        </w:rPr>
        <w:t>Of the intangible assets within the Precision Metal Components Segment, the majority of the value is a customer relationship intangible with an estimated fair value of $6,900. This intangible asset has an estimated useful life of 20 years and $173 of amortization expense was recorded in 2007. The remaining balance is made up of a covenant not to compete of $150 and a favorable leasehold interest of $130. These items are amortizable over two and two and a half years, respectively, and $38 and $26 in amortization expense was recorded in 2007. The accumulated amortization related to all of these intangible assets at June 30, 2007 was $276. Additionally, in the Precision Metal Components Segment is an intangible asset not subject to amortization of $900 related to the value of the trade names of Whirlaway. The Company is still in the process of finalizing the valuation and estimated useful lives of these intangible assets.</w:t>
      </w:r>
    </w:p>
    <w:p>
      <w:pPr>
        <w:spacing w:after="0" w:line="154"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The intangible asset within the Metal Bearing Components Segment is a contract intangible related to the SNR purchase agreement and related supply agreement. This intangible asset is subject to amortization over approximately 5 years and amortization expense is approximately $500 for each of the five years. For the six month period ended June 30, 2007, the amortization expense totaled $267 and accumulated amortization totaled $812 at June 30, 2007</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3"/>
          <w:szCs w:val="13"/>
          <w:b w:val="1"/>
          <w:bCs w:val="1"/>
          <w:color w:val="auto"/>
        </w:rPr>
        <w:t>Stock Compensation</w:t>
      </w:r>
    </w:p>
    <w:p>
      <w:pPr>
        <w:spacing w:after="0" w:line="212"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In the three and six month periods ended June 30, 2007 and 2006, approximately $234 and $368 for 2007 and $103 and $206 for 2006, respectively, of compensation expense was recognized in selling, general and administrative expense for all share-based awards. On March 1, 2007 and May 25, 2007 the Company granted 30,000 and 161,500 options, respectively, to directors and certain employees of the Company. The fair value of the options cannot be determined by market value as our options are not traded in an open market. Accordingly, a financial pricing model is utilized to determine fair value. The Company utilizes the Black-Scholes model which relies on certain assumptions to estimate an option's fair value.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65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a reconciliation of option activity for the six month period ended June 30, 2007:</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0"/>
              </w:rPr>
              <w:t>Weighted-</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Weighted-</w:t>
            </w:r>
          </w:p>
        </w:tc>
        <w:tc>
          <w:tcPr>
            <w:tcW w:w="2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7"/>
              </w:rPr>
              <w:t>Average</w:t>
            </w:r>
          </w:p>
        </w:tc>
        <w:tc>
          <w:tcPr>
            <w:tcW w:w="2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88"/>
              </w:rPr>
              <w:t>Aggregate</w:t>
            </w: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Average</w:t>
            </w:r>
          </w:p>
        </w:tc>
        <w:tc>
          <w:tcPr>
            <w:tcW w:w="2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1"/>
              </w:rPr>
              <w:t>Remaining</w:t>
            </w:r>
          </w:p>
        </w:tc>
        <w:tc>
          <w:tcPr>
            <w:tcW w:w="2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92"/>
              </w:rPr>
              <w:t>Intrinsic</w:t>
            </w: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25"/>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auto"/>
                <w:w w:val="87"/>
              </w:rPr>
              <w:t>Exercise</w:t>
            </w:r>
          </w:p>
        </w:tc>
        <w:tc>
          <w:tcPr>
            <w:tcW w:w="2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3"/>
              </w:rPr>
              <w:t>Contractual</w:t>
            </w:r>
          </w:p>
        </w:tc>
        <w:tc>
          <w:tcPr>
            <w:tcW w:w="2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5"/>
                <w:szCs w:val="15"/>
                <w:b w:val="1"/>
                <w:bCs w:val="1"/>
                <w:color w:val="auto"/>
                <w:w w:val="89"/>
              </w:rPr>
              <w:t>Value</w:t>
            </w:r>
          </w:p>
        </w:tc>
      </w:tr>
      <w:tr>
        <w:trPr>
          <w:trHeight w:val="196"/>
        </w:trPr>
        <w:tc>
          <w:tcPr>
            <w:tcW w:w="20" w:type="dxa"/>
            <w:vAlign w:val="bottom"/>
          </w:tcPr>
          <w:p>
            <w:pPr>
              <w:spacing w:after="0"/>
              <w:rPr>
                <w:sz w:val="17"/>
                <w:szCs w:val="17"/>
                <w:color w:val="auto"/>
              </w:rPr>
            </w:pPr>
          </w:p>
        </w:tc>
        <w:tc>
          <w:tcPr>
            <w:tcW w:w="3380" w:type="dxa"/>
            <w:vAlign w:val="bottom"/>
            <w:tcBorders>
              <w:bottom w:val="single" w:sz="8" w:color="auto"/>
            </w:tcBorders>
          </w:tcPr>
          <w:p>
            <w:pPr>
              <w:ind w:left="1420"/>
              <w:spacing w:after="0"/>
              <w:rPr>
                <w:sz w:val="20"/>
                <w:szCs w:val="20"/>
                <w:color w:val="auto"/>
              </w:rPr>
            </w:pPr>
            <w:r>
              <w:rPr>
                <w:rFonts w:ascii="Arial" w:cs="Arial" w:eastAsia="Arial" w:hAnsi="Arial"/>
                <w:sz w:val="15"/>
                <w:szCs w:val="15"/>
                <w:b w:val="1"/>
                <w:bCs w:val="1"/>
                <w:color w:val="auto"/>
              </w:rPr>
              <w:t>Options</w:t>
            </w:r>
          </w:p>
        </w:tc>
        <w:tc>
          <w:tcPr>
            <w:tcW w:w="280" w:type="dxa"/>
            <w:vAlign w:val="bottom"/>
          </w:tcPr>
          <w:p>
            <w:pPr>
              <w:spacing w:after="0"/>
              <w:rPr>
                <w:sz w:val="17"/>
                <w:szCs w:val="17"/>
                <w:color w:val="auto"/>
              </w:rPr>
            </w:pPr>
          </w:p>
        </w:tc>
        <w:tc>
          <w:tcPr>
            <w:tcW w:w="12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rPr>
              <w:t>(000’s)</w:t>
            </w:r>
          </w:p>
        </w:tc>
        <w:tc>
          <w:tcPr>
            <w:tcW w:w="26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Price</w:t>
            </w:r>
          </w:p>
        </w:tc>
        <w:tc>
          <w:tcPr>
            <w:tcW w:w="28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28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($000)</w:t>
            </w:r>
          </w:p>
        </w:tc>
      </w:tr>
      <w:tr>
        <w:trPr>
          <w:trHeight w:val="179"/>
        </w:trPr>
        <w:tc>
          <w:tcPr>
            <w:tcW w:w="20" w:type="dxa"/>
            <w:vAlign w:val="bottom"/>
          </w:tcPr>
          <w:p>
            <w:pPr>
              <w:spacing w:after="0"/>
              <w:rPr>
                <w:sz w:val="15"/>
                <w:szCs w:val="15"/>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Outstanding at January 1, 2007</w:t>
            </w:r>
          </w:p>
        </w:tc>
        <w:tc>
          <w:tcPr>
            <w:tcW w:w="1480" w:type="dxa"/>
            <w:vAlign w:val="bottom"/>
            <w:gridSpan w:val="2"/>
            <w:shd w:val="clear" w:color="auto" w:fill="CCEEFF"/>
          </w:tcPr>
          <w:p>
            <w:pPr>
              <w:jc w:val="right"/>
              <w:ind w:right="365"/>
              <w:spacing w:after="0"/>
              <w:rPr>
                <w:sz w:val="20"/>
                <w:szCs w:val="20"/>
                <w:color w:val="auto"/>
              </w:rPr>
            </w:pPr>
            <w:r>
              <w:rPr>
                <w:rFonts w:ascii="Arial" w:cs="Arial" w:eastAsia="Arial" w:hAnsi="Arial"/>
                <w:sz w:val="15"/>
                <w:szCs w:val="15"/>
                <w:color w:val="auto"/>
              </w:rPr>
              <w:t>1,452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9.81</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5"/>
                <w:szCs w:val="15"/>
                <w:color w:val="auto"/>
              </w:rPr>
              <w:t>Granted</w:t>
            </w:r>
          </w:p>
        </w:tc>
        <w:tc>
          <w:tcPr>
            <w:tcW w:w="1480" w:type="dxa"/>
            <w:vAlign w:val="bottom"/>
            <w:gridSpan w:val="2"/>
          </w:tcPr>
          <w:p>
            <w:pPr>
              <w:jc w:val="right"/>
              <w:ind w:right="365"/>
              <w:spacing w:after="0"/>
              <w:rPr>
                <w:sz w:val="20"/>
                <w:szCs w:val="20"/>
                <w:color w:val="auto"/>
              </w:rPr>
            </w:pPr>
            <w:r>
              <w:rPr>
                <w:rFonts w:ascii="Arial" w:cs="Arial" w:eastAsia="Arial" w:hAnsi="Arial"/>
                <w:sz w:val="15"/>
                <w:szCs w:val="15"/>
                <w:color w:val="auto"/>
              </w:rPr>
              <w:t>192</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45"/>
              <w:spacing w:after="0"/>
              <w:rPr>
                <w:sz w:val="20"/>
                <w:szCs w:val="20"/>
                <w:color w:val="auto"/>
              </w:rPr>
            </w:pPr>
            <w:r>
              <w:rPr>
                <w:rFonts w:ascii="Arial" w:cs="Arial" w:eastAsia="Arial" w:hAnsi="Arial"/>
                <w:sz w:val="15"/>
                <w:szCs w:val="15"/>
                <w:color w:val="auto"/>
                <w:w w:val="90"/>
              </w:rPr>
              <w:t>12.05</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480" w:type="dxa"/>
            <w:vAlign w:val="bottom"/>
            <w:gridSpan w:val="2"/>
            <w:shd w:val="clear" w:color="auto" w:fill="CCEEFF"/>
          </w:tcPr>
          <w:p>
            <w:pPr>
              <w:jc w:val="right"/>
              <w:ind w:right="325"/>
              <w:spacing w:after="0"/>
              <w:rPr>
                <w:sz w:val="20"/>
                <w:szCs w:val="20"/>
                <w:color w:val="auto"/>
              </w:rPr>
            </w:pPr>
            <w:r>
              <w:rPr>
                <w:rFonts w:ascii="Arial" w:cs="Arial" w:eastAsia="Arial" w:hAnsi="Arial"/>
                <w:sz w:val="15"/>
                <w:szCs w:val="15"/>
                <w:color w:val="auto"/>
              </w:rPr>
              <w:t>(26)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90"/>
              </w:rPr>
              <w:t>10.95</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5"/>
                <w:szCs w:val="15"/>
                <w:color w:val="auto"/>
              </w:rPr>
              <w:t>Forfeited or expired</w:t>
            </w:r>
          </w:p>
        </w:tc>
        <w:tc>
          <w:tcPr>
            <w:tcW w:w="280" w:type="dxa"/>
            <w:vAlign w:val="bottom"/>
          </w:tcPr>
          <w:p>
            <w:pPr>
              <w:spacing w:after="0"/>
              <w:rPr>
                <w:sz w:val="15"/>
                <w:szCs w:val="15"/>
                <w:color w:val="auto"/>
              </w:rPr>
            </w:pPr>
          </w:p>
        </w:tc>
        <w:tc>
          <w:tcPr>
            <w:tcW w:w="12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rPr>
              <w:t>(41)</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45"/>
              <w:spacing w:after="0"/>
              <w:rPr>
                <w:sz w:val="20"/>
                <w:szCs w:val="20"/>
                <w:color w:val="auto"/>
              </w:rPr>
            </w:pPr>
            <w:r>
              <w:rPr>
                <w:rFonts w:ascii="Arial" w:cs="Arial" w:eastAsia="Arial" w:hAnsi="Arial"/>
                <w:sz w:val="15"/>
                <w:szCs w:val="15"/>
                <w:color w:val="auto"/>
                <w:w w:val="90"/>
              </w:rPr>
              <w:t>12.54</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at June 30, 2007</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rPr>
              <w:t>1,577</w:t>
            </w: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rPr>
              <w:t>9.99</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6.07</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line="190" w:lineRule="exact"/>
              <w:rPr>
                <w:sz w:val="20"/>
                <w:szCs w:val="20"/>
                <w:color w:val="auto"/>
              </w:rPr>
            </w:pPr>
            <w:r>
              <w:rPr>
                <w:rFonts w:ascii="Arial" w:cs="Arial" w:eastAsia="Arial" w:hAnsi="Arial"/>
                <w:sz w:val="15"/>
                <w:szCs w:val="15"/>
                <w:color w:val="auto"/>
                <w:w w:val="93"/>
              </w:rPr>
              <w:t>$ 2,850</w:t>
            </w:r>
            <w:r>
              <w:rPr>
                <w:rFonts w:ascii="Arial" w:cs="Arial" w:eastAsia="Arial" w:hAnsi="Arial"/>
                <w:sz w:val="20"/>
                <w:szCs w:val="20"/>
                <w:color w:val="auto"/>
                <w:w w:val="93"/>
                <w:vertAlign w:val="superscript"/>
              </w:rPr>
              <w:t>(1)</w:t>
            </w:r>
          </w:p>
        </w:tc>
      </w:tr>
      <w:tr>
        <w:trPr>
          <w:trHeight w:val="175"/>
        </w:trPr>
        <w:tc>
          <w:tcPr>
            <w:tcW w:w="20" w:type="dxa"/>
            <w:vAlign w:val="bottom"/>
          </w:tcPr>
          <w:p>
            <w:pPr>
              <w:spacing w:after="0"/>
              <w:rPr>
                <w:sz w:val="15"/>
                <w:szCs w:val="15"/>
                <w:color w:val="auto"/>
              </w:rPr>
            </w:pPr>
          </w:p>
        </w:tc>
        <w:tc>
          <w:tcPr>
            <w:tcW w:w="3380" w:type="dxa"/>
            <w:vAlign w:val="bottom"/>
          </w:tcPr>
          <w:p>
            <w:pPr>
              <w:spacing w:after="0"/>
              <w:rPr>
                <w:sz w:val="20"/>
                <w:szCs w:val="20"/>
                <w:color w:val="auto"/>
              </w:rPr>
            </w:pPr>
            <w:r>
              <w:rPr>
                <w:rFonts w:ascii="Arial" w:cs="Arial" w:eastAsia="Arial" w:hAnsi="Arial"/>
                <w:sz w:val="15"/>
                <w:szCs w:val="15"/>
                <w:color w:val="auto"/>
              </w:rPr>
              <w:t>Exercisable at June 30, 2007</w:t>
            </w:r>
          </w:p>
        </w:tc>
        <w:tc>
          <w:tcPr>
            <w:tcW w:w="1480" w:type="dxa"/>
            <w:vAlign w:val="bottom"/>
            <w:gridSpan w:val="2"/>
          </w:tcPr>
          <w:p>
            <w:pPr>
              <w:jc w:val="right"/>
              <w:ind w:right="365"/>
              <w:spacing w:after="0"/>
              <w:rPr>
                <w:sz w:val="20"/>
                <w:szCs w:val="20"/>
                <w:color w:val="auto"/>
              </w:rPr>
            </w:pPr>
            <w:r>
              <w:rPr>
                <w:rFonts w:ascii="Arial" w:cs="Arial" w:eastAsia="Arial" w:hAnsi="Arial"/>
                <w:sz w:val="15"/>
                <w:szCs w:val="15"/>
                <w:color w:val="auto"/>
              </w:rPr>
              <w:t>1,216</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45"/>
              <w:spacing w:after="0"/>
              <w:rPr>
                <w:sz w:val="20"/>
                <w:szCs w:val="20"/>
                <w:color w:val="auto"/>
              </w:rPr>
            </w:pPr>
            <w:r>
              <w:rPr>
                <w:rFonts w:ascii="Arial" w:cs="Arial" w:eastAsia="Arial" w:hAnsi="Arial"/>
                <w:sz w:val="15"/>
                <w:szCs w:val="15"/>
                <w:color w:val="auto"/>
              </w:rPr>
              <w:t>9.46</w:t>
            </w:r>
          </w:p>
        </w:tc>
        <w:tc>
          <w:tcPr>
            <w:tcW w:w="1360" w:type="dxa"/>
            <w:vAlign w:val="bottom"/>
            <w:gridSpan w:val="2"/>
          </w:tcPr>
          <w:p>
            <w:pPr>
              <w:jc w:val="center"/>
              <w:ind w:left="185"/>
              <w:spacing w:after="0"/>
              <w:rPr>
                <w:sz w:val="20"/>
                <w:szCs w:val="20"/>
                <w:color w:val="auto"/>
              </w:rPr>
            </w:pPr>
            <w:r>
              <w:rPr>
                <w:rFonts w:ascii="Arial" w:cs="Arial" w:eastAsia="Arial" w:hAnsi="Arial"/>
                <w:sz w:val="15"/>
                <w:szCs w:val="15"/>
                <w:color w:val="auto"/>
                <w:w w:val="88"/>
              </w:rPr>
              <w:t>5.05</w:t>
            </w:r>
          </w:p>
        </w:tc>
        <w:tc>
          <w:tcPr>
            <w:tcW w:w="1560" w:type="dxa"/>
            <w:vAlign w:val="bottom"/>
            <w:gridSpan w:val="2"/>
          </w:tcPr>
          <w:p>
            <w:pPr>
              <w:jc w:val="center"/>
              <w:ind w:left="185"/>
              <w:spacing w:after="0" w:line="175" w:lineRule="exact"/>
              <w:rPr>
                <w:sz w:val="20"/>
                <w:szCs w:val="20"/>
                <w:color w:val="auto"/>
              </w:rPr>
            </w:pPr>
            <w:r>
              <w:rPr>
                <w:rFonts w:ascii="Arial" w:cs="Arial" w:eastAsia="Arial" w:hAnsi="Arial"/>
                <w:sz w:val="15"/>
                <w:szCs w:val="15"/>
                <w:color w:val="auto"/>
                <w:w w:val="87"/>
              </w:rPr>
              <w:t xml:space="preserve">$ 2,850 </w:t>
            </w:r>
            <w:r>
              <w:rPr>
                <w:rFonts w:ascii="Arial" w:cs="Arial" w:eastAsia="Arial" w:hAnsi="Arial"/>
                <w:sz w:val="20"/>
                <w:szCs w:val="20"/>
                <w:color w:val="auto"/>
                <w:w w:val="87"/>
                <w:vertAlign w:val="superscript"/>
              </w:rPr>
              <w:t>(1)</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60" w:hanging="150"/>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Intrinsic value is the amount by which the market price of the stock exceeds the weighted average exercise price of the options at June 30, 2007.</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Awards</w:t>
      </w:r>
    </w:p>
    <w:p>
      <w:pPr>
        <w:spacing w:after="0" w:line="212"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color w:val="auto"/>
        </w:rPr>
        <w:t>The unrecognized compensation cost before tax for these awards at June 30, 2007 and 2006 total approximately $63 and $262, respectively, to be recognized over approximately one and two years, respectively. As of June 30, 2007, the actual cumulative forfeiture rate of the awards granted was approximately 10%. Below is a summary of the status of the non-vested restricted stock as of June 30, 2007 and changes during the six month period ended June 30, 2007:</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w w:val="90"/>
              </w:rPr>
              <w:t>Weighted-</w:t>
            </w:r>
          </w:p>
        </w:tc>
      </w:tr>
      <w:tr>
        <w:trPr>
          <w:trHeight w:val="179"/>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ind w:right="505"/>
              <w:spacing w:after="0"/>
              <w:rPr>
                <w:sz w:val="20"/>
                <w:szCs w:val="20"/>
                <w:color w:val="auto"/>
              </w:rPr>
            </w:pPr>
            <w:r>
              <w:rPr>
                <w:rFonts w:ascii="Arial" w:cs="Arial" w:eastAsia="Arial" w:hAnsi="Arial"/>
                <w:sz w:val="15"/>
                <w:szCs w:val="15"/>
                <w:color w:val="auto"/>
              </w:rPr>
              <w:t>Shares</w:t>
            </w:r>
          </w:p>
        </w:tc>
        <w:tc>
          <w:tcPr>
            <w:tcW w:w="26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w w:val="89"/>
              </w:rPr>
              <w:t>Average Grant-</w:t>
            </w:r>
          </w:p>
        </w:tc>
      </w:tr>
      <w:tr>
        <w:trPr>
          <w:trHeight w:val="192"/>
        </w:trPr>
        <w:tc>
          <w:tcPr>
            <w:tcW w:w="20" w:type="dxa"/>
            <w:vAlign w:val="bottom"/>
          </w:tcPr>
          <w:p>
            <w:pPr>
              <w:spacing w:after="0"/>
              <w:rPr>
                <w:sz w:val="16"/>
                <w:szCs w:val="16"/>
                <w:color w:val="auto"/>
              </w:rPr>
            </w:pPr>
          </w:p>
        </w:tc>
        <w:tc>
          <w:tcPr>
            <w:tcW w:w="47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(000’s)</w:t>
            </w:r>
          </w:p>
        </w:tc>
        <w:tc>
          <w:tcPr>
            <w:tcW w:w="26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0"/>
              </w:rPr>
              <w:t>Date Fair Value</w:t>
            </w:r>
          </w:p>
        </w:tc>
      </w:tr>
      <w:tr>
        <w:trPr>
          <w:trHeight w:val="179"/>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Non-vested at January 1, 2007</w:t>
            </w:r>
          </w:p>
        </w:tc>
        <w:tc>
          <w:tcPr>
            <w:tcW w:w="1900" w:type="dxa"/>
            <w:vAlign w:val="bottom"/>
            <w:gridSpan w:val="2"/>
            <w:shd w:val="clear" w:color="auto" w:fill="CCEEFF"/>
          </w:tcPr>
          <w:p>
            <w:pPr>
              <w:jc w:val="center"/>
              <w:ind w:left="265"/>
              <w:spacing w:after="0"/>
              <w:rPr>
                <w:sz w:val="20"/>
                <w:szCs w:val="20"/>
                <w:color w:val="auto"/>
              </w:rPr>
            </w:pPr>
            <w:r>
              <w:rPr>
                <w:rFonts w:ascii="Arial" w:cs="Arial" w:eastAsia="Arial" w:hAnsi="Arial"/>
                <w:sz w:val="15"/>
                <w:szCs w:val="15"/>
                <w:color w:val="auto"/>
                <w:w w:val="95"/>
              </w:rPr>
              <w:t>33</w:t>
            </w:r>
          </w:p>
        </w:tc>
        <w:tc>
          <w:tcPr>
            <w:tcW w:w="2500" w:type="dxa"/>
            <w:vAlign w:val="bottom"/>
            <w:gridSpan w:val="2"/>
            <w:shd w:val="clear" w:color="auto" w:fill="CCEEFF"/>
          </w:tcPr>
          <w:p>
            <w:pPr>
              <w:jc w:val="right"/>
              <w:ind w:right="945"/>
              <w:spacing w:after="0"/>
              <w:rPr>
                <w:sz w:val="20"/>
                <w:szCs w:val="20"/>
                <w:color w:val="auto"/>
              </w:rPr>
            </w:pPr>
            <w:r>
              <w:rPr>
                <w:rFonts w:ascii="Arial" w:cs="Arial" w:eastAsia="Arial" w:hAnsi="Arial"/>
                <w:sz w:val="15"/>
                <w:szCs w:val="15"/>
                <w:color w:val="auto"/>
              </w:rPr>
              <w:t>$ 12.70</w:t>
            </w:r>
          </w:p>
        </w:tc>
      </w:tr>
      <w:tr>
        <w:trPr>
          <w:trHeight w:val="179"/>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5"/>
                <w:szCs w:val="15"/>
                <w:color w:val="auto"/>
              </w:rPr>
              <w:t>Granted</w:t>
            </w:r>
          </w:p>
        </w:tc>
        <w:tc>
          <w:tcPr>
            <w:tcW w:w="1900" w:type="dxa"/>
            <w:vAlign w:val="bottom"/>
            <w:gridSpan w:val="2"/>
          </w:tcPr>
          <w:p>
            <w:pPr>
              <w:jc w:val="center"/>
              <w:ind w:left="245"/>
              <w:spacing w:after="0"/>
              <w:rPr>
                <w:sz w:val="20"/>
                <w:szCs w:val="20"/>
                <w:color w:val="auto"/>
              </w:rPr>
            </w:pPr>
            <w:r>
              <w:rPr>
                <w:rFonts w:ascii="Arial" w:cs="Arial" w:eastAsia="Arial" w:hAnsi="Arial"/>
                <w:sz w:val="15"/>
                <w:szCs w:val="15"/>
                <w:color w:val="auto"/>
                <w:w w:val="99"/>
              </w:rPr>
              <w:t>--</w:t>
            </w:r>
          </w:p>
        </w:tc>
        <w:tc>
          <w:tcPr>
            <w:tcW w:w="2500" w:type="dxa"/>
            <w:vAlign w:val="bottom"/>
            <w:gridSpan w:val="2"/>
          </w:tcPr>
          <w:p>
            <w:pPr>
              <w:jc w:val="right"/>
              <w:ind w:right="945"/>
              <w:spacing w:after="0"/>
              <w:rPr>
                <w:sz w:val="20"/>
                <w:szCs w:val="20"/>
                <w:color w:val="auto"/>
              </w:rPr>
            </w:pPr>
            <w:r>
              <w:rPr>
                <w:rFonts w:ascii="Arial" w:cs="Arial" w:eastAsia="Arial" w:hAnsi="Arial"/>
                <w:sz w:val="15"/>
                <w:szCs w:val="15"/>
                <w:color w:val="auto"/>
              </w:rPr>
              <w:t>--</w:t>
            </w:r>
          </w:p>
        </w:tc>
      </w:tr>
      <w:tr>
        <w:trPr>
          <w:trHeight w:val="179"/>
        </w:trPr>
        <w:tc>
          <w:tcPr>
            <w:tcW w:w="20" w:type="dxa"/>
            <w:vAlign w:val="bottom"/>
          </w:tcPr>
          <w:p>
            <w:pPr>
              <w:spacing w:after="0"/>
              <w:rPr>
                <w:sz w:val="15"/>
                <w:szCs w:val="15"/>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1900" w:type="dxa"/>
            <w:vAlign w:val="bottom"/>
            <w:gridSpan w:val="2"/>
            <w:shd w:val="clear" w:color="auto" w:fill="CCEEFF"/>
          </w:tcPr>
          <w:p>
            <w:pPr>
              <w:jc w:val="center"/>
              <w:ind w:left="245"/>
              <w:spacing w:after="0"/>
              <w:rPr>
                <w:sz w:val="20"/>
                <w:szCs w:val="20"/>
                <w:color w:val="auto"/>
              </w:rPr>
            </w:pPr>
            <w:r>
              <w:rPr>
                <w:rFonts w:ascii="Arial" w:cs="Arial" w:eastAsia="Arial" w:hAnsi="Arial"/>
                <w:sz w:val="15"/>
                <w:szCs w:val="15"/>
                <w:color w:val="auto"/>
                <w:w w:val="99"/>
              </w:rPr>
              <w:t>--</w:t>
            </w:r>
          </w:p>
        </w:tc>
        <w:tc>
          <w:tcPr>
            <w:tcW w:w="2500" w:type="dxa"/>
            <w:vAlign w:val="bottom"/>
            <w:gridSpan w:val="2"/>
            <w:shd w:val="clear" w:color="auto" w:fill="CCEEFF"/>
          </w:tcPr>
          <w:p>
            <w:pPr>
              <w:jc w:val="right"/>
              <w:ind w:right="945"/>
              <w:spacing w:after="0"/>
              <w:rPr>
                <w:sz w:val="20"/>
                <w:szCs w:val="20"/>
                <w:color w:val="auto"/>
              </w:rPr>
            </w:pPr>
            <w:r>
              <w:rPr>
                <w:rFonts w:ascii="Arial" w:cs="Arial" w:eastAsia="Arial" w:hAnsi="Arial"/>
                <w:sz w:val="15"/>
                <w:szCs w:val="15"/>
                <w:color w:val="auto"/>
              </w:rPr>
              <w:t>--</w:t>
            </w:r>
          </w:p>
        </w:tc>
      </w:tr>
      <w:tr>
        <w:trPr>
          <w:trHeight w:val="182"/>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Arial" w:cs="Arial" w:eastAsia="Arial" w:hAnsi="Arial"/>
                <w:sz w:val="15"/>
                <w:szCs w:val="15"/>
                <w:color w:val="auto"/>
              </w:rPr>
              <w:t>Forfeited</w:t>
            </w:r>
          </w:p>
        </w:tc>
        <w:tc>
          <w:tcPr>
            <w:tcW w:w="360" w:type="dxa"/>
            <w:vAlign w:val="bottom"/>
          </w:tcPr>
          <w:p>
            <w:pPr>
              <w:spacing w:after="0"/>
              <w:rPr>
                <w:sz w:val="15"/>
                <w:szCs w:val="15"/>
                <w:color w:val="auto"/>
              </w:rPr>
            </w:pPr>
          </w:p>
        </w:tc>
        <w:tc>
          <w:tcPr>
            <w:tcW w:w="154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rPr>
              <w:t>(3)</w:t>
            </w:r>
          </w:p>
        </w:tc>
        <w:tc>
          <w:tcPr>
            <w:tcW w:w="2500" w:type="dxa"/>
            <w:vAlign w:val="bottom"/>
            <w:gridSpan w:val="2"/>
          </w:tcPr>
          <w:p>
            <w:pPr>
              <w:jc w:val="right"/>
              <w:ind w:right="945"/>
              <w:spacing w:after="0"/>
              <w:rPr>
                <w:sz w:val="20"/>
                <w:szCs w:val="20"/>
                <w:color w:val="auto"/>
              </w:rPr>
            </w:pPr>
            <w:r>
              <w:rPr>
                <w:rFonts w:ascii="Arial" w:cs="Arial" w:eastAsia="Arial" w:hAnsi="Arial"/>
                <w:sz w:val="15"/>
                <w:szCs w:val="15"/>
                <w:color w:val="auto"/>
              </w:rPr>
              <w:t>$12.70</w:t>
            </w:r>
          </w:p>
        </w:tc>
      </w:tr>
      <w:tr>
        <w:trPr>
          <w:trHeight w:val="219"/>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Non-vested at June 30, 2007</w:t>
            </w:r>
          </w:p>
        </w:tc>
        <w:tc>
          <w:tcPr>
            <w:tcW w:w="3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30</w:t>
            </w:r>
          </w:p>
        </w:tc>
        <w:tc>
          <w:tcPr>
            <w:tcW w:w="2500" w:type="dxa"/>
            <w:vAlign w:val="bottom"/>
            <w:tcBorders>
              <w:bottom w:val="single" w:sz="8" w:color="CCEEFF"/>
            </w:tcBorders>
            <w:gridSpan w:val="2"/>
            <w:shd w:val="clear" w:color="auto" w:fill="CCEEFF"/>
          </w:tcPr>
          <w:p>
            <w:pPr>
              <w:jc w:val="right"/>
              <w:ind w:right="945"/>
              <w:spacing w:after="0"/>
              <w:rPr>
                <w:sz w:val="20"/>
                <w:szCs w:val="20"/>
                <w:color w:val="auto"/>
              </w:rPr>
            </w:pPr>
            <w:r>
              <w:rPr>
                <w:rFonts w:ascii="Arial" w:cs="Arial" w:eastAsia="Arial" w:hAnsi="Arial"/>
                <w:sz w:val="15"/>
                <w:szCs w:val="15"/>
                <w:color w:val="auto"/>
              </w:rPr>
              <w:t>$ 12.70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Long term Incentive Plan</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On June 29, 2007, the Company granted certain directors and other key employees an award of 50,500 performance units pursuant to the NN, Inc. 2005 Incentive Plan. Each unit is equal to one share of NN common stock. The award entitles the grantee to earn in a range from 90% to 150% of the total number of units based upon achieving earnings per share and return on capital employed targets over a defined performance cycle. The value of the performance units is determined by using the Black-Scholes model which relies on certain assumptions to estimate a unit’s fair value. The performance period is fiscal years 2007, 2008 and 2009 and the shares vest on December 31, 2009. There was no compensation expense recognized in the second quarter of 2007 related to these performance units.</w:t>
      </w:r>
    </w:p>
    <w:p>
      <w:pPr>
        <w:spacing w:after="0" w:line="200"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3"/>
          <w:szCs w:val="13"/>
          <w:b w:val="1"/>
          <w:bCs w:val="1"/>
          <w:color w:val="auto"/>
        </w:rPr>
        <w:t>Property, Plant and Equipment</w:t>
      </w: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During the first quarter of 2006, we completed a sale of excess land and two buildings at our Pinerolo, Italy facility. The net book value of this land and buildings was $1,013 and was classified as held for sale at December 31, 2005. The proceeds from the sale were $2,804, resulting in a pre-tax gain of $1,791. In addition, the Pinerolo facility disposed of excess machinery in the first quarter of 2006 with a net book value of $1,087, resulting in a pre-tax loss of $1,062.</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651" w:right="21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(unaudited)</w:t>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Fixed assets at certain European operations of the Metal Bearing Components Segment were impaired as a result of the European restructuring (see Note 3.) The total reduction in fixed assets from the impairment charge was $3,320 and was reported in the Restructuring and impairment charges of the Consolidated Statements of Income.</w:t>
      </w:r>
    </w:p>
    <w:p>
      <w:pPr>
        <w:spacing w:after="0" w:line="188"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Note 15.</w:t>
      </w:r>
      <w:r>
        <w:rPr>
          <w:sz w:val="20"/>
          <w:szCs w:val="20"/>
          <w:color w:val="auto"/>
        </w:rPr>
        <w:tab/>
      </w:r>
      <w:r>
        <w:rPr>
          <w:rFonts w:ascii="Arial" w:cs="Arial" w:eastAsia="Arial" w:hAnsi="Arial"/>
          <w:sz w:val="13"/>
          <w:szCs w:val="13"/>
          <w:b w:val="1"/>
          <w:bCs w:val="1"/>
          <w:color w:val="auto"/>
        </w:rPr>
        <w:t>Related Party Transactions</w:t>
      </w:r>
    </w:p>
    <w:p>
      <w:pPr>
        <w:spacing w:after="0" w:line="212" w:lineRule="exact"/>
        <w:rPr>
          <w:sz w:val="20"/>
          <w:szCs w:val="20"/>
          <w:color w:val="auto"/>
        </w:rPr>
      </w:pPr>
    </w:p>
    <w:p>
      <w:pPr>
        <w:ind w:right="360"/>
        <w:spacing w:after="0" w:line="272" w:lineRule="auto"/>
        <w:rPr>
          <w:sz w:val="20"/>
          <w:szCs w:val="20"/>
          <w:color w:val="auto"/>
        </w:rPr>
      </w:pPr>
      <w:r>
        <w:rPr>
          <w:rFonts w:ascii="Arial" w:cs="Arial" w:eastAsia="Arial" w:hAnsi="Arial"/>
          <w:sz w:val="15"/>
          <w:szCs w:val="15"/>
          <w:color w:val="auto"/>
        </w:rPr>
        <w:t>During the first quarter of 2007, the Company remitted $18,638 to the former sole shareholder of Whirlaway to partially repay the related party note payable. The payment was financed under our $135,000 credit facility.</w:t>
      </w:r>
    </w:p>
    <w:p>
      <w:pPr>
        <w:spacing w:after="0" w:line="188"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Note 16.</w:t>
      </w:r>
      <w:r>
        <w:rPr>
          <w:sz w:val="20"/>
          <w:szCs w:val="20"/>
          <w:color w:val="auto"/>
        </w:rPr>
        <w:tab/>
      </w:r>
      <w:r>
        <w:rPr>
          <w:rFonts w:ascii="Arial" w:cs="Arial" w:eastAsia="Arial" w:hAnsi="Arial"/>
          <w:sz w:val="13"/>
          <w:szCs w:val="13"/>
          <w:b w:val="1"/>
          <w:bCs w:val="1"/>
          <w:color w:val="auto"/>
        </w:rPr>
        <w:t>Provision for Income Taxes</w:t>
      </w:r>
    </w:p>
    <w:p>
      <w:pPr>
        <w:spacing w:after="0" w:line="212"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auto"/>
        </w:rPr>
        <w:t>The Company adopted the provisions of FIN 48 on January 1, 2007. As a result of the implementation of FIN 48, the Company recognized a $600 increase in our income tax liabilities and a corresponding reduction in beginning retained earnings.</w:t>
      </w:r>
    </w:p>
    <w:p>
      <w:pPr>
        <w:spacing w:after="0" w:line="169" w:lineRule="exact"/>
        <w:rPr>
          <w:sz w:val="20"/>
          <w:szCs w:val="20"/>
          <w:color w:val="auto"/>
        </w:rPr>
      </w:pPr>
    </w:p>
    <w:p>
      <w:pPr>
        <w:ind w:right="220"/>
        <w:spacing w:after="0" w:line="319" w:lineRule="auto"/>
        <w:rPr>
          <w:sz w:val="20"/>
          <w:szCs w:val="20"/>
          <w:color w:val="auto"/>
        </w:rPr>
      </w:pPr>
      <w:r>
        <w:rPr>
          <w:rFonts w:ascii="Arial" w:cs="Arial" w:eastAsia="Arial" w:hAnsi="Arial"/>
          <w:sz w:val="13"/>
          <w:szCs w:val="13"/>
          <w:color w:val="auto"/>
        </w:rPr>
        <w:t>As of the date of adoption, the total unrecognized benefits were approximately $1,464, all of which, if recognized, would affect the effective tax rate. The amount of unrecognized benefits increased approximately $340 during the six months ended June 30, 2007. The increase in the unrecognized benefits in 2007 was a result of previous tax planning strategies from operations. During the six months ended June 30, 2007, this balance was reduced by approximately $220 due to a state tax liability that was paid in the second quarter of 2007.</w:t>
      </w:r>
    </w:p>
    <w:p>
      <w:pPr>
        <w:spacing w:after="0" w:line="143" w:lineRule="exact"/>
        <w:rPr>
          <w:sz w:val="20"/>
          <w:szCs w:val="20"/>
          <w:color w:val="auto"/>
        </w:rPr>
      </w:pPr>
    </w:p>
    <w:p>
      <w:pPr>
        <w:ind w:right="340"/>
        <w:spacing w:after="0" w:line="272" w:lineRule="auto"/>
        <w:rPr>
          <w:sz w:val="20"/>
          <w:szCs w:val="20"/>
          <w:color w:val="auto"/>
        </w:rPr>
      </w:pPr>
      <w:r>
        <w:rPr>
          <w:rFonts w:ascii="Arial" w:cs="Arial" w:eastAsia="Arial" w:hAnsi="Arial"/>
          <w:sz w:val="15"/>
          <w:szCs w:val="15"/>
          <w:color w:val="auto"/>
        </w:rPr>
        <w:t>Interest and penalties related to federal, state, and foreign income tax matters are recorded as a component of the provision for income taxes in our statements of income. We recorded an insignificant amount of foreign interest and penalties to the provision for income taxes in the three and six months ended June 30, 2007.</w:t>
      </w:r>
    </w:p>
    <w:p>
      <w:pPr>
        <w:spacing w:after="0" w:line="169" w:lineRule="exact"/>
        <w:rPr>
          <w:sz w:val="20"/>
          <w:szCs w:val="20"/>
          <w:color w:val="auto"/>
        </w:rPr>
      </w:pPr>
    </w:p>
    <w:p>
      <w:pPr>
        <w:jc w:val="both"/>
        <w:ind w:right="60"/>
        <w:spacing w:after="0" w:line="260" w:lineRule="auto"/>
        <w:rPr>
          <w:sz w:val="20"/>
          <w:szCs w:val="20"/>
          <w:color w:val="auto"/>
        </w:rPr>
      </w:pPr>
      <w:r>
        <w:rPr>
          <w:rFonts w:ascii="Arial" w:cs="Arial" w:eastAsia="Arial" w:hAnsi="Arial"/>
          <w:sz w:val="15"/>
          <w:szCs w:val="15"/>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2001. The Company is no longer subject to non-U.S. income tax examinations within various European Union countries for years before 2002.</w:t>
      </w:r>
    </w:p>
    <w:p>
      <w:pPr>
        <w:spacing w:after="0" w:line="179"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For the six months ended June 30, 2007, the difference between the federal statutory tax rate of 34% and our effective tax rate of negative 156% is primarily due to the large impairment charges for the European restructuring with only a 5% effective tax rate. The effective tax rate of the impairments is low as the tax benefits created by these impairments have limited ability to be used in the future based on expected income to be generated at the locations effected by the impairments.</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Factoring out the impairment impacts, the effective tax rate would have been 44.1%. The rate is higher than usual due to a valuation reserve being placed on a deferred tax asset from tax loss carry forwards at a location still incurring losses (7.4%). Additionally, the rate is higher due to non-U.S. based earnings taxed at higher rates (1.7%), net of elimination of a $300 foreign tax reserve due to a tax claim that was favorably settled, and non deductible incentive stock option expense (1.0%).</w:t>
      </w:r>
    </w:p>
    <w:p>
      <w:pPr>
        <w:spacing w:after="0" w:line="197" w:lineRule="exact"/>
        <w:rPr>
          <w:sz w:val="20"/>
          <w:szCs w:val="20"/>
          <w:color w:val="auto"/>
        </w:rPr>
      </w:pPr>
    </w:p>
    <w:p>
      <w:pPr>
        <w:spacing w:after="0"/>
        <w:tabs>
          <w:tab w:leader="none" w:pos="720" w:val="left"/>
        </w:tabs>
        <w:rPr>
          <w:sz w:val="20"/>
          <w:szCs w:val="20"/>
          <w:color w:val="auto"/>
        </w:rPr>
      </w:pPr>
      <w:r>
        <w:rPr>
          <w:rFonts w:ascii="Arial" w:cs="Arial" w:eastAsia="Arial" w:hAnsi="Arial"/>
          <w:sz w:val="15"/>
          <w:szCs w:val="15"/>
          <w:b w:val="1"/>
          <w:bCs w:val="1"/>
          <w:color w:val="auto"/>
        </w:rPr>
        <w:t>Note 17.</w:t>
      </w:r>
      <w:r>
        <w:rPr>
          <w:sz w:val="20"/>
          <w:szCs w:val="20"/>
          <w:color w:val="auto"/>
        </w:rPr>
        <w:tab/>
      </w:r>
      <w:r>
        <w:rPr>
          <w:rFonts w:ascii="Arial" w:cs="Arial" w:eastAsia="Arial" w:hAnsi="Arial"/>
          <w:sz w:val="13"/>
          <w:szCs w:val="13"/>
          <w:b w:val="1"/>
          <w:bCs w:val="1"/>
          <w:color w:val="auto"/>
        </w:rPr>
        <w:t>Contingencies</w:t>
      </w:r>
    </w:p>
    <w:p>
      <w:pPr>
        <w:spacing w:after="0" w:line="212"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651" w:right="239" w:bottom="1440" w:gutter="0" w:footer="0" w:header="0"/>
        </w:sectPr>
      </w:pPr>
    </w:p>
    <w:bookmarkStart w:id="19" w:name="page20"/>
    <w:bookmarkEnd w:id="19"/>
    <w:p>
      <w:pPr>
        <w:jc w:val="center"/>
        <w:ind w:right="-219"/>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7"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(unaudited)</w:t>
      </w:r>
    </w:p>
    <w:p>
      <w:pPr>
        <w:spacing w:after="0" w:line="199"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do not know whether we have any liability related to this vendor’s actions or estimatable range for any potential liability.</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240"/>
          </w:cols>
          <w:pgMar w:left="220" w:top="651"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4"/>
          <w:szCs w:val="14"/>
          <w:b w:val="1"/>
          <w:bCs w:val="1"/>
          <w:color w:val="auto"/>
        </w:rPr>
        <w:t>Management’s Discussion and Analysis of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212"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Our risk factors are disclosed in our Annual Report on Form 10-K for the fiscal year ended December 31, 2006 under Item 1.A. “Risk Factors”. There have been no material changes to these risk factors since December 31, 2006.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gridSpan w:val="2"/>
          </w:tcPr>
          <w:p>
            <w:pPr>
              <w:spacing w:after="0"/>
              <w:rPr>
                <w:sz w:val="20"/>
                <w:szCs w:val="20"/>
                <w:color w:val="auto"/>
              </w:rPr>
            </w:pPr>
            <w:r>
              <w:rPr>
                <w:rFonts w:ascii="Arial" w:cs="Arial" w:eastAsia="Arial" w:hAnsi="Arial"/>
                <w:sz w:val="15"/>
                <w:szCs w:val="15"/>
                <w:b w:val="1"/>
                <w:bCs w:val="1"/>
                <w:color w:val="auto"/>
              </w:rPr>
              <w:t>Results of Operations</w:t>
            </w:r>
          </w:p>
        </w:tc>
        <w:tc>
          <w:tcPr>
            <w:tcW w:w="1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1"/>
        </w:trPr>
        <w:tc>
          <w:tcPr>
            <w:tcW w:w="6180" w:type="dxa"/>
            <w:vAlign w:val="bottom"/>
            <w:gridSpan w:val="2"/>
          </w:tcPr>
          <w:p>
            <w:pPr>
              <w:spacing w:after="0"/>
              <w:rPr>
                <w:sz w:val="20"/>
                <w:szCs w:val="20"/>
                <w:color w:val="auto"/>
              </w:rPr>
            </w:pPr>
            <w:r>
              <w:rPr>
                <w:rFonts w:ascii="Arial" w:cs="Arial" w:eastAsia="Arial" w:hAnsi="Arial"/>
                <w:sz w:val="15"/>
                <w:szCs w:val="15"/>
                <w:b w:val="1"/>
                <w:bCs w:val="1"/>
                <w:i w:val="1"/>
                <w:iCs w:val="1"/>
                <w:color w:val="auto"/>
                <w:w w:val="97"/>
              </w:rPr>
              <w:t>Three Months Ended June 30, 2007 Compared to the Three Months Ended June 30, 2006.</w:t>
            </w: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1"/>
        </w:trPr>
        <w:tc>
          <w:tcPr>
            <w:tcW w:w="6180" w:type="dxa"/>
            <w:vAlign w:val="bottom"/>
            <w:gridSpan w:val="2"/>
          </w:tcPr>
          <w:p>
            <w:pPr>
              <w:spacing w:after="0"/>
              <w:rPr>
                <w:sz w:val="20"/>
                <w:szCs w:val="20"/>
                <w:color w:val="auto"/>
              </w:rPr>
            </w:pPr>
            <w:r>
              <w:rPr>
                <w:rFonts w:ascii="Arial" w:cs="Arial" w:eastAsia="Arial" w:hAnsi="Arial"/>
                <w:sz w:val="15"/>
                <w:szCs w:val="15"/>
                <w:b w:val="1"/>
                <w:bCs w:val="1"/>
                <w:color w:val="auto"/>
              </w:rPr>
              <w:t>OVERALL RESULTS</w:t>
            </w: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4"/>
        </w:trPr>
        <w:tc>
          <w:tcPr>
            <w:tcW w:w="6180" w:type="dxa"/>
            <w:vAlign w:val="bottom"/>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290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b w:val="1"/>
                <w:bCs w:val="1"/>
                <w:color w:val="auto"/>
              </w:rPr>
              <w:t>Consolidated NN, Inc.</w:t>
            </w:r>
          </w:p>
        </w:tc>
        <w:tc>
          <w:tcPr>
            <w:tcW w:w="1240" w:type="dxa"/>
            <w:vAlign w:val="bottom"/>
            <w:tcBorders>
              <w:bottom w:val="single" w:sz="8" w:color="auto"/>
            </w:tcBorders>
          </w:tcPr>
          <w:p>
            <w:pPr>
              <w:spacing w:after="0"/>
              <w:rPr>
                <w:sz w:val="24"/>
                <w:szCs w:val="24"/>
                <w:color w:val="auto"/>
              </w:rPr>
            </w:pPr>
          </w:p>
        </w:tc>
      </w:tr>
      <w:tr>
        <w:trPr>
          <w:trHeight w:val="165"/>
        </w:trPr>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60" w:type="dxa"/>
            <w:vAlign w:val="bottom"/>
          </w:tcPr>
          <w:p>
            <w:pPr>
              <w:jc w:val="right"/>
              <w:ind w:right="745"/>
              <w:spacing w:after="0" w:line="165" w:lineRule="exact"/>
              <w:rPr>
                <w:sz w:val="20"/>
                <w:szCs w:val="20"/>
                <w:color w:val="auto"/>
              </w:rPr>
            </w:pPr>
            <w:r>
              <w:rPr>
                <w:rFonts w:ascii="Arial" w:cs="Arial" w:eastAsia="Arial" w:hAnsi="Arial"/>
                <w:sz w:val="15"/>
                <w:szCs w:val="15"/>
                <w:b w:val="1"/>
                <w:bCs w:val="1"/>
                <w:color w:val="auto"/>
              </w:rPr>
              <w:t>2007</w:t>
            </w:r>
          </w:p>
        </w:tc>
        <w:tc>
          <w:tcPr>
            <w:tcW w:w="1240" w:type="dxa"/>
            <w:vAlign w:val="bottom"/>
          </w:tcPr>
          <w:p>
            <w:pPr>
              <w:spacing w:after="0"/>
              <w:rPr>
                <w:sz w:val="14"/>
                <w:szCs w:val="14"/>
                <w:color w:val="auto"/>
              </w:rPr>
            </w:pPr>
          </w:p>
        </w:tc>
        <w:tc>
          <w:tcPr>
            <w:tcW w:w="1240" w:type="dxa"/>
            <w:vAlign w:val="bottom"/>
          </w:tcPr>
          <w:p>
            <w:pPr>
              <w:jc w:val="right"/>
              <w:ind w:right="405"/>
              <w:spacing w:after="0" w:line="165" w:lineRule="exact"/>
              <w:rPr>
                <w:sz w:val="20"/>
                <w:szCs w:val="20"/>
                <w:color w:val="auto"/>
              </w:rPr>
            </w:pPr>
            <w:r>
              <w:rPr>
                <w:rFonts w:ascii="Arial" w:cs="Arial" w:eastAsia="Arial" w:hAnsi="Arial"/>
                <w:sz w:val="15"/>
                <w:szCs w:val="15"/>
                <w:b w:val="1"/>
                <w:bCs w:val="1"/>
                <w:color w:val="auto"/>
              </w:rPr>
              <w:t>Change</w:t>
            </w:r>
          </w:p>
        </w:tc>
      </w:tr>
      <w:tr>
        <w:trPr>
          <w:trHeight w:val="219"/>
        </w:trPr>
        <w:tc>
          <w:tcPr>
            <w:tcW w:w="11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66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b w:val="1"/>
                <w:bCs w:val="1"/>
                <w:color w:val="auto"/>
              </w:rPr>
              <w:t>As restated</w:t>
            </w:r>
          </w:p>
        </w:tc>
        <w:tc>
          <w:tcPr>
            <w:tcW w:w="124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b w:val="1"/>
                <w:bCs w:val="1"/>
                <w:color w:val="auto"/>
              </w:rPr>
              <w:t>2006</w:t>
            </w:r>
          </w:p>
        </w:tc>
        <w:tc>
          <w:tcPr>
            <w:tcW w:w="12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b w:val="1"/>
                <w:bCs w:val="1"/>
                <w:color w:val="auto"/>
              </w:rPr>
              <w:t>As restated</w:t>
            </w:r>
          </w:p>
        </w:tc>
      </w:tr>
      <w:tr>
        <w:trPr>
          <w:trHeight w:val="179"/>
        </w:trPr>
        <w:tc>
          <w:tcPr>
            <w:tcW w:w="116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6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$ 107,302</w:t>
            </w:r>
          </w:p>
        </w:tc>
        <w:tc>
          <w:tcPr>
            <w:tcW w:w="12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$ 83,554</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$ 23,748</w:t>
            </w:r>
          </w:p>
        </w:tc>
      </w:tr>
      <w:tr>
        <w:trPr>
          <w:trHeight w:val="169"/>
        </w:trPr>
        <w:tc>
          <w:tcPr>
            <w:tcW w:w="1160" w:type="dxa"/>
            <w:vAlign w:val="bottom"/>
          </w:tcPr>
          <w:p>
            <w:pPr>
              <w:spacing w:after="0"/>
              <w:rPr>
                <w:sz w:val="14"/>
                <w:szCs w:val="14"/>
                <w:color w:val="auto"/>
              </w:rPr>
            </w:pPr>
          </w:p>
        </w:tc>
        <w:tc>
          <w:tcPr>
            <w:tcW w:w="5020" w:type="dxa"/>
            <w:vAlign w:val="bottom"/>
          </w:tcPr>
          <w:p>
            <w:pPr>
              <w:spacing w:after="0" w:line="169" w:lineRule="exact"/>
              <w:rPr>
                <w:sz w:val="20"/>
                <w:szCs w:val="20"/>
                <w:color w:val="auto"/>
              </w:rPr>
            </w:pPr>
            <w:r>
              <w:rPr>
                <w:rFonts w:ascii="Arial" w:cs="Arial" w:eastAsia="Arial" w:hAnsi="Arial"/>
                <w:sz w:val="15"/>
                <w:szCs w:val="15"/>
                <w:color w:val="auto"/>
              </w:rPr>
              <w:t>Cost of products sold (exclusive of depreciation</w:t>
            </w:r>
          </w:p>
        </w:tc>
        <w:tc>
          <w:tcPr>
            <w:tcW w:w="1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9"/>
        </w:trPr>
        <w:tc>
          <w:tcPr>
            <w:tcW w:w="1160" w:type="dxa"/>
            <w:vAlign w:val="bottom"/>
          </w:tcPr>
          <w:p>
            <w:pPr>
              <w:spacing w:after="0"/>
              <w:rPr>
                <w:sz w:val="16"/>
                <w:szCs w:val="16"/>
                <w:color w:val="auto"/>
              </w:rPr>
            </w:pPr>
          </w:p>
        </w:tc>
        <w:tc>
          <w:tcPr>
            <w:tcW w:w="5020" w:type="dxa"/>
            <w:vAlign w:val="bottom"/>
          </w:tcPr>
          <w:p>
            <w:pPr>
              <w:ind w:left="80"/>
              <w:spacing w:after="0"/>
              <w:rPr>
                <w:sz w:val="20"/>
                <w:szCs w:val="20"/>
                <w:color w:val="auto"/>
              </w:rPr>
            </w:pPr>
            <w:r>
              <w:rPr>
                <w:rFonts w:ascii="Arial" w:cs="Arial" w:eastAsia="Arial" w:hAnsi="Arial"/>
                <w:sz w:val="15"/>
                <w:szCs w:val="15"/>
                <w:color w:val="auto"/>
              </w:rPr>
              <w:t>and amortization shown separately below)</w:t>
            </w:r>
          </w:p>
        </w:tc>
        <w:tc>
          <w:tcPr>
            <w:tcW w:w="1660" w:type="dxa"/>
            <w:vAlign w:val="bottom"/>
          </w:tcPr>
          <w:p>
            <w:pPr>
              <w:jc w:val="right"/>
              <w:ind w:right="185"/>
              <w:spacing w:after="0"/>
              <w:rPr>
                <w:sz w:val="20"/>
                <w:szCs w:val="20"/>
                <w:color w:val="auto"/>
              </w:rPr>
            </w:pPr>
            <w:r>
              <w:rPr>
                <w:rFonts w:ascii="Arial" w:cs="Arial" w:eastAsia="Arial" w:hAnsi="Arial"/>
                <w:sz w:val="15"/>
                <w:szCs w:val="15"/>
                <w:color w:val="auto"/>
              </w:rPr>
              <w:t>85,929</w:t>
            </w:r>
          </w:p>
        </w:tc>
        <w:tc>
          <w:tcPr>
            <w:tcW w:w="1240" w:type="dxa"/>
            <w:vAlign w:val="bottom"/>
          </w:tcPr>
          <w:p>
            <w:pPr>
              <w:jc w:val="right"/>
              <w:ind w:right="125"/>
              <w:spacing w:after="0"/>
              <w:rPr>
                <w:sz w:val="20"/>
                <w:szCs w:val="20"/>
                <w:color w:val="auto"/>
              </w:rPr>
            </w:pPr>
            <w:r>
              <w:rPr>
                <w:rFonts w:ascii="Arial" w:cs="Arial" w:eastAsia="Arial" w:hAnsi="Arial"/>
                <w:sz w:val="15"/>
                <w:szCs w:val="15"/>
                <w:color w:val="auto"/>
              </w:rPr>
              <w:t>64,905</w:t>
            </w:r>
          </w:p>
        </w:tc>
        <w:tc>
          <w:tcPr>
            <w:tcW w:w="1240" w:type="dxa"/>
            <w:vAlign w:val="bottom"/>
          </w:tcPr>
          <w:p>
            <w:pPr>
              <w:jc w:val="right"/>
              <w:spacing w:after="0"/>
              <w:rPr>
                <w:sz w:val="20"/>
                <w:szCs w:val="20"/>
                <w:color w:val="auto"/>
              </w:rPr>
            </w:pPr>
            <w:r>
              <w:rPr>
                <w:rFonts w:ascii="Arial" w:cs="Arial" w:eastAsia="Arial" w:hAnsi="Arial"/>
                <w:sz w:val="15"/>
                <w:szCs w:val="15"/>
                <w:color w:val="auto"/>
              </w:rPr>
              <w:t>21,024</w:t>
            </w:r>
          </w:p>
        </w:tc>
      </w:tr>
      <w:tr>
        <w:trPr>
          <w:trHeight w:val="180"/>
        </w:trPr>
        <w:tc>
          <w:tcPr>
            <w:tcW w:w="116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16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9,558</w:t>
            </w:r>
          </w:p>
        </w:tc>
        <w:tc>
          <w:tcPr>
            <w:tcW w:w="12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7,063</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2,495</w:t>
            </w:r>
          </w:p>
        </w:tc>
      </w:tr>
      <w:tr>
        <w:trPr>
          <w:trHeight w:val="179"/>
        </w:trPr>
        <w:tc>
          <w:tcPr>
            <w:tcW w:w="11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660" w:type="dxa"/>
            <w:vAlign w:val="bottom"/>
          </w:tcPr>
          <w:p>
            <w:pPr>
              <w:jc w:val="right"/>
              <w:ind w:right="185"/>
              <w:spacing w:after="0"/>
              <w:rPr>
                <w:sz w:val="20"/>
                <w:szCs w:val="20"/>
                <w:color w:val="auto"/>
              </w:rPr>
            </w:pPr>
            <w:r>
              <w:rPr>
                <w:rFonts w:ascii="Arial" w:cs="Arial" w:eastAsia="Arial" w:hAnsi="Arial"/>
                <w:sz w:val="15"/>
                <w:szCs w:val="15"/>
                <w:color w:val="auto"/>
              </w:rPr>
              <w:t>5,658</w:t>
            </w:r>
          </w:p>
        </w:tc>
        <w:tc>
          <w:tcPr>
            <w:tcW w:w="1240" w:type="dxa"/>
            <w:vAlign w:val="bottom"/>
          </w:tcPr>
          <w:p>
            <w:pPr>
              <w:jc w:val="right"/>
              <w:ind w:right="125"/>
              <w:spacing w:after="0"/>
              <w:rPr>
                <w:sz w:val="20"/>
                <w:szCs w:val="20"/>
                <w:color w:val="auto"/>
              </w:rPr>
            </w:pPr>
            <w:r>
              <w:rPr>
                <w:rFonts w:ascii="Arial" w:cs="Arial" w:eastAsia="Arial" w:hAnsi="Arial"/>
                <w:sz w:val="15"/>
                <w:szCs w:val="15"/>
                <w:color w:val="auto"/>
              </w:rPr>
              <w:t>4,425</w:t>
            </w:r>
          </w:p>
        </w:tc>
        <w:tc>
          <w:tcPr>
            <w:tcW w:w="1240" w:type="dxa"/>
            <w:vAlign w:val="bottom"/>
          </w:tcPr>
          <w:p>
            <w:pPr>
              <w:jc w:val="right"/>
              <w:spacing w:after="0"/>
              <w:rPr>
                <w:sz w:val="20"/>
                <w:szCs w:val="20"/>
                <w:color w:val="auto"/>
              </w:rPr>
            </w:pPr>
            <w:r>
              <w:rPr>
                <w:rFonts w:ascii="Arial" w:cs="Arial" w:eastAsia="Arial" w:hAnsi="Arial"/>
                <w:sz w:val="15"/>
                <w:szCs w:val="15"/>
                <w:color w:val="auto"/>
              </w:rPr>
              <w:t>1,233</w:t>
            </w:r>
          </w:p>
        </w:tc>
      </w:tr>
      <w:tr>
        <w:trPr>
          <w:trHeight w:val="179"/>
        </w:trPr>
        <w:tc>
          <w:tcPr>
            <w:tcW w:w="116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asset impairment charges</w:t>
            </w:r>
          </w:p>
        </w:tc>
        <w:tc>
          <w:tcPr>
            <w:tcW w:w="16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13,336</w:t>
            </w:r>
          </w:p>
        </w:tc>
        <w:tc>
          <w:tcPr>
            <w:tcW w:w="12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13,336</w:t>
            </w:r>
          </w:p>
        </w:tc>
      </w:tr>
      <w:tr>
        <w:trPr>
          <w:trHeight w:val="179"/>
        </w:trPr>
        <w:tc>
          <w:tcPr>
            <w:tcW w:w="11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Interest expense, net</w:t>
            </w:r>
          </w:p>
        </w:tc>
        <w:tc>
          <w:tcPr>
            <w:tcW w:w="1660" w:type="dxa"/>
            <w:vAlign w:val="bottom"/>
          </w:tcPr>
          <w:p>
            <w:pPr>
              <w:jc w:val="right"/>
              <w:ind w:right="185"/>
              <w:spacing w:after="0"/>
              <w:rPr>
                <w:sz w:val="20"/>
                <w:szCs w:val="20"/>
                <w:color w:val="auto"/>
              </w:rPr>
            </w:pPr>
            <w:r>
              <w:rPr>
                <w:rFonts w:ascii="Arial" w:cs="Arial" w:eastAsia="Arial" w:hAnsi="Arial"/>
                <w:sz w:val="15"/>
                <w:szCs w:val="15"/>
                <w:color w:val="auto"/>
              </w:rPr>
              <w:t>1,630</w:t>
            </w:r>
          </w:p>
        </w:tc>
        <w:tc>
          <w:tcPr>
            <w:tcW w:w="1240" w:type="dxa"/>
            <w:vAlign w:val="bottom"/>
          </w:tcPr>
          <w:p>
            <w:pPr>
              <w:jc w:val="right"/>
              <w:ind w:right="125"/>
              <w:spacing w:after="0"/>
              <w:rPr>
                <w:sz w:val="20"/>
                <w:szCs w:val="20"/>
                <w:color w:val="auto"/>
              </w:rPr>
            </w:pPr>
            <w:r>
              <w:rPr>
                <w:rFonts w:ascii="Arial" w:cs="Arial" w:eastAsia="Arial" w:hAnsi="Arial"/>
                <w:sz w:val="15"/>
                <w:szCs w:val="15"/>
                <w:color w:val="auto"/>
              </w:rPr>
              <w:t>1,021</w:t>
            </w:r>
          </w:p>
        </w:tc>
        <w:tc>
          <w:tcPr>
            <w:tcW w:w="1240" w:type="dxa"/>
            <w:vAlign w:val="bottom"/>
          </w:tcPr>
          <w:p>
            <w:pPr>
              <w:jc w:val="right"/>
              <w:spacing w:after="0"/>
              <w:rPr>
                <w:sz w:val="20"/>
                <w:szCs w:val="20"/>
                <w:color w:val="auto"/>
              </w:rPr>
            </w:pPr>
            <w:r>
              <w:rPr>
                <w:rFonts w:ascii="Arial" w:cs="Arial" w:eastAsia="Arial" w:hAnsi="Arial"/>
                <w:sz w:val="15"/>
                <w:szCs w:val="15"/>
                <w:color w:val="auto"/>
              </w:rPr>
              <w:t>609</w:t>
            </w:r>
          </w:p>
        </w:tc>
      </w:tr>
      <w:tr>
        <w:trPr>
          <w:trHeight w:val="179"/>
        </w:trPr>
        <w:tc>
          <w:tcPr>
            <w:tcW w:w="116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(Gain) loss on disposal of assets</w:t>
            </w:r>
          </w:p>
        </w:tc>
        <w:tc>
          <w:tcPr>
            <w:tcW w:w="16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(6)</w:t>
            </w:r>
          </w:p>
        </w:tc>
        <w:tc>
          <w:tcPr>
            <w:tcW w:w="12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4</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82"/>
        </w:trPr>
        <w:tc>
          <w:tcPr>
            <w:tcW w:w="11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16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(22)</w:t>
            </w:r>
          </w:p>
        </w:tc>
        <w:tc>
          <w:tcPr>
            <w:tcW w:w="124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449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w:t>
            </w:r>
          </w:p>
        </w:tc>
      </w:tr>
      <w:tr>
        <w:trPr>
          <w:trHeight w:val="179"/>
        </w:trPr>
        <w:tc>
          <w:tcPr>
            <w:tcW w:w="116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for income taxes</w:t>
            </w:r>
          </w:p>
        </w:tc>
        <w:tc>
          <w:tcPr>
            <w:tcW w:w="16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(8,781)</w:t>
            </w:r>
          </w:p>
        </w:tc>
        <w:tc>
          <w:tcPr>
            <w:tcW w:w="12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5,687</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(14,468)</w:t>
            </w:r>
          </w:p>
        </w:tc>
      </w:tr>
      <w:tr>
        <w:trPr>
          <w:trHeight w:val="182"/>
        </w:trPr>
        <w:tc>
          <w:tcPr>
            <w:tcW w:w="11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16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1,584</w:t>
            </w:r>
          </w:p>
        </w:tc>
        <w:tc>
          <w:tcPr>
            <w:tcW w:w="124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rPr>
              <w:t>2,234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w:t>
            </w:r>
          </w:p>
        </w:tc>
      </w:tr>
      <w:tr>
        <w:trPr>
          <w:trHeight w:val="219"/>
        </w:trPr>
        <w:tc>
          <w:tcPr>
            <w:tcW w:w="116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6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rPr>
              <w:t>$ (10,365)</w:t>
            </w:r>
          </w:p>
        </w:tc>
        <w:tc>
          <w:tcPr>
            <w:tcW w:w="12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$ 3,453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(13,818)</w:t>
            </w:r>
          </w:p>
        </w:tc>
      </w:tr>
    </w:tbl>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Sales have increased due to the addition of the Precision Metal Components Segment with the acquisition of Whirlaway in November 2006 ($17.1 million), from increases in sales</w:t>
      </w:r>
      <w:r>
        <w:rPr>
          <w:rFonts w:ascii="Arial" w:cs="Arial" w:eastAsia="Arial" w:hAnsi="Arial"/>
          <w:sz w:val="15"/>
          <w:szCs w:val="15"/>
          <w:i w:val="1"/>
          <w:iCs w:val="1"/>
          <w:color w:val="auto"/>
        </w:rPr>
        <w:t xml:space="preserve"> </w:t>
      </w:r>
      <w:r>
        <w:rPr>
          <w:rFonts w:ascii="Arial" w:cs="Arial" w:eastAsia="Arial" w:hAnsi="Arial"/>
          <w:sz w:val="15"/>
          <w:szCs w:val="15"/>
          <w:color w:val="auto"/>
        </w:rPr>
        <w:t>volume in our European operations ($2.6 million), and due to appreciation in value of Euro denominated sales relative to the U.S. Dollar ($3.8 million). In addition, sales have increased due to passing through raw material inflation to customers ($1.6 million). Partially offsetting these increases are reductions from price decreases given to several large customers in agreement with contractual terms ($1.1 million) and unfavorable product mix to existing customers ($0.3 million).</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Cost of products sold increased primarily due to the addition of the Precision Metal Components Segment in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2006 ($15.0 million) and due to the increase in the value of Euro denominated costs relative to the U.S. Dollar ($3.0 million). In addition, costs increased related to higher sales volume overall ($2.1 million). Finally, raw material, labor and utility inflation increased ($2.8 million). Offsetting these increases were favorable mix impacts to cost of products sold ($0.3 million) and the impact of projects focused at reducing cost of manufacturing ($1.6 million).</w:t>
      </w:r>
    </w:p>
    <w:p>
      <w:pPr>
        <w:spacing w:after="0" w:line="180"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The increase was primarily due to the addition of the Precision Metal Components Segment in November 2006 ($1.1 million). In addition,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total increased due to the appreciation in the value of the Euro relative to the U.S. Dollar ($0.3 million). Finally, the total was higher due to recognizing stock option expense ($0.2 million), from higher spending on consulting and professional fees ($0.2 million), higher travel and salary cost ($0.2 million) and additional bad debt expense ($0.2 million).</w:t>
      </w:r>
    </w:p>
    <w:p>
      <w:pPr>
        <w:spacing w:after="0" w:line="160" w:lineRule="exact"/>
        <w:rPr>
          <w:sz w:val="20"/>
          <w:szCs w:val="20"/>
          <w:color w:val="auto"/>
        </w:rPr>
      </w:pPr>
    </w:p>
    <w:p>
      <w:pPr>
        <w:spacing w:after="0" w:line="272"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These costs are higher due to the acquisition of the Precision Metal Components Segment ($1.0 million) and due to the increase in the value of the Euro based</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depreciation and amortization relative to the U.S. Dollar ($0.2 million).</w:t>
      </w:r>
    </w:p>
    <w:p>
      <w:pPr>
        <w:spacing w:after="0" w:line="169"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i w:val="1"/>
          <w:iCs w:val="1"/>
          <w:color w:val="auto"/>
        </w:rPr>
        <w:t>Interest expense.</w:t>
      </w:r>
      <w:r>
        <w:rPr>
          <w:sz w:val="20"/>
          <w:szCs w:val="20"/>
          <w:color w:val="auto"/>
        </w:rPr>
        <w:tab/>
      </w:r>
      <w:r>
        <w:rPr>
          <w:rFonts w:ascii="Arial" w:cs="Arial" w:eastAsia="Arial" w:hAnsi="Arial"/>
          <w:sz w:val="13"/>
          <w:szCs w:val="13"/>
          <w:color w:val="auto"/>
        </w:rPr>
        <w:t>Interest expense is higher due to the additional debt assumed to acquire the Precision Metal Components Segment in November 2006 ($0.6 million).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441" w:right="239" w:bottom="1440" w:gutter="0" w:footer="0" w:header="0"/>
        </w:sectPr>
      </w:pPr>
    </w:p>
    <w:bookmarkStart w:id="21" w:name="page22"/>
    <w:bookmarkEnd w:id="21"/>
    <w:p>
      <w:pPr>
        <w:spacing w:after="0" w:line="303" w:lineRule="auto"/>
        <w:rPr>
          <w:sz w:val="20"/>
          <w:szCs w:val="20"/>
          <w:color w:val="auto"/>
        </w:rPr>
      </w:pPr>
      <w:r>
        <w:rPr>
          <w:rFonts w:ascii="Arial" w:cs="Arial" w:eastAsia="Arial" w:hAnsi="Arial"/>
          <w:sz w:val="13"/>
          <w:szCs w:val="13"/>
          <w:i w:val="1"/>
          <w:iCs w:val="1"/>
          <w:color w:val="auto"/>
        </w:rPr>
        <w:t xml:space="preserve">Restructuring and Asset Impairment Changes. </w:t>
      </w:r>
      <w:r>
        <w:rPr>
          <w:rFonts w:ascii="Arial" w:cs="Arial" w:eastAsia="Arial" w:hAnsi="Arial"/>
          <w:sz w:val="13"/>
          <w:szCs w:val="13"/>
          <w:color w:val="auto"/>
        </w:rPr>
        <w:t>The Company has begun to take steps to appropriately adjust our cost structure and align our plant capacity in our Metal Bearing Components</w:t>
      </w:r>
      <w:r>
        <w:rPr>
          <w:rFonts w:ascii="Arial" w:cs="Arial" w:eastAsia="Arial" w:hAnsi="Arial"/>
          <w:sz w:val="13"/>
          <w:szCs w:val="13"/>
          <w:i w:val="1"/>
          <w:iCs w:val="1"/>
          <w:color w:val="auto"/>
        </w:rPr>
        <w:t xml:space="preserve"> </w:t>
      </w:r>
      <w:r>
        <w:rPr>
          <w:rFonts w:ascii="Arial" w:cs="Arial" w:eastAsia="Arial" w:hAnsi="Arial"/>
          <w:sz w:val="13"/>
          <w:szCs w:val="13"/>
          <w:color w:val="auto"/>
        </w:rPr>
        <w:t>Segment. This will include restructuring at our European operations of the Metal Bearing Components Segment as we adjust our global precision ball manufacturing capacity to better take advantage of favorable cost structures at our Slovakian and Chinese Metal Bearing Components manufacturing facilities. As a result of this restructuring, certain goodwill and fixed assets in our European operations are now considered impaired. During the second quarter, we recorded approximately $13.3 million ($12.6 million after-tax) of non-cash impairment costs. These costs include the write-down of certain excess production equipment and the impairment of goodwill to levels supported by projected cash flows after the restructuring.</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The second quarter of 2007 effective tax rate of negative 18% is primarily due to the large impairment charges for the European restructuring with only a 5%</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tax benefit. Factoring out the impairment impacts, the tax rate would have been 50%. A valuation reserve was placed on a loss carry forward deferred tax asset at a location still incurring losses which increased the rate 18%. Factoring about the valuation reserve the rate would have been lower than normal by 6% due to a tax reserve being removed related to a tax claim that was favorably settled.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20" w:type="dxa"/>
            <w:vAlign w:val="bottom"/>
            <w:gridSpan w:val="3"/>
          </w:tcPr>
          <w:p>
            <w:pPr>
              <w:spacing w:after="0"/>
              <w:rPr>
                <w:sz w:val="20"/>
                <w:szCs w:val="20"/>
                <w:color w:val="auto"/>
              </w:rPr>
            </w:pPr>
            <w:r>
              <w:rPr>
                <w:rFonts w:ascii="Arial" w:cs="Arial" w:eastAsia="Arial" w:hAnsi="Arial"/>
                <w:sz w:val="15"/>
                <w:szCs w:val="15"/>
                <w:b w:val="1"/>
                <w:bCs w:val="1"/>
                <w:color w:val="auto"/>
              </w:rPr>
              <w:t>RESULTS BY SEGMENT</w:t>
            </w:r>
          </w:p>
        </w:tc>
        <w:tc>
          <w:tcPr>
            <w:tcW w:w="2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METAL BEARING COMPONENTS SEGMENT</w:t>
            </w:r>
          </w:p>
        </w:tc>
        <w:tc>
          <w:tcPr>
            <w:tcW w:w="2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5320" w:type="dxa"/>
            <w:vAlign w:val="bottom"/>
            <w:gridSpan w:val="3"/>
          </w:tcPr>
          <w:p>
            <w:pPr>
              <w:ind w:left="1160"/>
              <w:spacing w:after="0"/>
              <w:rPr>
                <w:sz w:val="20"/>
                <w:szCs w:val="20"/>
                <w:color w:val="auto"/>
              </w:rPr>
            </w:pPr>
            <w:r>
              <w:rPr>
                <w:rFonts w:ascii="Arial" w:cs="Arial" w:eastAsia="Arial" w:hAnsi="Arial"/>
                <w:sz w:val="15"/>
                <w:szCs w:val="15"/>
                <w:color w:val="auto"/>
              </w:rPr>
              <w:t>(In Thousands of Dollars)</w:t>
            </w:r>
          </w:p>
        </w:tc>
        <w:tc>
          <w:tcPr>
            <w:tcW w:w="3620" w:type="dxa"/>
            <w:vAlign w:val="bottom"/>
            <w:gridSpan w:val="3"/>
          </w:tcPr>
          <w:p>
            <w:pPr>
              <w:jc w:val="right"/>
              <w:ind w:right="85"/>
              <w:spacing w:after="0"/>
              <w:rPr>
                <w:sz w:val="20"/>
                <w:szCs w:val="20"/>
                <w:color w:val="auto"/>
              </w:rPr>
            </w:pPr>
            <w:r>
              <w:rPr>
                <w:rFonts w:ascii="Arial" w:cs="Arial" w:eastAsia="Arial" w:hAnsi="Arial"/>
                <w:sz w:val="15"/>
                <w:szCs w:val="15"/>
                <w:b w:val="1"/>
                <w:bCs w:val="1"/>
                <w:color w:val="auto"/>
              </w:rPr>
              <w:t>Three Months Ended June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jc w:val="right"/>
              <w:ind w:right="985"/>
              <w:spacing w:after="0" w:line="165" w:lineRule="exact"/>
              <w:rPr>
                <w:sz w:val="20"/>
                <w:szCs w:val="20"/>
                <w:color w:val="auto"/>
              </w:rPr>
            </w:pPr>
            <w:r>
              <w:rPr>
                <w:rFonts w:ascii="Arial" w:cs="Arial" w:eastAsia="Arial" w:hAnsi="Arial"/>
                <w:sz w:val="15"/>
                <w:szCs w:val="15"/>
                <w:b w:val="1"/>
                <w:bCs w:val="1"/>
                <w:color w:val="auto"/>
              </w:rPr>
              <w:t>2007</w:t>
            </w:r>
          </w:p>
        </w:tc>
        <w:tc>
          <w:tcPr>
            <w:tcW w:w="7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525"/>
              <w:spacing w:after="0" w:line="165" w:lineRule="exact"/>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2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b w:val="1"/>
                <w:bCs w:val="1"/>
                <w:color w:val="auto"/>
              </w:rPr>
              <w:t>As restated</w:t>
            </w:r>
          </w:p>
        </w:tc>
        <w:tc>
          <w:tcPr>
            <w:tcW w:w="7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2006</w:t>
            </w:r>
          </w:p>
        </w:tc>
        <w:tc>
          <w:tcPr>
            <w:tcW w:w="7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b w:val="1"/>
                <w:bCs w:val="1"/>
                <w:color w:val="auto"/>
              </w:rPr>
              <w:t>As restated</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0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212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  76,275</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69,965</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6,310</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0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8"/>
              </w:rPr>
              <w:t>Segment profit, excluding restructuring and impairment charges</w:t>
            </w:r>
          </w:p>
        </w:tc>
        <w:tc>
          <w:tcPr>
            <w:tcW w:w="212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4,826</w:t>
            </w: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4,120</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Restructuring and impairment charges</w:t>
            </w:r>
          </w:p>
        </w:tc>
        <w:tc>
          <w:tcPr>
            <w:tcW w:w="2120" w:type="dxa"/>
            <w:vAlign w:val="bottom"/>
          </w:tcPr>
          <w:p>
            <w:pPr>
              <w:jc w:val="right"/>
              <w:ind w:right="225"/>
              <w:spacing w:after="0"/>
              <w:rPr>
                <w:sz w:val="20"/>
                <w:szCs w:val="20"/>
                <w:color w:val="auto"/>
              </w:rPr>
            </w:pPr>
            <w:r>
              <w:rPr>
                <w:rFonts w:ascii="Arial" w:cs="Arial" w:eastAsia="Arial" w:hAnsi="Arial"/>
                <w:sz w:val="15"/>
                <w:szCs w:val="15"/>
                <w:color w:val="auto"/>
              </w:rPr>
              <w:t>(13,336)</w:t>
            </w:r>
          </w:p>
        </w:tc>
        <w:tc>
          <w:tcPr>
            <w:tcW w:w="74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(13,336)</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Deferred income tax impacts</w:t>
            </w:r>
          </w:p>
        </w:tc>
        <w:tc>
          <w:tcPr>
            <w:tcW w:w="212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rPr>
              <w:t>(84)</w:t>
            </w:r>
          </w:p>
        </w:tc>
        <w:tc>
          <w:tcPr>
            <w:tcW w:w="7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212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 (8,594)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4,120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(12,714)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80"/>
        <w:spacing w:after="0" w:line="257" w:lineRule="auto"/>
        <w:rPr>
          <w:sz w:val="20"/>
          <w:szCs w:val="20"/>
          <w:color w:val="auto"/>
        </w:rPr>
      </w:pPr>
      <w:r>
        <w:rPr>
          <w:rFonts w:ascii="Arial" w:cs="Arial" w:eastAsia="Arial" w:hAnsi="Arial"/>
          <w:sz w:val="15"/>
          <w:szCs w:val="15"/>
          <w:color w:val="auto"/>
        </w:rPr>
        <w:t>The sales increase at the Metal Bearing Components Segment was primarily due to the positive impacts from the appreciation in value of Euro based sales relative to the U.S. Dollar ($3.8 million). Additionally, the Metal Bearing Components Segment experienced higher volume with existing European customers ($2.9 million) and increases related to passing through raw material inflation to customers ($1.0 million). The increases in sales were partially offset by unfavorable product mix to existing customers ($0.3 million) and due to contractual price decreases to certain large customers ($1.1 million).</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The segment profit, excluding restructuring and impairment charges, a non-GAAP accounting measure, in the second quarter of 2007 was favorably impacted by higher sales volumes in Europe ($0.5 million, net of tax). Euro denominated profits were favorably impacted by the increase in the value of the Euro against the U.S. Dollar ($0.2 million, net of tax). Additionally, the second quarter of 2006 had an unfavorable effect related to the decrease in value of the Slovakian Koruna that did not repeat in 2007 ($0.4 million, net of tax). Finally, the second quarter of 2007 was favorably impacted by the removal of a tax reserve related to a tax claim that was favorably settled ($0.3 million.) Partially offsetting these positive impacts were the effect of price decreases given to certain customers under contractual terms ($0.7 million, net of tax). Raw material cost inflation was offset by price increases under contractual terms to certain customers, resulting in little impact on segment profit. Additionally, cost reduction projects offset utility and labor inflation.</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340"/>
          </w:cols>
          <w:pgMar w:left="220" w:top="33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2"/>
        </w:trPr>
        <w:tc>
          <w:tcPr>
            <w:tcW w:w="7020" w:type="dxa"/>
            <w:vAlign w:val="bottom"/>
            <w:gridSpan w:val="3"/>
          </w:tcPr>
          <w:p>
            <w:pPr>
              <w:spacing w:after="0"/>
              <w:rPr>
                <w:sz w:val="20"/>
                <w:szCs w:val="20"/>
                <w:color w:val="auto"/>
              </w:rPr>
            </w:pPr>
            <w:r>
              <w:rPr>
                <w:rFonts w:ascii="Arial" w:cs="Arial" w:eastAsia="Arial" w:hAnsi="Arial"/>
                <w:sz w:val="15"/>
                <w:szCs w:val="15"/>
                <w:b w:val="1"/>
                <w:bCs w:val="1"/>
                <w:color w:val="auto"/>
              </w:rPr>
              <w:t>PRECISION METAL COMPONENTS SEGMENT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3300" w:type="dxa"/>
            <w:vAlign w:val="bottom"/>
            <w:tcBorders>
              <w:top w:val="single" w:sz="8" w:color="auto"/>
            </w:tcBorders>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9"/>
          </w:tcPr>
          <w:p>
            <w:pPr>
              <w:jc w:val="right"/>
              <w:ind w:right="680"/>
              <w:spacing w:after="0"/>
              <w:rPr>
                <w:sz w:val="20"/>
                <w:szCs w:val="20"/>
                <w:color w:val="auto"/>
              </w:rPr>
            </w:pPr>
            <w:r>
              <w:rPr>
                <w:rFonts w:ascii="Arial" w:cs="Arial" w:eastAsia="Arial" w:hAnsi="Arial"/>
                <w:sz w:val="15"/>
                <w:szCs w:val="15"/>
                <w:b w:val="1"/>
                <w:bCs w:val="1"/>
                <w:color w:val="auto"/>
              </w:rPr>
              <w:t>Three Months Ended June 30,</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2007</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2006</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17,108</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300"/>
        <w:spacing w:after="0" w:line="272" w:lineRule="auto"/>
        <w:rPr>
          <w:sz w:val="20"/>
          <w:szCs w:val="20"/>
          <w:color w:val="auto"/>
        </w:rPr>
      </w:pPr>
      <w:r>
        <w:rPr>
          <w:rFonts w:ascii="Arial" w:cs="Arial" w:eastAsia="Arial" w:hAnsi="Arial"/>
          <w:sz w:val="15"/>
          <w:szCs w:val="15"/>
          <w:color w:val="auto"/>
        </w:rPr>
        <w:t>The Precision Metal Components Segment was added on November 30, 2006 with the purchase of Whirlaway. Therefore, the segment was not included in the financial statements of the quarter ended June 30, 2006.</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The second quarter 2007 results of Whirlaway are not indicative of normalized annual operations. Volume in the second quarter of 2007 was down dramatically against historical sales levels due to lower demand at customers that serve the U.S. heavy truck and heating, ventilation, and air conditioning (“HVAC”) equipment markets. The demand in the heavy truck and HVAC markets was abnormally low in the second quarter of 2007 due to large amounts of purchases made in the fourth quarter of 2006 of heavy trucks and HVAC equipment. These purchases were made ahead of required environmental changes to these products on January 1,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20" w:type="dxa"/>
            <w:vAlign w:val="bottom"/>
            <w:gridSpan w:val="3"/>
          </w:tcPr>
          <w:p>
            <w:pPr>
              <w:spacing w:after="0"/>
              <w:rPr>
                <w:sz w:val="20"/>
                <w:szCs w:val="20"/>
                <w:color w:val="auto"/>
              </w:rPr>
            </w:pPr>
            <w:r>
              <w:rPr>
                <w:rFonts w:ascii="Arial" w:cs="Arial" w:eastAsia="Arial" w:hAnsi="Arial"/>
                <w:sz w:val="15"/>
                <w:szCs w:val="15"/>
                <w:b w:val="1"/>
                <w:bCs w:val="1"/>
                <w:color w:val="auto"/>
              </w:rPr>
              <w:t>PLASTIC AND RUBBER COMPONENTS SEGMENT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3560" w:type="dxa"/>
            <w:vAlign w:val="bottom"/>
            <w:tcBorders>
              <w:top w:val="single" w:sz="8" w:color="auto"/>
            </w:tcBorders>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8"/>
          </w:tcPr>
          <w:p>
            <w:pPr>
              <w:jc w:val="right"/>
              <w:ind w:right="680"/>
              <w:spacing w:after="0"/>
              <w:rPr>
                <w:sz w:val="20"/>
                <w:szCs w:val="20"/>
                <w:color w:val="auto"/>
              </w:rPr>
            </w:pPr>
            <w:r>
              <w:rPr>
                <w:rFonts w:ascii="Arial" w:cs="Arial" w:eastAsia="Arial" w:hAnsi="Arial"/>
                <w:sz w:val="15"/>
                <w:szCs w:val="15"/>
                <w:b w:val="1"/>
                <w:bCs w:val="1"/>
                <w:color w:val="auto"/>
              </w:rPr>
              <w:t>Three Months Ended June 30,</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3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2007</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2006</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13,589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360"/>
        <w:spacing w:after="0" w:line="272" w:lineRule="auto"/>
        <w:rPr>
          <w:sz w:val="20"/>
          <w:szCs w:val="20"/>
          <w:color w:val="auto"/>
        </w:rPr>
      </w:pPr>
      <w:r>
        <w:rPr>
          <w:rFonts w:ascii="Arial" w:cs="Arial" w:eastAsia="Arial" w:hAnsi="Arial"/>
          <w:sz w:val="15"/>
          <w:szCs w:val="15"/>
          <w:color w:val="auto"/>
        </w:rPr>
        <w:t>Revenues in the Plastic and Rubber Components Segment were up primarily due to raw material inflation pass through ($0.6 million). Additionally, the segment experienced lower sales volume into the automotive market ($0.3 million).</w:t>
      </w:r>
    </w:p>
    <w:p>
      <w:pPr>
        <w:spacing w:after="0" w:line="169" w:lineRule="exact"/>
        <w:rPr>
          <w:sz w:val="20"/>
          <w:szCs w:val="20"/>
          <w:color w:val="auto"/>
        </w:rPr>
      </w:pPr>
    </w:p>
    <w:p>
      <w:pPr>
        <w:ind w:right="220"/>
        <w:spacing w:after="0" w:line="272" w:lineRule="auto"/>
        <w:rPr>
          <w:sz w:val="20"/>
          <w:szCs w:val="20"/>
          <w:color w:val="auto"/>
        </w:rPr>
      </w:pPr>
      <w:r>
        <w:rPr>
          <w:rFonts w:ascii="Arial" w:cs="Arial" w:eastAsia="Arial" w:hAnsi="Arial"/>
          <w:sz w:val="15"/>
          <w:szCs w:val="15"/>
          <w:color w:val="auto"/>
        </w:rPr>
        <w:t>Net income was negatively affected by the volume decreases in sales of products into the automotive market ($0.1 million, after tax). The increases in sales from raw material pass through were offset by raw material inflation.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gridSpan w:val="2"/>
          </w:tcPr>
          <w:p>
            <w:pPr>
              <w:spacing w:after="0"/>
              <w:rPr>
                <w:sz w:val="20"/>
                <w:szCs w:val="20"/>
                <w:color w:val="auto"/>
              </w:rPr>
            </w:pPr>
            <w:r>
              <w:rPr>
                <w:rFonts w:ascii="Arial" w:cs="Arial" w:eastAsia="Arial" w:hAnsi="Arial"/>
                <w:sz w:val="15"/>
                <w:szCs w:val="15"/>
                <w:b w:val="1"/>
                <w:bCs w:val="1"/>
                <w:i w:val="1"/>
                <w:iCs w:val="1"/>
                <w:color w:val="auto"/>
                <w:w w:val="91"/>
              </w:rPr>
              <w:t>Six Months Ended June 30, 2007 Compared to the Six Months Ended June 30, 2006.</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5440" w:type="dxa"/>
            <w:vAlign w:val="bottom"/>
            <w:gridSpan w:val="2"/>
          </w:tcPr>
          <w:p>
            <w:pPr>
              <w:spacing w:after="0"/>
              <w:rPr>
                <w:sz w:val="20"/>
                <w:szCs w:val="20"/>
                <w:color w:val="auto"/>
              </w:rPr>
            </w:pPr>
            <w:r>
              <w:rPr>
                <w:rFonts w:ascii="Arial" w:cs="Arial" w:eastAsia="Arial" w:hAnsi="Arial"/>
                <w:sz w:val="15"/>
                <w:szCs w:val="15"/>
                <w:b w:val="1"/>
                <w:bCs w:val="1"/>
                <w:color w:val="auto"/>
              </w:rPr>
              <w:t>OVERALL RESULTS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440" w:type="dxa"/>
            <w:vAlign w:val="bottom"/>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1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5"/>
                <w:szCs w:val="15"/>
                <w:b w:val="1"/>
                <w:bCs w:val="1"/>
                <w:color w:val="auto"/>
              </w:rPr>
              <w:t>Consolidated NN, Inc.</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45"/>
              <w:spacing w:after="0" w:line="165" w:lineRule="exact"/>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25"/>
              <w:spacing w:after="0" w:line="165" w:lineRule="exact"/>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85"/>
              </w:rPr>
              <w:t>As restated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85"/>
              </w:rPr>
              <w:t>As restated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215,246</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169,571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45,675</w:t>
            </w: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80" w:type="dxa"/>
            <w:vAlign w:val="bottom"/>
          </w:tcPr>
          <w:p>
            <w:pPr>
              <w:spacing w:after="0" w:line="169" w:lineRule="exact"/>
              <w:rPr>
                <w:sz w:val="20"/>
                <w:szCs w:val="20"/>
                <w:color w:val="auto"/>
              </w:rPr>
            </w:pPr>
            <w:r>
              <w:rPr>
                <w:rFonts w:ascii="Arial" w:cs="Arial" w:eastAsia="Arial" w:hAnsi="Arial"/>
                <w:sz w:val="15"/>
                <w:szCs w:val="15"/>
                <w:color w:val="auto"/>
              </w:rPr>
              <w:t>Cost of products sold (exclusive of depreciation</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280" w:type="dxa"/>
            <w:vAlign w:val="bottom"/>
          </w:tcPr>
          <w:p>
            <w:pPr>
              <w:ind w:left="80"/>
              <w:spacing w:after="0"/>
              <w:rPr>
                <w:sz w:val="20"/>
                <w:szCs w:val="20"/>
                <w:color w:val="auto"/>
              </w:rPr>
            </w:pPr>
            <w:r>
              <w:rPr>
                <w:rFonts w:ascii="Arial" w:cs="Arial" w:eastAsia="Arial" w:hAnsi="Arial"/>
                <w:sz w:val="15"/>
                <w:szCs w:val="15"/>
                <w:color w:val="auto"/>
              </w:rPr>
              <w:t>and amortization shown separately below)</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171,010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130,904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40,106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4,239</w:t>
            </w: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11,180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8,587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2,593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Restructuring and asset impairment charges</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13,336</w:t>
            </w: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Interest expense, net</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1,318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Gain on disposal of assets</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w:t>
            </w: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Other expense, net</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(237)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provision for income taxes</w:t>
            </w: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(16,395)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(1,070)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60" w:type="dxa"/>
            <w:vAlign w:val="bottom"/>
            <w:vMerge w:val="continue"/>
          </w:tcPr>
          <w:p>
            <w:pPr>
              <w:spacing w:after="0"/>
              <w:rPr>
                <w:sz w:val="19"/>
                <w:szCs w:val="19"/>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(6,610)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8,715</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(15,325)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1160" w:type="dxa"/>
            <w:vAlign w:val="bottom"/>
          </w:tcPr>
          <w:p>
            <w:pPr>
              <w:spacing w:after="0"/>
              <w:rPr>
                <w:sz w:val="24"/>
                <w:szCs w:val="24"/>
                <w:color w:val="auto"/>
              </w:rPr>
            </w:pPr>
          </w:p>
        </w:tc>
        <w:tc>
          <w:tcPr>
            <w:tcW w:w="428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ind w:right="1245"/>
              <w:spacing w:after="0"/>
              <w:rPr>
                <w:sz w:val="20"/>
                <w:szCs w:val="20"/>
                <w:color w:val="auto"/>
              </w:rPr>
            </w:pPr>
            <w:r>
              <w:rPr>
                <w:rFonts w:ascii="Arial" w:cs="Arial" w:eastAsia="Arial" w:hAnsi="Arial"/>
                <w:sz w:val="15"/>
                <w:szCs w:val="15"/>
                <w:color w:val="auto"/>
              </w:rPr>
              <w:t>21</w:t>
            </w:r>
          </w:p>
        </w:tc>
        <w:tc>
          <w:tcPr>
            <w:tcW w:w="10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Borders>
              <w:bottom w:val="single" w:sz="8" w:color="808080"/>
            </w:tcBorders>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7" w:right="219" w:bottom="1440" w:gutter="0" w:footer="0" w:header="0"/>
        </w:sectPr>
      </w:pPr>
    </w:p>
    <w:bookmarkStart w:id="23" w:name="page24"/>
    <w:bookmarkEnd w:id="23"/>
    <w:p>
      <w:pPr>
        <w:ind w:right="80"/>
        <w:spacing w:after="0" w:line="257"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Sales have increased due to the addition of the Precision Metal Components Segment with the acquisition of Whirlaway ($35.1 million) and due to appreciation in value of Euro</w:t>
      </w:r>
      <w:r>
        <w:rPr>
          <w:rFonts w:ascii="Arial" w:cs="Arial" w:eastAsia="Arial" w:hAnsi="Arial"/>
          <w:sz w:val="15"/>
          <w:szCs w:val="15"/>
          <w:i w:val="1"/>
          <w:iCs w:val="1"/>
          <w:color w:val="auto"/>
        </w:rPr>
        <w:t xml:space="preserve"> </w:t>
      </w:r>
      <w:r>
        <w:rPr>
          <w:rFonts w:ascii="Arial" w:cs="Arial" w:eastAsia="Arial" w:hAnsi="Arial"/>
          <w:sz w:val="15"/>
          <w:szCs w:val="15"/>
          <w:color w:val="auto"/>
        </w:rPr>
        <w:t>denominated sales relative to the U.S. Dollar ($9.3 million). In addition, sales have increased due to passing through raw material inflation to customers ($2.6 million) and due to higher volume to existing customers at our European operations ($2.6 million). Partially offsetting these increases are reductions from price decreases given to several large customers in agreement with contractual terms ($2.2 million) and unfavorable product mix to existing customers ($1.7 million).</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Cost of products sold increased primarily due to the addition of the Precision Metal Components Segment in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2006 ($30.1 million) and due to the increase in value of Euro denominated costs relative to the U.S. Dollar ($7.3 million). In addition, raw material, labor and utility inflation increased ($4.8 million) and costs increased related to higher sales volume at our European operations ($2.0 million). Offsetting these increases were favorable mix impacts to cost of products sold ($1.3 million) and the impact of projects focused on reducing cost of manufacturing ($2.8 million).</w:t>
      </w:r>
    </w:p>
    <w:p>
      <w:pPr>
        <w:spacing w:after="0" w:line="180"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The increase was primarily due to the addition of the Precision Metal Components Segment in November 2006 ($2.3 million). In addition,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total increased due to the appreciation in the value of the Euro relative to the U.S. Dollar ($0.6 million). Finally, the total was higher due to recognizing stock option expense ($0.3 million), from higher spending on consulting and professional fees ($0.3 million), higher travel and salary cost ($0.3 million) and additional bad debt expense ($0.2 million).</w:t>
      </w:r>
    </w:p>
    <w:p>
      <w:pPr>
        <w:spacing w:after="0" w:line="160" w:lineRule="exact"/>
        <w:rPr>
          <w:sz w:val="20"/>
          <w:szCs w:val="20"/>
          <w:color w:val="auto"/>
        </w:rPr>
      </w:pPr>
    </w:p>
    <w:p>
      <w:pPr>
        <w:ind w:right="280"/>
        <w:spacing w:after="0" w:line="272"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These costs were higher due to the acquisition of the Precision Metal Components Segment ($2.1 million) and due to the increase in the value of the Euro</w:t>
      </w:r>
      <w:r>
        <w:rPr>
          <w:rFonts w:ascii="Arial" w:cs="Arial" w:eastAsia="Arial" w:hAnsi="Arial"/>
          <w:sz w:val="15"/>
          <w:szCs w:val="15"/>
          <w:i w:val="1"/>
          <w:iCs w:val="1"/>
          <w:color w:val="auto"/>
        </w:rPr>
        <w:t xml:space="preserve"> </w:t>
      </w:r>
      <w:r>
        <w:rPr>
          <w:rFonts w:ascii="Arial" w:cs="Arial" w:eastAsia="Arial" w:hAnsi="Arial"/>
          <w:sz w:val="15"/>
          <w:szCs w:val="15"/>
          <w:color w:val="auto"/>
        </w:rPr>
        <w:t>based depreciation and amortization relative to the U.S. Dollar ($0.5 million).</w:t>
      </w:r>
    </w:p>
    <w:p>
      <w:pPr>
        <w:spacing w:after="0" w:line="169" w:lineRule="exact"/>
        <w:rPr>
          <w:sz w:val="20"/>
          <w:szCs w:val="20"/>
          <w:color w:val="auto"/>
        </w:rPr>
      </w:pPr>
    </w:p>
    <w:p>
      <w:pPr>
        <w:ind w:right="140"/>
        <w:spacing w:after="0" w:line="272"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Interest expense is higher due to the additional debt assumed to acquire the Precision Metal Components Segment in November 2006 ($1.2 million) and from interest on a</w:t>
      </w:r>
      <w:r>
        <w:rPr>
          <w:rFonts w:ascii="Arial" w:cs="Arial" w:eastAsia="Arial" w:hAnsi="Arial"/>
          <w:sz w:val="15"/>
          <w:szCs w:val="15"/>
          <w:i w:val="1"/>
          <w:iCs w:val="1"/>
          <w:color w:val="auto"/>
        </w:rPr>
        <w:t xml:space="preserve"> </w:t>
      </w:r>
      <w:r>
        <w:rPr>
          <w:rFonts w:ascii="Arial" w:cs="Arial" w:eastAsia="Arial" w:hAnsi="Arial"/>
          <w:sz w:val="15"/>
          <w:szCs w:val="15"/>
          <w:color w:val="auto"/>
        </w:rPr>
        <w:t>note assumed with that acquisition ($0.1 million).</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5"/>
          <w:szCs w:val="15"/>
          <w:i w:val="1"/>
          <w:iCs w:val="1"/>
          <w:color w:val="auto"/>
        </w:rPr>
        <w:t xml:space="preserve">Gain on disposal of assets. </w:t>
      </w:r>
      <w:r>
        <w:rPr>
          <w:rFonts w:ascii="Arial" w:cs="Arial" w:eastAsia="Arial" w:hAnsi="Arial"/>
          <w:sz w:val="15"/>
          <w:szCs w:val="15"/>
          <w:color w:val="auto"/>
        </w:rPr>
        <w:t>In 2006, we incurred a gain from the sale of excess land at our Pinerolo, Italy facility ($1.8 million) partially offset by a loss on disposal of excess equipment at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facility ($1.1 million).</w:t>
      </w:r>
    </w:p>
    <w:p>
      <w:pPr>
        <w:spacing w:after="0" w:line="169" w:lineRule="exact"/>
        <w:rPr>
          <w:sz w:val="20"/>
          <w:szCs w:val="20"/>
          <w:color w:val="auto"/>
        </w:rPr>
      </w:pPr>
    </w:p>
    <w:p>
      <w:pPr>
        <w:ind w:right="120"/>
        <w:spacing w:after="0" w:line="303" w:lineRule="auto"/>
        <w:rPr>
          <w:sz w:val="20"/>
          <w:szCs w:val="20"/>
          <w:color w:val="auto"/>
        </w:rPr>
      </w:pPr>
      <w:r>
        <w:rPr>
          <w:rFonts w:ascii="Arial" w:cs="Arial" w:eastAsia="Arial" w:hAnsi="Arial"/>
          <w:sz w:val="13"/>
          <w:szCs w:val="13"/>
          <w:i w:val="1"/>
          <w:iCs w:val="1"/>
          <w:color w:val="auto"/>
        </w:rPr>
        <w:t xml:space="preserve">Restructuring and Asset Impairment Changes. </w:t>
      </w:r>
      <w:r>
        <w:rPr>
          <w:rFonts w:ascii="Arial" w:cs="Arial" w:eastAsia="Arial" w:hAnsi="Arial"/>
          <w:sz w:val="13"/>
          <w:szCs w:val="13"/>
          <w:color w:val="auto"/>
        </w:rPr>
        <w:t>The Company has begun to take steps to appropriately adjust our cost structure and align our plant capacity in our Metal Bearing Components</w:t>
      </w:r>
      <w:r>
        <w:rPr>
          <w:rFonts w:ascii="Arial" w:cs="Arial" w:eastAsia="Arial" w:hAnsi="Arial"/>
          <w:sz w:val="13"/>
          <w:szCs w:val="13"/>
          <w:i w:val="1"/>
          <w:iCs w:val="1"/>
          <w:color w:val="auto"/>
        </w:rPr>
        <w:t xml:space="preserve"> </w:t>
      </w:r>
      <w:r>
        <w:rPr>
          <w:rFonts w:ascii="Arial" w:cs="Arial" w:eastAsia="Arial" w:hAnsi="Arial"/>
          <w:sz w:val="13"/>
          <w:szCs w:val="13"/>
          <w:color w:val="auto"/>
        </w:rPr>
        <w:t>Segment. This will include restructuring at our European operations of the Metal Bearing Components Segment as we adjust our global precision ball manufacturing capacity to better take advantage of favorable cost structures at our Slovakian and Chinese Metal Bearing Components manufacturing facilities. As a result of this restructuring certain goodwill and fixed assets in our European operations are now considered impaired. During the second quarter, we recorded approximately $13.3 million ($12.6 million after-tax) of non-cash impairment costs. These costs include the write-down of certain excess production equipment and the impairment of goodwill to levels supported by projected cash flows after the restructuring.</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i w:val="1"/>
          <w:iCs w:val="1"/>
          <w:color w:val="auto"/>
        </w:rPr>
        <w:t xml:space="preserve">Provision for income taxes. </w:t>
      </w:r>
      <w:r>
        <w:rPr>
          <w:rFonts w:ascii="Arial" w:cs="Arial" w:eastAsia="Arial" w:hAnsi="Arial"/>
          <w:sz w:val="15"/>
          <w:szCs w:val="15"/>
          <w:color w:val="auto"/>
        </w:rPr>
        <w:t>The 2007 effective tax rate of negative 156% was primarily due to the large impairment charges for the European restructuring with only an 5% effective tax</w:t>
      </w:r>
      <w:r>
        <w:rPr>
          <w:rFonts w:ascii="Arial" w:cs="Arial" w:eastAsia="Arial" w:hAnsi="Arial"/>
          <w:sz w:val="15"/>
          <w:szCs w:val="15"/>
          <w:i w:val="1"/>
          <w:iCs w:val="1"/>
          <w:color w:val="auto"/>
        </w:rPr>
        <w:t xml:space="preserve"> </w:t>
      </w:r>
      <w:r>
        <w:rPr>
          <w:rFonts w:ascii="Arial" w:cs="Arial" w:eastAsia="Arial" w:hAnsi="Arial"/>
          <w:sz w:val="15"/>
          <w:szCs w:val="15"/>
          <w:color w:val="auto"/>
        </w:rPr>
        <w:t>rate. Factoring out the impairment impacts, the effective tax rate would have been 44%. A valuation reserve ($0.8 million) was placed on a loss carry forward deferred tax asset at a location still incurring losses which increased the 2007 rate 7%. Factoring about the valuation reserve the rate would have been lower than normal by 3% due to a tax reserve being removed related to a tax claim that was favorably settled. The 2006 effective rate is lower than the historical effective rate due to the favorable 19% tax rate on the gain from sale of land at our Pinerolo, Italy facility.</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3"/>
        </w:trPr>
        <w:tc>
          <w:tcPr>
            <w:tcW w:w="7020" w:type="dxa"/>
            <w:vAlign w:val="bottom"/>
            <w:gridSpan w:val="3"/>
          </w:tcPr>
          <w:p>
            <w:pPr>
              <w:spacing w:after="0"/>
              <w:rPr>
                <w:sz w:val="20"/>
                <w:szCs w:val="20"/>
                <w:color w:val="auto"/>
              </w:rPr>
            </w:pPr>
            <w:r>
              <w:rPr>
                <w:rFonts w:ascii="Arial" w:cs="Arial" w:eastAsia="Arial" w:hAnsi="Arial"/>
                <w:sz w:val="15"/>
                <w:szCs w:val="15"/>
                <w:b w:val="1"/>
                <w:bCs w:val="1"/>
                <w:color w:val="auto"/>
              </w:rPr>
              <w:t>RESULTS BY SEGMENT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METAL BEARING COMPONENTS SEGMENT</w:t>
            </w: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020" w:type="dxa"/>
            <w:vAlign w:val="bottom"/>
            <w:gridSpan w:val="3"/>
          </w:tcPr>
          <w:p>
            <w:pPr>
              <w:ind w:left="1160"/>
              <w:spacing w:after="0"/>
              <w:rPr>
                <w:sz w:val="20"/>
                <w:szCs w:val="20"/>
                <w:color w:val="auto"/>
              </w:rPr>
            </w:pPr>
            <w:r>
              <w:rPr>
                <w:rFonts w:ascii="Arial" w:cs="Arial" w:eastAsia="Arial" w:hAnsi="Arial"/>
                <w:sz w:val="15"/>
                <w:szCs w:val="15"/>
                <w:color w:val="auto"/>
              </w:rPr>
              <w:t>(In Thousands of Dollars)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gridSpan w:val="9"/>
          </w:tcPr>
          <w:p>
            <w:pPr>
              <w:jc w:val="right"/>
              <w:ind w:right="78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3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45"/>
              <w:spacing w:after="0" w:line="165" w:lineRule="exact"/>
              <w:rPr>
                <w:sz w:val="20"/>
                <w:szCs w:val="20"/>
                <w:color w:val="auto"/>
              </w:rPr>
            </w:pPr>
            <w:r>
              <w:rPr>
                <w:rFonts w:ascii="Arial" w:cs="Arial" w:eastAsia="Arial" w:hAnsi="Arial"/>
                <w:sz w:val="15"/>
                <w:szCs w:val="15"/>
                <w:b w:val="1"/>
                <w:bCs w:val="1"/>
                <w:color w:val="auto"/>
              </w:rPr>
              <w:t>2007</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25"/>
              <w:spacing w:after="0" w:line="165" w:lineRule="exact"/>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88"/>
              </w:rPr>
              <w:t>As restated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45"/>
              <w:spacing w:after="0"/>
              <w:rPr>
                <w:sz w:val="20"/>
                <w:szCs w:val="20"/>
                <w:color w:val="auto"/>
              </w:rPr>
            </w:pPr>
            <w:r>
              <w:rPr>
                <w:rFonts w:ascii="Arial" w:cs="Arial" w:eastAsia="Arial" w:hAnsi="Arial"/>
                <w:sz w:val="15"/>
                <w:szCs w:val="15"/>
                <w:b w:val="1"/>
                <w:bCs w:val="1"/>
                <w:color w:val="auto"/>
              </w:rPr>
              <w:t>2006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w w:val="85"/>
              </w:rPr>
              <w:t>As restated</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0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153,559</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141,305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0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Segment profit, excluding restructuring and asset impairment changes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9,939</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Restructuring and impairment charges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(13,336)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(13,336)</w:t>
            </w:r>
          </w:p>
        </w:tc>
        <w:tc>
          <w:tcPr>
            <w:tcW w:w="0" w:type="dxa"/>
            <w:vAlign w:val="bottom"/>
          </w:tcPr>
          <w:p>
            <w:pPr>
              <w:spacing w:after="0"/>
              <w:rPr>
                <w:sz w:val="1"/>
                <w:szCs w:val="1"/>
                <w:color w:val="auto"/>
              </w:rPr>
            </w:pPr>
          </w:p>
        </w:tc>
      </w:tr>
      <w:tr>
        <w:trPr>
          <w:trHeight w:val="179"/>
        </w:trPr>
        <w:tc>
          <w:tcPr>
            <w:tcW w:w="116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income tax impacts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2"/>
        </w:trPr>
        <w:tc>
          <w:tcPr>
            <w:tcW w:w="1160" w:type="dxa"/>
            <w:vAlign w:val="bottom"/>
            <w:vMerge w:val="restart"/>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tcPr>
          <w:p>
            <w:pPr>
              <w:spacing w:after="0"/>
              <w:rPr>
                <w:sz w:val="20"/>
                <w:szCs w:val="20"/>
                <w:color w:val="auto"/>
              </w:rPr>
            </w:pPr>
            <w:r>
              <w:rPr>
                <w:rFonts w:ascii="Arial" w:cs="Arial" w:eastAsia="Arial" w:hAnsi="Arial"/>
                <w:sz w:val="15"/>
                <w:szCs w:val="15"/>
                <w:color w:val="auto"/>
              </w:rPr>
              <w:t>Net income (loss)</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(3,712)</w:t>
            </w:r>
          </w:p>
        </w:tc>
        <w:tc>
          <w:tcPr>
            <w:tcW w:w="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9,939</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(13,651)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5"/>
          <w:szCs w:val="15"/>
          <w:color w:val="auto"/>
        </w:rPr>
        <w:t>The sales increase at the Metal Bearing Components Segment was primarily due to the positive impacts from the rise in value of Euro based sales relative to the U.S. Dollar ($9.3 million). Additionally, the Metal Bearing Components Segment experienced higher volume with existing European customers ($5.1 million) and increases related to passing through raw material inflation to customers ($1.8 million). These increases were partially offset by unfavorable product mix to existing customers ($1.7 million) and due to contractual price decreases to certain large customers ($2.2 million).</w:t>
      </w:r>
    </w:p>
    <w:p>
      <w:pPr>
        <w:spacing w:after="0" w:line="180"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The $0.2 million difference in segment profit excluding restructuring and impairment charges, a non-GAAP accounting measure, was primarily related to price decreases given to certain customers under contractual terms in 2007 ($1.4 million, net of tax) and a gain on the sale of land at our Pinerolo, Italy facility in the first quarter of 2006 that did not repeat in 2007 ($0.8 million, net of tax). Raw material cost inflation was offset by price increases under contractual terms to certain customers, resulting in little impact on segment profit. Partially offsetting the negative impacts above were cost reduction projects that offset utility and labor inflation ($0.7 million, net of tax). Additionally, Euro denominated profits were favorably impacted by the appreciation in the value of the Euro against the U.S. Dollar ($0.6 million, net of tax). The effect from higher sales volumes in Europe favorably impacted 2007 ($0.4 million, net of tax). Finally, the removal of a tax reserve related to a tax claim that was favorably settled had a positive impact on 2007 ($0.3 million.)</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20" w:type="dxa"/>
            <w:vAlign w:val="bottom"/>
            <w:gridSpan w:val="3"/>
          </w:tcPr>
          <w:p>
            <w:pPr>
              <w:spacing w:after="0"/>
              <w:rPr>
                <w:sz w:val="20"/>
                <w:szCs w:val="20"/>
                <w:color w:val="auto"/>
              </w:rPr>
            </w:pPr>
            <w:r>
              <w:rPr>
                <w:rFonts w:ascii="Arial" w:cs="Arial" w:eastAsia="Arial" w:hAnsi="Arial"/>
                <w:sz w:val="15"/>
                <w:szCs w:val="15"/>
                <w:b w:val="1"/>
                <w:bCs w:val="1"/>
                <w:color w:val="auto"/>
              </w:rPr>
              <w:t>PRECISION METAL COMPONENTS SEGMENT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3300" w:type="dxa"/>
            <w:vAlign w:val="bottom"/>
            <w:tcBorders>
              <w:top w:val="single" w:sz="8" w:color="auto"/>
            </w:tcBorders>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9"/>
          </w:tcPr>
          <w:p>
            <w:pPr>
              <w:jc w:val="right"/>
              <w:ind w:right="78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2007</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2006</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35,136</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1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The Precision Metal Components Segment was added on November 30, 2006 with the purchase of Whirlaway. Therefore, the segment was not included in the financial statements of the six months ended June 30, 2006.</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The six months ended June 30, 2007 results of Whirlaway are not indicative of normalized annual operations. The first quarter of this segment historically has had lower volume than average due to the purchasing patterns of the end markets served and the second quarter of 2007 was down due to abnormally low demand in customers that serve U.S. heavy truck and HVAC equipment markets.</w:t>
      </w:r>
    </w:p>
    <w:p>
      <w:pPr>
        <w:spacing w:after="0" w:line="179"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color w:val="auto"/>
        </w:rPr>
        <w:t>The demand in the heavy truck and HVAC markets was abnormally low in the second quarter of 2007 due to large amounts of purchases made in the fourth quarter of 2006 of heavy trucks and HVAC equipment. These purchases were made ahead of required environmental changes to these products on January 1, 2007.</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00"/>
          </w:cols>
          <w:pgMar w:left="220" w:top="450" w:right="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2"/>
        </w:trPr>
        <w:tc>
          <w:tcPr>
            <w:tcW w:w="7020" w:type="dxa"/>
            <w:vAlign w:val="bottom"/>
            <w:gridSpan w:val="3"/>
          </w:tcPr>
          <w:p>
            <w:pPr>
              <w:spacing w:after="0"/>
              <w:rPr>
                <w:sz w:val="20"/>
                <w:szCs w:val="20"/>
                <w:color w:val="auto"/>
              </w:rPr>
            </w:pPr>
            <w:r>
              <w:rPr>
                <w:rFonts w:ascii="Arial" w:cs="Arial" w:eastAsia="Arial" w:hAnsi="Arial"/>
                <w:sz w:val="15"/>
                <w:szCs w:val="15"/>
                <w:b w:val="1"/>
                <w:bCs w:val="1"/>
                <w:color w:val="auto"/>
              </w:rPr>
              <w:t>PLASTIC AND RUBBER COMPONENTS SEGMENT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3560" w:type="dxa"/>
            <w:vAlign w:val="bottom"/>
            <w:tcBorders>
              <w:top w:val="single" w:sz="8" w:color="auto"/>
            </w:tcBorders>
            <w:gridSpan w:val="2"/>
          </w:tcPr>
          <w:p>
            <w:pPr>
              <w:ind w:left="1160"/>
              <w:spacing w:after="0"/>
              <w:rPr>
                <w:sz w:val="20"/>
                <w:szCs w:val="20"/>
                <w:color w:val="auto"/>
              </w:rPr>
            </w:pPr>
            <w:r>
              <w:rPr>
                <w:rFonts w:ascii="Arial" w:cs="Arial" w:eastAsia="Arial" w:hAnsi="Arial"/>
                <w:sz w:val="15"/>
                <w:szCs w:val="15"/>
                <w:color w:val="auto"/>
              </w:rPr>
              <w:t>(In Thousands of Dollars)</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8"/>
          </w:tcPr>
          <w:p>
            <w:pPr>
              <w:jc w:val="right"/>
              <w:ind w:right="78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400" w:type="dxa"/>
            <w:vAlign w:val="bottom"/>
            <w:tcBorders>
              <w:top w:val="single" w:sz="8" w:color="auto"/>
            </w:tcBorders>
          </w:tcPr>
          <w:p>
            <w:pPr>
              <w:spacing w:after="0"/>
              <w:rPr>
                <w:sz w:val="15"/>
                <w:szCs w:val="15"/>
                <w:color w:val="auto"/>
              </w:rPr>
            </w:pPr>
          </w:p>
        </w:tc>
        <w:tc>
          <w:tcPr>
            <w:tcW w:w="3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2007</w:t>
            </w: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rPr>
              <w:t>2006</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26,551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28,266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(1,715)</w:t>
            </w:r>
          </w:p>
        </w:tc>
        <w:tc>
          <w:tcPr>
            <w:tcW w:w="0" w:type="dxa"/>
            <w:vAlign w:val="bottom"/>
          </w:tcPr>
          <w:p>
            <w:pPr>
              <w:spacing w:after="0"/>
              <w:rPr>
                <w:sz w:val="1"/>
                <w:szCs w:val="1"/>
                <w:color w:val="auto"/>
              </w:rPr>
            </w:pPr>
          </w:p>
        </w:tc>
      </w:tr>
      <w:tr>
        <w:trPr>
          <w:trHeight w:val="179"/>
        </w:trPr>
        <w:tc>
          <w:tcPr>
            <w:tcW w:w="1160" w:type="dxa"/>
            <w:vAlign w:val="bottom"/>
            <w:vMerge w:val="restart"/>
          </w:tcPr>
          <w:p>
            <w:pPr>
              <w:spacing w:after="0"/>
              <w:rPr>
                <w:sz w:val="15"/>
                <w:szCs w:val="15"/>
                <w:color w:val="auto"/>
              </w:rPr>
            </w:pPr>
          </w:p>
        </w:tc>
        <w:tc>
          <w:tcPr>
            <w:tcW w:w="24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Revenues in the Plastic and Rubber Components Segment were down due to lower sales volume into the automotive market ($1.7 million) and lower sales to certain specialty non-automotive customers ($0.8 million). Partially offsetting the volume decreases were benefits from raw material inflation pass through ($0.8 million).</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Net income was negatively affected by the volume decreases in sales net of cost of goods sold ($0.8 million, after tax). Partially offsetting the volume impacts were cost reduction projects net of inflation ($0.2 million, after tax). The increases in sales from raw material pass through were offset by raw material inflation.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212"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Amounts outstanding under our $135.0 million credit facility and our $40.0 million notes as of June 30, 2007 were $65.1 million and $40.0 million, respectively. See Note 10 of the Notes to Consolidated Financial Statements. We were in compliance with all covenants of our $135.0 million syndicated credit facility and our $40.0 million senior notes as of June 30, 2007. The Company received an amendment to the $135.0 million credit facility, retroactive to June 30, 2007, that amends the definitions of certain components of the financial covenant calculations to exclude the negative impact of non-cash restructuring and impairment charges.</w:t>
      </w:r>
    </w:p>
    <w:p>
      <w:pPr>
        <w:spacing w:after="0" w:line="180"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auto"/>
        </w:rPr>
        <w:t>As of June 30, 2007, the Company had $70 million of availability under the $135.0 million five year revolving credit facility. Our borrowings under the credit facility increased by $18.6 million related to the acquisition of Whirlaway. In addition, short-term borrowings increased $8.2 million due to short-term cash flow needs from increased receivable balances and increased cash balances at our European operations.</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Many of our locations use the Euro as their functional currency. In 2007, the fluctuation of the Euro against the U.S. Dollar favorably impacted revenue and income and increased the value of assets and liabilities, as the average Euro exchange rate was higher for the six months ended June 30, 2007 compared with the six months ended June 30, 2006 and the spot rate at June 30, 2007 was higher than the exchange rate at December 31, 2006. As of June 30, 2007, no currency hedges were in place. Changes in value of the U.S. Dollar and/or Euro against foreign currencies could impair our ability to compete with international competitors for foreign as well as domestic sales.</w:t>
      </w:r>
    </w:p>
    <w:p>
      <w:pPr>
        <w:spacing w:after="0" w:line="165"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Working capital, which consists principally of accounts receivable and inventories offset by accounts payable, was $58.1 million at June 30, 2007 as compared to $51.0 million at December 31, 2006. The ratio of current assets to current liabilities increased from 1.68:1 at December 31, 2006 to 1.70:1 at June 30, 2007. The increase in working capital was due primarily to the increase in the cash balance at our European operations ($1.1 million) and the increase in accounts receivable balances ($10.8 million) due to higher sales volume in the second quarter of 2007 compared to the fourth quarter of 2006. Partially offsetting these increases was a higher short-term debt balance ($8.2 million) offset by a lower accounts payable balance ($2.7 million)</w:t>
      </w:r>
    </w:p>
    <w:p>
      <w:pPr>
        <w:spacing w:after="0" w:line="151" w:lineRule="exact"/>
        <w:rPr>
          <w:sz w:val="20"/>
          <w:szCs w:val="20"/>
          <w:color w:val="auto"/>
        </w:rPr>
      </w:pPr>
    </w:p>
    <w:p>
      <w:pPr>
        <w:ind w:right="320"/>
        <w:spacing w:after="0" w:line="288" w:lineRule="auto"/>
        <w:rPr>
          <w:sz w:val="20"/>
          <w:szCs w:val="20"/>
          <w:color w:val="auto"/>
        </w:rPr>
      </w:pPr>
      <w:r>
        <w:rPr>
          <w:rFonts w:ascii="Arial" w:cs="Arial" w:eastAsia="Arial" w:hAnsi="Arial"/>
          <w:sz w:val="14"/>
          <w:szCs w:val="14"/>
          <w:color w:val="auto"/>
        </w:rPr>
        <w:t>Cash flow provided by operations was $4.0 million during the first six months of 2007, compared with cash flow provided by operations of $10.0 million during the first six months of 2006. The decrease in cash flow provided by operations is due to accounts receivable having increased in 2007 from higher sales volumes in the six months of 2007 and due to inventory having increased in 2007 from higher sales volumes and from building a level of customer service safety stock ahead of the European restructuring.</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314" w:right="239" w:bottom="1440" w:gutter="0" w:footer="0" w:header="0"/>
        </w:sectPr>
      </w:pPr>
    </w:p>
    <w:bookmarkStart w:id="26" w:name="page27"/>
    <w:bookmarkEnd w:id="26"/>
    <w:p>
      <w:pPr>
        <w:ind w:right="180"/>
        <w:spacing w:after="0" w:line="295" w:lineRule="auto"/>
        <w:rPr>
          <w:sz w:val="20"/>
          <w:szCs w:val="20"/>
          <w:color w:val="auto"/>
        </w:rPr>
      </w:pPr>
      <w:r>
        <w:rPr>
          <w:rFonts w:ascii="Arial" w:cs="Arial" w:eastAsia="Arial" w:hAnsi="Arial"/>
          <w:sz w:val="13"/>
          <w:szCs w:val="13"/>
          <w:color w:val="auto"/>
        </w:rPr>
        <w:t>Total assets and current assets increased approximately $4.6 million and $1.7 million, respectively, from the December 31, 2006 balance due to appreciation of the Euro relative to the U.S. Dollar. Factoring out the foreign exchange effects, accounts receivable was up due to higher sales volume in the second quarter of 2007 than the fourth quarter of 2006 ($10.0</w:t>
      </w:r>
    </w:p>
    <w:p>
      <w:pPr>
        <w:spacing w:after="0" w:line="1" w:lineRule="exact"/>
        <w:rPr>
          <w:sz w:val="20"/>
          <w:szCs w:val="20"/>
          <w:color w:val="auto"/>
        </w:rPr>
      </w:pPr>
    </w:p>
    <w:p>
      <w:pPr>
        <w:jc w:val="both"/>
        <w:ind w:right="60"/>
        <w:spacing w:after="0" w:line="254" w:lineRule="auto"/>
        <w:rPr>
          <w:sz w:val="20"/>
          <w:szCs w:val="20"/>
          <w:color w:val="auto"/>
        </w:rPr>
      </w:pPr>
      <w:r>
        <w:rPr>
          <w:rFonts w:ascii="Arial" w:cs="Arial" w:eastAsia="Arial" w:hAnsi="Arial"/>
          <w:sz w:val="15"/>
          <w:szCs w:val="15"/>
          <w:color w:val="auto"/>
        </w:rPr>
        <w:t>million). Inventories were higher ($1.2 million) due to higher sales volumes and planned stock increases ahead of the European Restructuring. Cash and cash equivalents were higher due to the positive cash flow at our European operations ($0.9 million). Factoring out foreign exchange effects, property, plant and equipment was lower due to certain fixed assets being impaired ($3.3 million) and from year to date capital spending having been lower than depreciation ($3.1 million).</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Total liabilities and current liabilities increased approximately $1.9 million and $1.3 million, respectively, from the December 31, 2006 balance due to appreciation of the Euro relative to the U.S. Dollar. Factoring out the foreign exchange effects, accounts payable was lower primarily due to the pay-off of certain payables from year end December 31, 2006 ($3.7 million). The short-term portion of long-term debt increased as we used our short-term swing line to finance the increase in working capital from year end. Finally, liabilities increased due to the accrual of taxes on first quarter income and from the adoption of FIN 48 ($0.7 million).</w:t>
      </w:r>
    </w:p>
    <w:p>
      <w:pPr>
        <w:spacing w:after="0" w:line="180"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auto"/>
        </w:rPr>
        <w:t>During the second quarter, we recorded approximately $13.3 million ($12.6 million after-tax) of non-cash impairment charges. These charges include the write-down to estimated fair market value of certain excess production equipment and the full impairment of goodwill at one location to levels supported by projected cash flows after the restructuring. These charges did not require the use of any of the company’s existing cash flows from operations or available credit lines.</w:t>
      </w:r>
    </w:p>
    <w:p>
      <w:pPr>
        <w:spacing w:after="0" w:line="179" w:lineRule="exact"/>
        <w:rPr>
          <w:sz w:val="20"/>
          <w:szCs w:val="20"/>
          <w:color w:val="auto"/>
        </w:rPr>
      </w:pPr>
    </w:p>
    <w:p>
      <w:pPr>
        <w:ind w:right="120"/>
        <w:spacing w:after="0" w:line="303" w:lineRule="auto"/>
        <w:rPr>
          <w:sz w:val="20"/>
          <w:szCs w:val="20"/>
          <w:color w:val="auto"/>
        </w:rPr>
      </w:pPr>
      <w:r>
        <w:rPr>
          <w:rFonts w:ascii="Arial" w:cs="Arial" w:eastAsia="Arial" w:hAnsi="Arial"/>
          <w:sz w:val="13"/>
          <w:szCs w:val="13"/>
          <w:color w:val="auto"/>
        </w:rPr>
        <w:t>During the third quarter of 2007, it is anticipated that we will take additional charges related to the European restructuring for adjustment of employment levels and legal costs related to the restructuring of European legal entities of approximately $0.5 million ($0.38 million after-tax). The second announced action taken to improve corporate financial performance is a cost reduction effort in the Precision Metal Components Segment to align production with forecasted lower levels of sales in certain end markets. This is anticipated to result in an adjustment in manufacturing employment levels and a realignment of sales and market personnel to support this business unit. Charges for this action in the third quarter are not expected to exceed $0.4 million ($0.26 million after-tax). These charges of approximately $0.9 million will require usage of cash and will be financed from existing cash flow from operations.</w:t>
      </w:r>
    </w:p>
    <w:p>
      <w:pPr>
        <w:spacing w:after="0" w:line="154" w:lineRule="exact"/>
        <w:rPr>
          <w:sz w:val="20"/>
          <w:szCs w:val="20"/>
          <w:color w:val="auto"/>
        </w:rPr>
      </w:pPr>
    </w:p>
    <w:p>
      <w:pPr>
        <w:ind w:right="60"/>
        <w:spacing w:after="0" w:line="308" w:lineRule="auto"/>
        <w:rPr>
          <w:sz w:val="20"/>
          <w:szCs w:val="20"/>
          <w:color w:val="auto"/>
        </w:rPr>
      </w:pPr>
      <w:r>
        <w:rPr>
          <w:rFonts w:ascii="Arial" w:cs="Arial" w:eastAsia="Arial" w:hAnsi="Arial"/>
          <w:sz w:val="13"/>
          <w:szCs w:val="13"/>
          <w:color w:val="auto"/>
        </w:rPr>
        <w:t>During 2007, we plan to spend approximately $19.0 million on capital expenditures of which $11.3 million is related primarily to equipment, process upgrades, and replacements and approximately $7.7 million is related to geographic expansion of our manufacturing base. Of these amounts, approximately $6.8 million has been spent through June 30, 2007. We intend to finance these activities with cash generated from operations and funds available under the credit facilities described above. We believe that funds generated from operations and borrowings from the credit facilities will be sufficient to finance our working capital needs, projected capital expenditure requirements and dividend payments through December 2007.</w:t>
      </w:r>
    </w:p>
    <w:p>
      <w:pPr>
        <w:spacing w:after="0" w:line="151"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During the first quarter of 2006, our Board of Directors authorized a stock repurchase program under which we are authorized to repurchase up to $10 million in our common stock during the subsequent 18 months in the open market or in private transactions, in accordance with applicable laws and regulations. During the three and six month periods ended June 30, 2007, the Company did not repurchase any shares under this plan or make any other repurchases of common stock.</w:t>
      </w:r>
    </w:p>
    <w:p>
      <w:pPr>
        <w:spacing w:after="0" w:line="178" w:lineRule="exact"/>
        <w:rPr>
          <w:sz w:val="20"/>
          <w:szCs w:val="20"/>
          <w:color w:val="auto"/>
        </w:rPr>
      </w:pPr>
    </w:p>
    <w:p>
      <w:pPr>
        <w:spacing w:after="0" w:line="226" w:lineRule="auto"/>
        <w:rPr>
          <w:sz w:val="20"/>
          <w:szCs w:val="20"/>
          <w:color w:val="auto"/>
        </w:rPr>
      </w:pPr>
      <w:r>
        <w:rPr>
          <w:rFonts w:ascii="Arial" w:cs="Arial" w:eastAsia="Arial" w:hAnsi="Arial"/>
          <w:sz w:val="15"/>
          <w:szCs w:val="15"/>
          <w:color w:val="auto"/>
        </w:rPr>
        <w:t>During the second quarter of 2007, a dividend declared on March 14, 2007 totaling $1.4 million was paid on April 6, 2007 and a dividend totaling $1.4 million declared on May 22</w:t>
      </w:r>
      <w:r>
        <w:rPr>
          <w:rFonts w:ascii="Arial" w:cs="Arial" w:eastAsia="Arial" w:hAnsi="Arial"/>
          <w:sz w:val="20"/>
          <w:szCs w:val="20"/>
          <w:color w:val="auto"/>
          <w:vertAlign w:val="superscript"/>
        </w:rPr>
        <w:t>nd</w:t>
      </w:r>
      <w:r>
        <w:rPr>
          <w:rFonts w:ascii="Arial" w:cs="Arial" w:eastAsia="Arial" w:hAnsi="Arial"/>
          <w:sz w:val="15"/>
          <w:szCs w:val="15"/>
          <w:color w:val="auto"/>
        </w:rPr>
        <w:t xml:space="preserve"> was paid on June 20, 2007.</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 and Fluctuation in Quarterly Results</w:t>
      </w: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Our net sales in the Metal Bearing Components Segment historically have been of a seasonal nature due to the fact that a significant portion of our sales are to European customers that significantly slow production during the month of August. With the addition of the Precision Metal Components Segment, the seasonality of the Company should become less pronounced as sales volumes within this segment are lower in the first and fourth quarters and higher in the second and third quarters.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00"/>
          </w:cols>
          <w:pgMar w:left="220" w:top="129" w:right="27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12" w:lineRule="exact"/>
        <w:rPr>
          <w:sz w:val="20"/>
          <w:szCs w:val="20"/>
          <w:color w:val="auto"/>
        </w:rPr>
      </w:pPr>
    </w:p>
    <w:p>
      <w:pPr>
        <w:ind w:right="120"/>
        <w:spacing w:after="0" w:line="303" w:lineRule="auto"/>
        <w:rPr>
          <w:sz w:val="20"/>
          <w:szCs w:val="20"/>
          <w:color w:val="auto"/>
        </w:rPr>
      </w:pPr>
      <w:r>
        <w:rPr>
          <w:rFonts w:ascii="Arial" w:cs="Arial" w:eastAsia="Arial" w:hAnsi="Arial"/>
          <w:sz w:val="13"/>
          <w:szCs w:val="13"/>
          <w:color w:val="auto"/>
        </w:rPr>
        <w:t>Our significant accounting policies, including the assumptions and judgments underlying them, are disclosed in our annual report on Form 10-K for the year ended December 31, 2006,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three and six month periods ended June 30, 2007 was adoption of FIN 48 related to accounting for uncertain tax positions. FIN 48 has had an immaterial effect on the financial statements for the three and six month periods ended June 30, 2007.</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Concentration</w:t>
      </w:r>
    </w:p>
    <w:p>
      <w:pPr>
        <w:spacing w:after="0" w:line="212" w:lineRule="exact"/>
        <w:rPr>
          <w:sz w:val="20"/>
          <w:szCs w:val="20"/>
          <w:color w:val="auto"/>
        </w:rPr>
      </w:pPr>
    </w:p>
    <w:p>
      <w:pPr>
        <w:jc w:val="both"/>
        <w:ind w:right="240"/>
        <w:spacing w:after="0" w:line="351" w:lineRule="auto"/>
        <w:rPr>
          <w:sz w:val="20"/>
          <w:szCs w:val="20"/>
          <w:color w:val="auto"/>
        </w:rPr>
      </w:pPr>
      <w:r>
        <w:rPr>
          <w:rFonts w:ascii="Arial" w:cs="Arial" w:eastAsia="Arial" w:hAnsi="Arial"/>
          <w:sz w:val="13"/>
          <w:szCs w:val="13"/>
          <w:color w:val="auto"/>
        </w:rPr>
        <w:t>In January 2007, we entered into a two-year supply agreement with Schaeffler Group (INA) effective as of July 1, 2006 that replaced the agreement that expired on June 30, 2006. In May 2007, a new multi-year contract was signed with SKF effective January 1, 2007 with the terms being retroactively applied back to January 1, 2007 and effective until December 31, 2009.</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European Restructuring</w:t>
      </w:r>
    </w:p>
    <w:p>
      <w:pPr>
        <w:spacing w:after="0" w:line="212" w:lineRule="exact"/>
        <w:rPr>
          <w:sz w:val="20"/>
          <w:szCs w:val="20"/>
          <w:color w:val="auto"/>
        </w:rPr>
      </w:pPr>
    </w:p>
    <w:p>
      <w:pPr>
        <w:ind w:right="180"/>
        <w:spacing w:after="0" w:line="309" w:lineRule="auto"/>
        <w:rPr>
          <w:sz w:val="20"/>
          <w:szCs w:val="20"/>
          <w:color w:val="auto"/>
        </w:rPr>
      </w:pPr>
      <w:r>
        <w:rPr>
          <w:rFonts w:ascii="Arial" w:cs="Arial" w:eastAsia="Arial" w:hAnsi="Arial"/>
          <w:sz w:val="14"/>
          <w:szCs w:val="14"/>
          <w:color w:val="auto"/>
        </w:rPr>
        <w:t>As previously mentioned in our annual report on Form 10-K for the year ended December 31, 2006, during 2006 we entered into negotiations with representatives of the Eltmann, Germany plant employees. The negotiations seek significant wage reductions and changes in work rules. These negotiations are still in process as of the date of this report.</w:t>
      </w:r>
    </w:p>
    <w:p>
      <w:pPr>
        <w:spacing w:after="0" w:line="146"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In the third quarter of 2007, we will begin to shift production to lower cost facilities, thereby incurring costs for the production shifts and further restructuring at the Eltmann facility, including actions leading to downsizing that location. In addition, in the second quarter of 2007, we incurred non-cash impairment charges related to the decision to begin shifting production away from Eltmann. See Note 3 of the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4"/>
          <w:szCs w:val="14"/>
          <w:b w:val="1"/>
          <w:bCs w:val="1"/>
          <w:color w:val="auto"/>
        </w:rPr>
        <w:t>Quantitative and Qualitative Disclosures About Market Risk</w:t>
      </w:r>
    </w:p>
    <w:p>
      <w:pPr>
        <w:spacing w:after="0" w:line="209" w:lineRule="exact"/>
        <w:rPr>
          <w:sz w:val="20"/>
          <w:szCs w:val="20"/>
          <w:color w:val="auto"/>
        </w:rPr>
      </w:pPr>
    </w:p>
    <w:p>
      <w:pPr>
        <w:ind w:right="60"/>
        <w:spacing w:after="0" w:line="303" w:lineRule="auto"/>
        <w:rPr>
          <w:sz w:val="20"/>
          <w:szCs w:val="20"/>
          <w:color w:val="auto"/>
        </w:rPr>
      </w:pPr>
      <w:r>
        <w:rPr>
          <w:rFonts w:ascii="Arial" w:cs="Arial" w:eastAsia="Arial" w:hAnsi="Arial"/>
          <w:sz w:val="13"/>
          <w:szCs w:val="13"/>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2007, we had $65.1 million outstanding under the domestic credit facilities and $40.0 million aggregate principal amount of senior notes outstanding. See Note 10 of the Notes to Consolidated Financial Statements. At June 30, 2007, a one-percent increase in the interest rate charged on our outstanding borrowings under our credit facilities, which are subject to variable interest rates, would result in interest expense increasing annually by approximately $0.6 million.</w:t>
      </w:r>
    </w:p>
    <w:p>
      <w:pPr>
        <w:spacing w:after="0" w:line="154" w:lineRule="exact"/>
        <w:rPr>
          <w:sz w:val="20"/>
          <w:szCs w:val="20"/>
          <w:color w:val="auto"/>
        </w:rPr>
      </w:pPr>
    </w:p>
    <w:p>
      <w:pPr>
        <w:ind w:right="400"/>
        <w:spacing w:after="0" w:line="272" w:lineRule="auto"/>
        <w:rPr>
          <w:sz w:val="20"/>
          <w:szCs w:val="20"/>
          <w:color w:val="auto"/>
        </w:rPr>
      </w:pPr>
      <w:r>
        <w:rPr>
          <w:rFonts w:ascii="Arial" w:cs="Arial" w:eastAsia="Arial" w:hAnsi="Arial"/>
          <w:sz w:val="15"/>
          <w:szCs w:val="15"/>
          <w:color w:val="auto"/>
        </w:rPr>
        <w:t>Translation of our operating cash flows denominated in foreign currencies is impacted by changes in foreign exchange rates. We did not hold a position in any foreign currency hedging instruments as of June 30, 2007.</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40"/>
          </w:cols>
          <w:pgMar w:left="22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4"/>
          <w:szCs w:val="14"/>
          <w:b w:val="1"/>
          <w:bCs w:val="1"/>
          <w:color w:val="auto"/>
        </w:rPr>
        <w:t>Controls and Procedures</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not effective as of June 30, 2007, the end of the period covered by this quarterly report on Form 10-Q/A due to the existence of the material weakness described below.</w:t>
      </w:r>
    </w:p>
    <w:p>
      <w:pPr>
        <w:spacing w:after="0" w:line="180"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A material weakness is a control deficiency, or combination of control deficiencies, in internal control over financial reporting, such that there is a reasonable possibility that a material misstatement of the annual or interim financial statements will not be prevented or detected on a timely basis. In connection with the restatement disclosed in Note 2 "Restatement of Form 10-Q filed August 9, 2007" to the Consolidated Financial Statements included in Part I Item 1 of this Form 10-Q/A, the following material weakness was identified in our internal control over financial reporting as of June 30, 2007. The Company did not maintain effective controls over the accounting for the impairment of customer intangible assets. Specifically, the Company did not maintain effective controls to ensure that when circumstances indicate the carrying value of intangible assets may not be recoverable, these assets are appropriately grouped at the lowest level for which identifiable cash flows are largely independent of the cash flows of other assets and liabilities in accordance with generally accepted accounting principles</w:t>
      </w:r>
      <w:r>
        <w:rPr>
          <w:rFonts w:ascii="Arial" w:cs="Arial" w:eastAsia="Arial" w:hAnsi="Arial"/>
          <w:sz w:val="14"/>
          <w:szCs w:val="14"/>
          <w:i w:val="1"/>
          <w:iCs w:val="1"/>
          <w:color w:val="auto"/>
        </w:rPr>
        <w:t>.</w:t>
      </w:r>
      <w:r>
        <w:rPr>
          <w:rFonts w:ascii="Arial" w:cs="Arial" w:eastAsia="Arial" w:hAnsi="Arial"/>
          <w:sz w:val="14"/>
          <w:szCs w:val="14"/>
          <w:color w:val="auto"/>
        </w:rPr>
        <w:t xml:space="preserve"> This control deficiency resulted in the restatement of the interim consolidated financial statements for the second and third quarters of 2007 affecting depreciation and amortization expense, restructuring and impairment charges and intangible assets and other assets. Further, this control deficiency could result in misstatements of the aforementioned accounts that would result in a material misstatement of the annual or interim consolidated financial statements that would not be prevented or detected.</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Remediation of Material Weakness</w:t>
      </w:r>
    </w:p>
    <w:p>
      <w:pPr>
        <w:spacing w:after="0" w:line="212"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 xml:space="preserve">Management has determined that, as of the date of this filing on Form 10-Q/A, the material weakness in our internal control over financial reporting with respect to accounting for the impairment of customer intangible assets has been remediated. Management's remediation efforts focused on applying a correct interpretation of SFAS 144, </w:t>
      </w:r>
      <w:r>
        <w:rPr>
          <w:rFonts w:ascii="Arial" w:cs="Arial" w:eastAsia="Arial" w:hAnsi="Arial"/>
          <w:sz w:val="15"/>
          <w:szCs w:val="15"/>
          <w:i w:val="1"/>
          <w:iCs w:val="1"/>
          <w:color w:val="auto"/>
        </w:rPr>
        <w:t>Accounting for the Impairment 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Disposal of Long-Lived Assets, </w:t>
      </w:r>
      <w:r>
        <w:rPr>
          <w:rFonts w:ascii="Arial" w:cs="Arial" w:eastAsia="Arial" w:hAnsi="Arial"/>
          <w:sz w:val="15"/>
          <w:szCs w:val="15"/>
          <w:color w:val="auto"/>
        </w:rPr>
        <w:t>in evaluating whether the Company's intangible assets are impaired.</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Control Over Financial Reporting</w:t>
      </w:r>
    </w:p>
    <w:p>
      <w:pPr>
        <w:spacing w:after="0" w:line="212" w:lineRule="exact"/>
        <w:rPr>
          <w:sz w:val="20"/>
          <w:szCs w:val="20"/>
          <w:color w:val="auto"/>
        </w:rPr>
      </w:pPr>
    </w:p>
    <w:p>
      <w:pPr>
        <w:ind w:right="420"/>
        <w:spacing w:after="0" w:line="272" w:lineRule="auto"/>
        <w:rPr>
          <w:sz w:val="20"/>
          <w:szCs w:val="20"/>
          <w:color w:val="auto"/>
        </w:rPr>
      </w:pPr>
      <w:r>
        <w:rPr>
          <w:rFonts w:ascii="Arial" w:cs="Arial" w:eastAsia="Arial" w:hAnsi="Arial"/>
          <w:sz w:val="15"/>
          <w:szCs w:val="15"/>
          <w:color w:val="auto"/>
        </w:rPr>
        <w:t>As described above under Controls and Procedures, there have been changes during this fiscal quarter in our internal control over financial reporting that have materially affected, or are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Other Information</w:t>
      </w:r>
    </w:p>
    <w:p>
      <w:pPr>
        <w:spacing w:after="0" w:line="208"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12"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179" w:lineRule="exact"/>
        <w:rPr>
          <w:sz w:val="20"/>
          <w:szCs w:val="20"/>
          <w:color w:val="auto"/>
        </w:rPr>
      </w:pPr>
    </w:p>
    <w:p>
      <w:pPr>
        <w:ind w:right="220"/>
        <w:spacing w:after="0" w:line="260" w:lineRule="auto"/>
        <w:rPr>
          <w:sz w:val="20"/>
          <w:szCs w:val="20"/>
          <w:color w:val="auto"/>
        </w:rPr>
      </w:pPr>
      <w:r>
        <w:rPr>
          <w:rFonts w:ascii="Arial" w:cs="Arial" w:eastAsia="Arial" w:hAnsi="Arial"/>
          <w:sz w:val="15"/>
          <w:szCs w:val="15"/>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do not know whether we have any liability related to this vendor’s actions or estimatable range for any potential liability.</w:t>
      </w:r>
    </w:p>
    <w:p>
      <w:pPr>
        <w:spacing w:after="0" w:line="179" w:lineRule="exact"/>
        <w:rPr>
          <w:sz w:val="20"/>
          <w:szCs w:val="20"/>
          <w:color w:val="auto"/>
        </w:rPr>
      </w:pPr>
    </w:p>
    <w:p>
      <w:pPr>
        <w:ind w:right="320"/>
        <w:spacing w:after="0" w:line="272" w:lineRule="auto"/>
        <w:rPr>
          <w:sz w:val="20"/>
          <w:szCs w:val="20"/>
          <w:color w:val="auto"/>
        </w:rPr>
      </w:pPr>
      <w:r>
        <w:rPr>
          <w:rFonts w:ascii="Arial" w:cs="Arial" w:eastAsia="Arial" w:hAnsi="Arial"/>
          <w:sz w:val="15"/>
          <w:szCs w:val="15"/>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18" w:right="219" w:bottom="1440" w:gutter="0" w:footer="0" w:header="0"/>
        </w:sectPr>
      </w:pPr>
    </w:p>
    <w:bookmarkStart w:id="29" w:name="page30"/>
    <w:bookmarkEnd w:id="29"/>
    <w:p>
      <w:pPr>
        <w:spacing w:after="0"/>
        <w:tabs>
          <w:tab w:leader="none" w:pos="76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There has not been any material changes in risk factors from those disclosed our annual report on Form 10-K for the year ended December 31, 2006 filed on March 16, 2007.</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ItemUnregistered Sales of Equity Securities and Use of Proceeds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2.</w:t>
      </w:r>
    </w:p>
    <w:p>
      <w:pPr>
        <w:spacing w:after="0" w:line="7" w:lineRule="exact"/>
        <w:rPr>
          <w:sz w:val="20"/>
          <w:szCs w:val="20"/>
          <w:color w:val="auto"/>
        </w:rPr>
      </w:pPr>
    </w:p>
    <w:p>
      <w:pPr>
        <w:ind w:left="820" w:hanging="203"/>
        <w:spacing w:after="0"/>
        <w:tabs>
          <w:tab w:leader="none" w:pos="82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6" w:lineRule="exact"/>
        <w:rPr>
          <w:rFonts w:ascii="Arial" w:cs="Arial" w:eastAsia="Arial" w:hAnsi="Arial"/>
          <w:sz w:val="15"/>
          <w:szCs w:val="15"/>
          <w:b w:val="1"/>
          <w:bCs w:val="1"/>
          <w:color w:val="auto"/>
        </w:rPr>
      </w:pPr>
    </w:p>
    <w:p>
      <w:pPr>
        <w:ind w:left="820" w:hanging="211"/>
        <w:spacing w:after="0"/>
        <w:tabs>
          <w:tab w:leader="none" w:pos="82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6" w:lineRule="exact"/>
        <w:rPr>
          <w:rFonts w:ascii="Arial" w:cs="Arial" w:eastAsia="Arial" w:hAnsi="Arial"/>
          <w:sz w:val="15"/>
          <w:szCs w:val="15"/>
          <w:b w:val="1"/>
          <w:bCs w:val="1"/>
          <w:color w:val="auto"/>
        </w:rPr>
      </w:pPr>
    </w:p>
    <w:p>
      <w:pPr>
        <w:ind w:left="820" w:hanging="194"/>
        <w:spacing w:after="0"/>
        <w:tabs>
          <w:tab w:leader="none" w:pos="820" w:val="left"/>
        </w:tabs>
        <w:numPr>
          <w:ilvl w:val="0"/>
          <w:numId w:val="4"/>
        </w:numPr>
        <w:rPr>
          <w:rFonts w:ascii="Arial" w:cs="Arial" w:eastAsia="Arial" w:hAnsi="Arial"/>
          <w:sz w:val="15"/>
          <w:szCs w:val="15"/>
          <w:b w:val="1"/>
          <w:bCs w:val="1"/>
          <w:color w:val="auto"/>
        </w:rPr>
      </w:pPr>
      <w:r>
        <w:rPr>
          <w:rFonts w:ascii="Arial" w:cs="Arial" w:eastAsia="Arial" w:hAnsi="Arial"/>
          <w:sz w:val="15"/>
          <w:szCs w:val="15"/>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4"/>
          <w:szCs w:val="14"/>
          <w:b w:val="1"/>
          <w:bCs w:val="1"/>
          <w:color w:val="auto"/>
        </w:rPr>
        <w:t>Defaults upon Senior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4"/>
          <w:szCs w:val="14"/>
          <w:b w:val="1"/>
          <w:bCs w:val="1"/>
          <w:color w:val="auto"/>
        </w:rPr>
        <w:t>Submission of Matters to a Vote of Security Holders</w:t>
      </w:r>
    </w:p>
    <w:p>
      <w:pPr>
        <w:spacing w:after="0" w:line="209" w:lineRule="exact"/>
        <w:rPr>
          <w:sz w:val="20"/>
          <w:szCs w:val="20"/>
          <w:color w:val="auto"/>
        </w:rPr>
      </w:pPr>
    </w:p>
    <w:p>
      <w:pPr>
        <w:ind w:right="660"/>
        <w:spacing w:after="0" w:line="260" w:lineRule="auto"/>
        <w:rPr>
          <w:sz w:val="20"/>
          <w:szCs w:val="20"/>
          <w:color w:val="auto"/>
        </w:rPr>
      </w:pPr>
      <w:r>
        <w:rPr>
          <w:rFonts w:ascii="Arial" w:cs="Arial" w:eastAsia="Arial" w:hAnsi="Arial"/>
          <w:sz w:val="15"/>
          <w:szCs w:val="15"/>
          <w:color w:val="auto"/>
        </w:rPr>
        <w:t>The Company’s Annual Meeting of Stockholders was held on May 17, 2007. As of March 30, 2007, the record date for the meeting, there were 16,848,082 shares of common stock outstanding and entitled to vote at the meeting. There were present at said meeting, in person or by proxy, stockholders holding 15,738,678 shares of common stock, constituting approximately 93% of the shares of common stock outstanding and entitled to vote, which constituted a quorum.</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first matter voted upon at the meeting was the election of Michael E. Werner and Richard G. Fanelli as Class III Directors to serve for three-year terms each. The vote was 14,813,527 and 15,213,920 For and 925,151 and 524,758 Withheld for Messrs. Werner and Fanelli, respectively.</w:t>
      </w:r>
    </w:p>
    <w:p>
      <w:pPr>
        <w:spacing w:after="0" w:line="169" w:lineRule="exact"/>
        <w:rPr>
          <w:sz w:val="20"/>
          <w:szCs w:val="20"/>
          <w:color w:val="auto"/>
        </w:rPr>
      </w:pPr>
    </w:p>
    <w:p>
      <w:pPr>
        <w:ind w:right="120"/>
        <w:spacing w:after="0" w:line="309" w:lineRule="auto"/>
        <w:rPr>
          <w:sz w:val="20"/>
          <w:szCs w:val="20"/>
          <w:color w:val="auto"/>
        </w:rPr>
      </w:pPr>
      <w:r>
        <w:rPr>
          <w:rFonts w:ascii="Arial" w:cs="Arial" w:eastAsia="Arial" w:hAnsi="Arial"/>
          <w:sz w:val="14"/>
          <w:szCs w:val="14"/>
          <w:color w:val="auto"/>
        </w:rPr>
        <w:t>The nominees were elected to serve until the 2010 Annual Meeting of Stockholders and until their successors are duly elected and qualified. In addition to the foregoing directors, G. Ronald Morris and Steven T. Warshaw are serving terms that will expire in 2008, and Roderick R. Baty and Robert M. Aiken, Jr. are serving terms that will expire in 2009.</w:t>
      </w:r>
    </w:p>
    <w:p>
      <w:pPr>
        <w:spacing w:after="0" w:line="146"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color w:val="auto"/>
        </w:rPr>
        <w:t>The second matter voted upon at the meeting was the ratification of PricewaterhouseCoopers LLP as the Company’s registered independent public accounting firm for the fiscal year ending December 31, 2007. The vote was 15,173,765 For, 540,305 Against and 24,607 abstentions.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Exhibits</w:t>
      </w:r>
    </w:p>
    <w:p>
      <w:pPr>
        <w:spacing w:after="0" w:line="204" w:lineRule="exact"/>
        <w:rPr>
          <w:sz w:val="20"/>
          <w:szCs w:val="20"/>
          <w:color w:val="auto"/>
        </w:rPr>
      </w:pPr>
    </w:p>
    <w:p>
      <w:pPr>
        <w:ind w:left="1080" w:right="240" w:hanging="447"/>
        <w:spacing w:after="0" w:line="260" w:lineRule="auto"/>
        <w:tabs>
          <w:tab w:leader="none" w:pos="1060" w:val="left"/>
        </w:tabs>
        <w:rPr>
          <w:sz w:val="20"/>
          <w:szCs w:val="20"/>
          <w:color w:val="auto"/>
        </w:rPr>
      </w:pPr>
      <w:r>
        <w:rPr>
          <w:rFonts w:ascii="Arial" w:cs="Arial" w:eastAsia="Arial" w:hAnsi="Arial"/>
          <w:sz w:val="18"/>
          <w:szCs w:val="18"/>
          <w:color w:val="auto"/>
        </w:rPr>
        <w:t>*10.1</w:t>
        <w:tab/>
        <w:t>Third Amendment Agreement dated as of July 31, 2007, among NN, Inc., Lenders as defined in the Credit Agreement, AmSouth Bank as Swing Line Lender, and Key Bank National Association, as Agent.</w:t>
      </w:r>
    </w:p>
    <w:p>
      <w:pPr>
        <w:spacing w:after="0" w:line="156"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Sarbanes-Oxley Act.</w:t>
      </w:r>
    </w:p>
    <w:p>
      <w:pPr>
        <w:spacing w:after="0" w:line="196"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Sarbanes-Oxley Act.</w:t>
      </w:r>
    </w:p>
    <w:p>
      <w:pPr>
        <w:spacing w:after="0" w:line="196"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196"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115570</wp:posOffset>
            </wp:positionV>
            <wp:extent cx="102425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4255" cy="6985"/>
                    </a:xfrm>
                    <a:prstGeom prst="rect">
                      <a:avLst/>
                    </a:prstGeom>
                    <a:noFill/>
                  </pic:spPr>
                </pic:pic>
              </a:graphicData>
            </a:graphic>
          </wp:anchor>
        </w:drawing>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*previously filed.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1460"/>
          </w:cols>
          <w:pgMar w:left="220" w:top="327" w:right="219" w:bottom="1440" w:gutter="0" w:footer="0" w:header="0"/>
        </w:sectPr>
      </w:pPr>
    </w:p>
    <w:bookmarkStart w:id="30" w:name="page31"/>
    <w:bookmarkEnd w:id="30"/>
    <w:p>
      <w:pPr>
        <w:ind w:left="5260"/>
        <w:spacing w:after="0"/>
        <w:rPr>
          <w:sz w:val="20"/>
          <w:szCs w:val="20"/>
          <w:color w:val="auto"/>
        </w:rPr>
      </w:pPr>
      <w:r>
        <w:rPr>
          <w:rFonts w:ascii="Arial" w:cs="Arial" w:eastAsia="Arial" w:hAnsi="Arial"/>
          <w:sz w:val="15"/>
          <w:szCs w:val="15"/>
          <w:b w:val="1"/>
          <w:bCs w:val="1"/>
          <w:color w:val="auto"/>
        </w:rPr>
        <w:t>SIGNATURES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NN, Inc.</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(Registrant)</w:t>
      </w:r>
    </w:p>
    <w:p>
      <w:pPr>
        <w:spacing w:after="0" w:line="176" w:lineRule="exact"/>
        <w:rPr>
          <w:sz w:val="20"/>
          <w:szCs w:val="20"/>
          <w:color w:val="auto"/>
        </w:rPr>
      </w:pPr>
    </w:p>
    <w:p>
      <w:pPr>
        <w:spacing w:after="0"/>
        <w:tabs>
          <w:tab w:leader="none" w:pos="5720" w:val="left"/>
          <w:tab w:leader="none" w:pos="6080" w:val="left"/>
        </w:tabs>
        <w:rPr>
          <w:sz w:val="20"/>
          <w:szCs w:val="20"/>
          <w:color w:val="auto"/>
        </w:rPr>
      </w:pPr>
      <w:r>
        <w:rPr>
          <w:rFonts w:ascii="Arial" w:cs="Arial" w:eastAsia="Arial" w:hAnsi="Arial"/>
          <w:sz w:val="15"/>
          <w:szCs w:val="15"/>
          <w:color w:val="auto"/>
        </w:rPr>
        <w:t>Date: February 27, 2008</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18415</wp:posOffset>
            </wp:positionV>
            <wp:extent cx="253936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39365" cy="13970"/>
                    </a:xfrm>
                    <a:prstGeom prst="rect">
                      <a:avLst/>
                    </a:prstGeom>
                    <a:noFill/>
                  </pic:spPr>
                </pic:pic>
              </a:graphicData>
            </a:graphic>
          </wp:anchor>
        </w:drawing>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Roderick R. Baty</w:t>
      </w:r>
    </w:p>
    <w:p>
      <w:pPr>
        <w:spacing w:after="0" w:line="17"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Chairman, President and</w:t>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Chief Executive Officer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(Duly Authorized Officer)</w:t>
      </w:r>
    </w:p>
    <w:p>
      <w:pPr>
        <w:spacing w:after="0" w:line="384" w:lineRule="exact"/>
        <w:rPr>
          <w:sz w:val="20"/>
          <w:szCs w:val="20"/>
          <w:color w:val="auto"/>
        </w:rPr>
      </w:pPr>
    </w:p>
    <w:p>
      <w:pPr>
        <w:spacing w:after="0"/>
        <w:tabs>
          <w:tab w:leader="none" w:pos="5720" w:val="left"/>
          <w:tab w:leader="none" w:pos="6080" w:val="left"/>
        </w:tabs>
        <w:rPr>
          <w:sz w:val="20"/>
          <w:szCs w:val="20"/>
          <w:color w:val="auto"/>
        </w:rPr>
      </w:pPr>
      <w:r>
        <w:rPr>
          <w:rFonts w:ascii="Arial" w:cs="Arial" w:eastAsia="Arial" w:hAnsi="Arial"/>
          <w:sz w:val="15"/>
          <w:szCs w:val="15"/>
          <w:color w:val="auto"/>
        </w:rPr>
        <w:t>Date: February 27, 2008</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18415</wp:posOffset>
            </wp:positionV>
            <wp:extent cx="253936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39365" cy="13970"/>
                    </a:xfrm>
                    <a:prstGeom prst="rect">
                      <a:avLst/>
                    </a:prstGeom>
                    <a:noFill/>
                  </pic:spPr>
                </pic:pic>
              </a:graphicData>
            </a:graphic>
          </wp:anchor>
        </w:drawing>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James H. Dorton</w:t>
      </w:r>
    </w:p>
    <w:p>
      <w:pPr>
        <w:spacing w:after="0" w:line="17"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Chief Financial Officer</w:t>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(Principal Financial Officer)</w:t>
      </w:r>
    </w:p>
    <w:p>
      <w:pPr>
        <w:spacing w:after="0" w:line="19"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367" w:lineRule="exact"/>
        <w:rPr>
          <w:sz w:val="20"/>
          <w:szCs w:val="20"/>
          <w:color w:val="auto"/>
        </w:rPr>
      </w:pPr>
    </w:p>
    <w:p>
      <w:pPr>
        <w:spacing w:after="0"/>
        <w:tabs>
          <w:tab w:leader="none" w:pos="5720" w:val="left"/>
          <w:tab w:leader="none" w:pos="6080" w:val="left"/>
        </w:tabs>
        <w:rPr>
          <w:sz w:val="20"/>
          <w:szCs w:val="20"/>
          <w:color w:val="auto"/>
        </w:rPr>
      </w:pPr>
      <w:r>
        <w:rPr>
          <w:rFonts w:ascii="Arial" w:cs="Arial" w:eastAsia="Arial" w:hAnsi="Arial"/>
          <w:sz w:val="15"/>
          <w:szCs w:val="15"/>
          <w:color w:val="auto"/>
        </w:rPr>
        <w:t>Date: February 27, 2008</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18415</wp:posOffset>
            </wp:positionV>
            <wp:extent cx="253936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9365" cy="13970"/>
                    </a:xfrm>
                    <a:prstGeom prst="rect">
                      <a:avLst/>
                    </a:prstGeom>
                    <a:noFill/>
                  </pic:spPr>
                </pic:pic>
              </a:graphicData>
            </a:graphic>
          </wp:anchor>
        </w:drawing>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William C. Kelly, Jr.</w:t>
      </w:r>
    </w:p>
    <w:p>
      <w:pPr>
        <w:spacing w:after="0" w:line="17"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Vice President and</w:t>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Chief Administrative Officer</w:t>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5"/>
          <w:szCs w:val="15"/>
          <w:color w:val="auto"/>
        </w:rPr>
        <w:t>(Duly Authorized Officer)</w:t>
      </w:r>
    </w:p>
    <w:p>
      <w:pPr>
        <w:spacing w:after="0" w:line="200" w:lineRule="exact"/>
        <w:rPr>
          <w:sz w:val="20"/>
          <w:szCs w:val="20"/>
          <w:color w:val="auto"/>
        </w:rPr>
      </w:pPr>
    </w:p>
    <w:p>
      <w:pPr>
        <w:spacing w:after="0" w:line="379"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7583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830" cy="19685"/>
                    </a:xfrm>
                    <a:prstGeom prst="rect">
                      <a:avLst/>
                    </a:prstGeom>
                    <a:noFill/>
                  </pic:spPr>
                </pic:pic>
              </a:graphicData>
            </a:graphic>
          </wp:anchor>
        </w:drawing>
      </w:r>
    </w:p>
    <w:p>
      <w:pPr>
        <w:sectPr>
          <w:pgSz w:w="11900" w:h="16838" w:orient="portrait"/>
          <w:cols w:equalWidth="0" w:num="1">
            <w:col w:w="10920"/>
          </w:cols>
          <w:pgMar w:left="220" w:top="450" w:right="75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SECTION 302 OF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I, Roderick R. Baty, certify that:</w:t>
      </w:r>
    </w:p>
    <w:p>
      <w:pPr>
        <w:spacing w:after="0" w:line="231" w:lineRule="exact"/>
        <w:rPr>
          <w:sz w:val="20"/>
          <w:szCs w:val="20"/>
          <w:color w:val="auto"/>
        </w:rPr>
      </w:pPr>
    </w:p>
    <w:p>
      <w:pPr>
        <w:ind w:left="560" w:hanging="550"/>
        <w:spacing w:after="0"/>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NN, Inc.;</w:t>
      </w:r>
    </w:p>
    <w:p>
      <w:pPr>
        <w:spacing w:after="0" w:line="230" w:lineRule="exact"/>
        <w:rPr>
          <w:rFonts w:ascii="Arial" w:cs="Arial" w:eastAsia="Arial" w:hAnsi="Arial"/>
          <w:sz w:val="15"/>
          <w:szCs w:val="15"/>
          <w:color w:val="auto"/>
        </w:rPr>
      </w:pPr>
    </w:p>
    <w:p>
      <w:pPr>
        <w:ind w:right="300" w:firstLine="10"/>
        <w:spacing w:after="0" w:line="27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5"/>
          <w:szCs w:val="15"/>
          <w:color w:val="auto"/>
        </w:rPr>
      </w:pPr>
    </w:p>
    <w:p>
      <w:pPr>
        <w:ind w:right="380" w:firstLine="10"/>
        <w:spacing w:after="0" w:line="27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5"/>
          <w:szCs w:val="15"/>
          <w:color w:val="auto"/>
        </w:rPr>
      </w:pPr>
    </w:p>
    <w:p>
      <w:pPr>
        <w:ind w:left="560" w:hanging="550"/>
        <w:spacing w:after="0"/>
        <w:tabs>
          <w:tab w:leader="none" w:pos="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15d-15(e)) and internal control over financial reporting (as defined in Exchange Act Rules 13a-15(f) and 15d-15(f)) for the registrant and have:</w:t>
      </w:r>
    </w:p>
    <w:p>
      <w:pPr>
        <w:spacing w:after="0" w:line="198" w:lineRule="exact"/>
        <w:rPr>
          <w:rFonts w:ascii="Arial" w:cs="Arial" w:eastAsia="Arial" w:hAnsi="Arial"/>
          <w:sz w:val="13"/>
          <w:szCs w:val="13"/>
          <w:color w:val="auto"/>
        </w:rPr>
      </w:pPr>
    </w:p>
    <w:p>
      <w:pPr>
        <w:jc w:val="both"/>
        <w:ind w:left="1620" w:hanging="238"/>
        <w:spacing w:after="0" w:line="260" w:lineRule="auto"/>
        <w:tabs>
          <w:tab w:leader="none" w:pos="1620" w:val="left"/>
        </w:tabs>
        <w:numPr>
          <w:ilvl w:val="1"/>
          <w:numId w:val="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620" w:hanging="246"/>
        <w:spacing w:after="0" w:line="260" w:lineRule="auto"/>
        <w:tabs>
          <w:tab w:leader="none" w:pos="1620" w:val="left"/>
        </w:tabs>
        <w:numPr>
          <w:ilvl w:val="1"/>
          <w:numId w:val="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620" w:right="20" w:hanging="238"/>
        <w:spacing w:after="0" w:line="272" w:lineRule="auto"/>
        <w:tabs>
          <w:tab w:leader="none" w:pos="1620"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620" w:hanging="246"/>
        <w:spacing w:after="0" w:line="260" w:lineRule="auto"/>
        <w:tabs>
          <w:tab w:leader="none" w:pos="1620" w:val="left"/>
        </w:tabs>
        <w:numPr>
          <w:ilvl w:val="1"/>
          <w:numId w:val="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5"/>
          <w:szCs w:val="15"/>
          <w:color w:val="auto"/>
        </w:rPr>
      </w:pPr>
    </w:p>
    <w:p>
      <w:pPr>
        <w:ind w:right="80" w:firstLine="10"/>
        <w:spacing w:after="0" w:line="272" w:lineRule="auto"/>
        <w:tabs>
          <w:tab w:leader="none" w:pos="5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1620" w:hanging="238"/>
        <w:spacing w:after="0" w:line="272" w:lineRule="auto"/>
        <w:tabs>
          <w:tab w:leader="none" w:pos="16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620" w:hanging="246"/>
        <w:spacing w:after="0" w:line="272" w:lineRule="auto"/>
        <w:tabs>
          <w:tab w:leader="none" w:pos="16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5"/>
                <w:szCs w:val="15"/>
                <w:color w:val="auto"/>
              </w:rPr>
              <w:t>Date:</w:t>
            </w:r>
          </w:p>
        </w:tc>
        <w:tc>
          <w:tcPr>
            <w:tcW w:w="5380" w:type="dxa"/>
            <w:vAlign w:val="bottom"/>
          </w:tcPr>
          <w:p>
            <w:pPr>
              <w:ind w:left="200"/>
              <w:spacing w:after="0"/>
              <w:rPr>
                <w:sz w:val="20"/>
                <w:szCs w:val="20"/>
                <w:color w:val="auto"/>
              </w:rPr>
            </w:pPr>
            <w:r>
              <w:rPr>
                <w:rFonts w:ascii="Arial" w:cs="Arial" w:eastAsia="Arial" w:hAnsi="Arial"/>
                <w:sz w:val="15"/>
                <w:szCs w:val="15"/>
                <w:color w:val="auto"/>
              </w:rPr>
              <w:t>February 27, 2008</w:t>
            </w:r>
          </w:p>
        </w:tc>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Roderick R. Baty</w:t>
            </w:r>
          </w:p>
        </w:tc>
        <w:tc>
          <w:tcPr>
            <w:tcW w:w="360" w:type="dxa"/>
            <w:vAlign w:val="bottom"/>
          </w:tcPr>
          <w:p>
            <w:pPr>
              <w:spacing w:after="0"/>
              <w:rPr>
                <w:sz w:val="15"/>
                <w:szCs w:val="15"/>
                <w:color w:val="auto"/>
              </w:rPr>
            </w:pPr>
          </w:p>
        </w:tc>
      </w:tr>
      <w:tr>
        <w:trPr>
          <w:trHeight w:val="182"/>
        </w:trPr>
        <w:tc>
          <w:tcPr>
            <w:tcW w:w="5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740" w:type="dxa"/>
            <w:vAlign w:val="bottom"/>
            <w:gridSpan w:val="2"/>
          </w:tcPr>
          <w:p>
            <w:pPr>
              <w:ind w:left="800"/>
              <w:spacing w:after="0"/>
              <w:rPr>
                <w:sz w:val="20"/>
                <w:szCs w:val="20"/>
                <w:color w:val="auto"/>
              </w:rPr>
            </w:pPr>
            <w:r>
              <w:rPr>
                <w:rFonts w:ascii="Arial" w:cs="Arial" w:eastAsia="Arial" w:hAnsi="Arial"/>
                <w:sz w:val="15"/>
                <w:szCs w:val="15"/>
                <w:color w:val="auto"/>
              </w:rPr>
              <w:t>Roderick R. Baty</w:t>
            </w:r>
          </w:p>
        </w:tc>
      </w:tr>
      <w:tr>
        <w:trPr>
          <w:trHeight w:val="189"/>
        </w:trPr>
        <w:tc>
          <w:tcPr>
            <w:tcW w:w="5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740" w:type="dxa"/>
            <w:vAlign w:val="bottom"/>
            <w:gridSpan w:val="2"/>
          </w:tcPr>
          <w:p>
            <w:pPr>
              <w:ind w:left="800"/>
              <w:spacing w:after="0"/>
              <w:rPr>
                <w:sz w:val="20"/>
                <w:szCs w:val="20"/>
                <w:color w:val="auto"/>
              </w:rPr>
            </w:pPr>
            <w:r>
              <w:rPr>
                <w:rFonts w:ascii="Arial" w:cs="Arial" w:eastAsia="Arial" w:hAnsi="Arial"/>
                <w:sz w:val="15"/>
                <w:szCs w:val="15"/>
                <w:color w:val="auto"/>
                <w:w w:val="90"/>
              </w:rPr>
              <w:t>Chairman, President and Chief Executive Officer</w:t>
            </w:r>
          </w:p>
        </w:tc>
      </w:tr>
    </w:tbl>
    <w:p>
      <w:pPr>
        <w:sectPr>
          <w:pgSz w:w="11900" w:h="16838" w:orient="portrait"/>
          <w:cols w:equalWidth="0" w:num="1">
            <w:col w:w="11460"/>
          </w:cols>
          <w:pgMar w:left="220" w:top="318" w:right="21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SECTION 302 OF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I, James H. Dorton, certify that:</w:t>
      </w:r>
    </w:p>
    <w:p>
      <w:pPr>
        <w:spacing w:after="0" w:line="231" w:lineRule="exact"/>
        <w:rPr>
          <w:sz w:val="20"/>
          <w:szCs w:val="20"/>
          <w:color w:val="auto"/>
        </w:rPr>
      </w:pPr>
    </w:p>
    <w:p>
      <w:pPr>
        <w:ind w:left="1120" w:hanging="558"/>
        <w:spacing w:after="0"/>
        <w:tabs>
          <w:tab w:leader="none" w:pos="1120" w:val="left"/>
        </w:tabs>
        <w:numPr>
          <w:ilvl w:val="0"/>
          <w:numId w:val="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NN, Inc.;</w:t>
      </w:r>
    </w:p>
    <w:p>
      <w:pPr>
        <w:spacing w:after="0" w:line="230" w:lineRule="exact"/>
        <w:rPr>
          <w:rFonts w:ascii="Arial" w:cs="Arial" w:eastAsia="Arial" w:hAnsi="Arial"/>
          <w:sz w:val="15"/>
          <w:szCs w:val="15"/>
          <w:color w:val="auto"/>
        </w:rPr>
      </w:pPr>
    </w:p>
    <w:p>
      <w:pPr>
        <w:ind w:right="120" w:firstLine="562"/>
        <w:spacing w:after="0" w:line="272" w:lineRule="auto"/>
        <w:tabs>
          <w:tab w:leader="none" w:pos="1113"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5"/>
          <w:szCs w:val="15"/>
          <w:color w:val="auto"/>
        </w:rPr>
      </w:pPr>
    </w:p>
    <w:p>
      <w:pPr>
        <w:ind w:right="420" w:firstLine="562"/>
        <w:spacing w:after="0" w:line="272" w:lineRule="auto"/>
        <w:tabs>
          <w:tab w:leader="none" w:pos="1113"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5"/>
          <w:szCs w:val="15"/>
          <w:color w:val="auto"/>
        </w:rPr>
      </w:pPr>
    </w:p>
    <w:p>
      <w:pPr>
        <w:ind w:right="240" w:firstLine="562"/>
        <w:spacing w:after="0" w:line="272" w:lineRule="auto"/>
        <w:tabs>
          <w:tab w:leader="none" w:pos="811"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5"/>
          <w:szCs w:val="15"/>
          <w:color w:val="auto"/>
        </w:rPr>
      </w:pPr>
    </w:p>
    <w:p>
      <w:pPr>
        <w:jc w:val="both"/>
        <w:ind w:left="1620" w:hanging="238"/>
        <w:spacing w:after="0" w:line="260" w:lineRule="auto"/>
        <w:tabs>
          <w:tab w:leader="none" w:pos="1620" w:val="left"/>
        </w:tabs>
        <w:numPr>
          <w:ilvl w:val="1"/>
          <w:numId w:val="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620" w:hanging="246"/>
        <w:spacing w:after="0" w:line="260" w:lineRule="auto"/>
        <w:tabs>
          <w:tab w:leader="none" w:pos="1620" w:val="left"/>
        </w:tabs>
        <w:numPr>
          <w:ilvl w:val="1"/>
          <w:numId w:val="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620" w:hanging="238"/>
        <w:spacing w:after="0" w:line="272" w:lineRule="auto"/>
        <w:tabs>
          <w:tab w:leader="none" w:pos="162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jc w:val="both"/>
        <w:ind w:left="1620" w:hanging="246"/>
        <w:spacing w:after="0" w:line="260" w:lineRule="auto"/>
        <w:tabs>
          <w:tab w:leader="none" w:pos="1620" w:val="left"/>
        </w:tabs>
        <w:numPr>
          <w:ilvl w:val="1"/>
          <w:numId w:val="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right="200" w:firstLine="562"/>
        <w:spacing w:after="0" w:line="272" w:lineRule="auto"/>
        <w:tabs>
          <w:tab w:leader="none" w:pos="774"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1700" w:hanging="239"/>
        <w:spacing w:after="0" w:line="272" w:lineRule="auto"/>
        <w:tabs>
          <w:tab w:leader="none" w:pos="1700" w:val="left"/>
        </w:tabs>
        <w:numPr>
          <w:ilvl w:val="3"/>
          <w:numId w:val="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1700" w:hanging="259"/>
        <w:spacing w:after="0" w:line="272" w:lineRule="auto"/>
        <w:tabs>
          <w:tab w:leader="none" w:pos="1700" w:val="left"/>
        </w:tabs>
        <w:numPr>
          <w:ilvl w:val="2"/>
          <w:numId w:val="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jc w:val="right"/>
              <w:ind w:right="4818"/>
              <w:spacing w:after="0"/>
              <w:rPr>
                <w:sz w:val="20"/>
                <w:szCs w:val="20"/>
                <w:color w:val="auto"/>
              </w:rPr>
            </w:pPr>
            <w:r>
              <w:rPr>
                <w:rFonts w:ascii="Arial" w:cs="Arial" w:eastAsia="Arial" w:hAnsi="Arial"/>
                <w:sz w:val="18"/>
                <w:szCs w:val="18"/>
                <w:color w:val="auto"/>
                <w:w w:val="91"/>
              </w:rPr>
              <w:t>Date: February 27, 2008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/s/James H. Dorton</w:t>
            </w:r>
          </w:p>
        </w:tc>
      </w:tr>
      <w:tr>
        <w:trPr>
          <w:trHeight w:val="224"/>
        </w:trPr>
        <w:tc>
          <w:tcPr>
            <w:tcW w:w="6700" w:type="dxa"/>
            <w:vAlign w:val="bottom"/>
          </w:tcPr>
          <w:p>
            <w:pPr>
              <w:spacing w:after="0"/>
              <w:rPr>
                <w:sz w:val="19"/>
                <w:szCs w:val="19"/>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James H. Dorton</w:t>
            </w:r>
          </w:p>
        </w:tc>
      </w:tr>
      <w:tr>
        <w:trPr>
          <w:trHeight w:val="192"/>
        </w:trPr>
        <w:tc>
          <w:tcPr>
            <w:tcW w:w="6700" w:type="dxa"/>
            <w:vAlign w:val="bottom"/>
          </w:tcPr>
          <w:p>
            <w:pPr>
              <w:jc w:val="right"/>
              <w:ind w:right="278"/>
              <w:spacing w:after="0"/>
              <w:rPr>
                <w:sz w:val="20"/>
                <w:szCs w:val="20"/>
                <w:color w:val="auto"/>
              </w:rPr>
            </w:pPr>
            <w:r>
              <w:rPr>
                <w:rFonts w:ascii="Arial" w:cs="Arial" w:eastAsia="Arial" w:hAnsi="Arial"/>
                <w:sz w:val="15"/>
                <w:szCs w:val="15"/>
                <w:color w:val="auto"/>
              </w:rPr>
              <w:t>60;</w:t>
            </w:r>
          </w:p>
        </w:tc>
        <w:tc>
          <w:tcPr>
            <w:tcW w:w="4560" w:type="dxa"/>
            <w:vAlign w:val="bottom"/>
          </w:tcPr>
          <w:p>
            <w:pPr>
              <w:spacing w:after="0"/>
              <w:rPr>
                <w:sz w:val="20"/>
                <w:szCs w:val="20"/>
                <w:color w:val="auto"/>
              </w:rPr>
            </w:pPr>
            <w:r>
              <w:rPr>
                <w:rFonts w:ascii="Arial" w:cs="Arial" w:eastAsia="Arial" w:hAnsi="Arial"/>
                <w:sz w:val="15"/>
                <w:szCs w:val="15"/>
                <w:color w:val="auto"/>
              </w:rPr>
              <w:t>Vice President – Corporate Development and Chief Financial Officer</w:t>
            </w:r>
          </w:p>
        </w:tc>
      </w:tr>
    </w:tbl>
    <w:p>
      <w:pPr>
        <w:sectPr>
          <w:pgSz w:w="11900" w:h="16838" w:orient="portrait"/>
          <w:cols w:equalWidth="0" w:num="1">
            <w:col w:w="11460"/>
          </w:cols>
          <w:pgMar w:left="220" w:top="326"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 PURSUANT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SECTION 906 OF THE SARBANES-OXLEY ACT OF 2002</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connection with the Quarterly Report of NN, Inc. (the “Company”) on Form 10-Q for the interim period ended June 30,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7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February 27, 2008</w:t>
      </w:r>
      <w:r>
        <w:rPr>
          <w:sz w:val="20"/>
          <w:szCs w:val="20"/>
          <w:color w:val="auto"/>
        </w:rPr>
        <w:tab/>
      </w:r>
      <w:r>
        <w:rPr>
          <w:rFonts w:ascii="Arial" w:cs="Arial" w:eastAsia="Arial" w:hAnsi="Arial"/>
          <w:sz w:val="16"/>
          <w:szCs w:val="16"/>
          <w:color w:val="auto"/>
        </w:rPr>
        <w:t>/s/Roderick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-12065</wp:posOffset>
            </wp:positionV>
            <wp:extent cx="148399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83995" cy="698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5"/>
          <w:szCs w:val="15"/>
          <w:color w:val="auto"/>
        </w:rPr>
        <w:t>Roderick R. Baty</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Chairman, Presiden t and Chief</w:t>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Executive Officer</w:t>
      </w:r>
    </w:p>
    <w:p>
      <w:pPr>
        <w:spacing w:after="0" w:line="400"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60"/>
          </w:cols>
          <w:pgMar w:left="220" w:top="326"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 PURSUANT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SECTION 906 OF THE SARBANES-OXLEY ACT OF 2002</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connection with the Quarterly Report of NN, Inc. (the “Company”) on Form 10-Q for the interim period ended June 30,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20"/>
                <w:szCs w:val="20"/>
                <w:color w:val="auto"/>
              </w:rPr>
            </w:pPr>
            <w:r>
              <w:rPr>
                <w:rFonts w:ascii="Arial" w:cs="Arial" w:eastAsia="Arial" w:hAnsi="Arial"/>
                <w:sz w:val="15"/>
                <w:szCs w:val="15"/>
                <w:color w:val="auto"/>
              </w:rPr>
              <w:t>Date: February 27, 2008</w:t>
            </w:r>
          </w:p>
        </w:tc>
        <w:tc>
          <w:tcPr>
            <w:tcW w:w="1640" w:type="dxa"/>
            <w:vAlign w:val="bottom"/>
          </w:tcPr>
          <w:p>
            <w:pPr>
              <w:spacing w:after="0"/>
              <w:rPr>
                <w:sz w:val="14"/>
                <w:szCs w:val="1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James H. Dorton</w:t>
            </w:r>
          </w:p>
        </w:tc>
        <w:tc>
          <w:tcPr>
            <w:tcW w:w="3300" w:type="dxa"/>
            <w:vAlign w:val="bottom"/>
          </w:tcPr>
          <w:p>
            <w:pPr>
              <w:spacing w:after="0"/>
              <w:rPr>
                <w:sz w:val="14"/>
                <w:szCs w:val="14"/>
                <w:color w:val="auto"/>
              </w:rPr>
            </w:pPr>
          </w:p>
        </w:tc>
      </w:tr>
      <w:tr>
        <w:trPr>
          <w:trHeight w:val="192"/>
        </w:trPr>
        <w:tc>
          <w:tcPr>
            <w:tcW w:w="3100" w:type="dxa"/>
            <w:vAlign w:val="bottom"/>
          </w:tcPr>
          <w:p>
            <w:pPr>
              <w:spacing w:after="0"/>
              <w:rPr>
                <w:sz w:val="16"/>
                <w:szCs w:val="16"/>
                <w:color w:val="auto"/>
              </w:rPr>
            </w:pPr>
          </w:p>
        </w:tc>
        <w:tc>
          <w:tcPr>
            <w:tcW w:w="6660" w:type="dxa"/>
            <w:vAlign w:val="bottom"/>
            <w:gridSpan w:val="3"/>
          </w:tcPr>
          <w:p>
            <w:pPr>
              <w:ind w:left="1620"/>
              <w:spacing w:after="0"/>
              <w:rPr>
                <w:sz w:val="20"/>
                <w:szCs w:val="20"/>
                <w:color w:val="auto"/>
              </w:rPr>
            </w:pPr>
            <w:r>
              <w:rPr>
                <w:rFonts w:ascii="Arial" w:cs="Arial" w:eastAsia="Arial" w:hAnsi="Arial"/>
                <w:sz w:val="15"/>
                <w:szCs w:val="15"/>
                <w:color w:val="auto"/>
              </w:rPr>
              <w:t>James H. Dorton</w:t>
            </w:r>
          </w:p>
        </w:tc>
      </w:tr>
      <w:tr>
        <w:trPr>
          <w:trHeight w:val="202"/>
        </w:trPr>
        <w:tc>
          <w:tcPr>
            <w:tcW w:w="3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020" w:type="dxa"/>
            <w:vAlign w:val="bottom"/>
            <w:gridSpan w:val="2"/>
          </w:tcPr>
          <w:p>
            <w:pPr>
              <w:ind w:left="920"/>
              <w:spacing w:after="0"/>
              <w:rPr>
                <w:sz w:val="20"/>
                <w:szCs w:val="20"/>
                <w:color w:val="auto"/>
              </w:rPr>
            </w:pPr>
            <w:r>
              <w:rPr>
                <w:rFonts w:ascii="Arial" w:cs="Arial" w:eastAsia="Arial" w:hAnsi="Arial"/>
                <w:sz w:val="15"/>
                <w:szCs w:val="15"/>
                <w:color w:val="auto"/>
                <w:w w:val="90"/>
              </w:rPr>
              <w:t>Vice President – Corporate Developmentand Chief Financial Officer</w:t>
            </w:r>
          </w:p>
        </w:tc>
      </w:tr>
    </w:tbl>
    <w:p>
      <w:pPr>
        <w:spacing w:after="0" w:line="393"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60"/>
      </w:cols>
      <w:pgMar w:left="220" w:top="5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42"/>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2019-12-14T02:42:23Z</dcterms:created>
  <dcterms:modified xsi:type="dcterms:W3CDTF">2019-12-14T02:42:23Z</dcterms:modified>
</cp:coreProperties>
</file>