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2"/>
          <w:szCs w:val="22"/>
          <w:b w:val="1"/>
          <w:bCs w:val="1"/>
          <w:color w:val="auto"/>
        </w:rPr>
        <w:t>UNITED STATES</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0"/>
          <w:szCs w:val="20"/>
          <w:b w:val="1"/>
          <w:bCs w:val="1"/>
          <w:color w:val="auto"/>
        </w:rPr>
        <w:t>Washington, D.C. 20549</w:t>
      </w:r>
    </w:p>
    <w:p>
      <w:pPr>
        <w:spacing w:after="0" w:line="18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SCHEDULE 13G</w:t>
      </w:r>
    </w:p>
    <w:p>
      <w:pPr>
        <w:spacing w:after="0" w:line="200" w:lineRule="exact"/>
        <w:rPr>
          <w:sz w:val="24"/>
          <w:szCs w:val="24"/>
          <w:color w:val="auto"/>
        </w:rPr>
      </w:pPr>
    </w:p>
    <w:p>
      <w:pPr>
        <w:spacing w:after="0" w:line="213" w:lineRule="exact"/>
        <w:rPr>
          <w:sz w:val="24"/>
          <w:szCs w:val="24"/>
          <w:color w:val="auto"/>
        </w:rPr>
      </w:pPr>
    </w:p>
    <w:p>
      <w:pPr>
        <w:jc w:val="center"/>
        <w:ind w:right="-13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2" w:lineRule="exact"/>
        <w:rPr>
          <w:sz w:val="24"/>
          <w:szCs w:val="24"/>
          <w:color w:val="auto"/>
        </w:rPr>
      </w:pPr>
    </w:p>
    <w:p>
      <w:pPr>
        <w:jc w:val="center"/>
        <w:ind w:right="-159"/>
        <w:spacing w:after="0"/>
        <w:rPr>
          <w:sz w:val="20"/>
          <w:szCs w:val="20"/>
          <w:color w:val="auto"/>
        </w:rPr>
      </w:pPr>
      <w:r>
        <w:rPr>
          <w:rFonts w:ascii="Arial" w:cs="Arial" w:eastAsia="Arial" w:hAnsi="Arial"/>
          <w:sz w:val="20"/>
          <w:szCs w:val="20"/>
          <w:b w:val="1"/>
          <w:bCs w:val="1"/>
          <w:color w:val="auto"/>
        </w:rPr>
        <w:t>(Amendment No. 1)*</w:t>
      </w:r>
    </w:p>
    <w:p>
      <w:pPr>
        <w:spacing w:after="0" w:line="378" w:lineRule="exact"/>
        <w:rPr>
          <w:sz w:val="24"/>
          <w:szCs w:val="24"/>
          <w:color w:val="auto"/>
        </w:rPr>
      </w:pPr>
    </w:p>
    <w:p>
      <w:pPr>
        <w:ind w:left="5280" w:hanging="364"/>
        <w:spacing w:after="0"/>
        <w:tabs>
          <w:tab w:leader="none" w:pos="5280" w:val="left"/>
        </w:tabs>
        <w:numPr>
          <w:ilvl w:val="0"/>
          <w:numId w:val="1"/>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INC.</w:t>
      </w:r>
    </w:p>
    <w:p>
      <w:pPr>
        <w:spacing w:after="0" w:line="16" w:lineRule="exact"/>
        <w:rPr>
          <w:rFonts w:ascii="Arial" w:cs="Arial" w:eastAsia="Arial" w:hAnsi="Arial"/>
          <w:sz w:val="22"/>
          <w:szCs w:val="22"/>
          <w:b w:val="1"/>
          <w:bCs w:val="1"/>
          <w:u w:val="single" w:color="auto"/>
          <w:color w:val="auto"/>
        </w:rPr>
      </w:pPr>
    </w:p>
    <w:p>
      <w:pPr>
        <w:ind w:left="4660"/>
        <w:spacing w:after="0"/>
        <w:rPr>
          <w:rFonts w:ascii="Arial" w:cs="Arial" w:eastAsia="Arial" w:hAnsi="Arial"/>
          <w:sz w:val="22"/>
          <w:szCs w:val="22"/>
          <w:b w:val="1"/>
          <w:bCs w:val="1"/>
          <w:u w:val="single" w:color="auto"/>
          <w:color w:val="auto"/>
        </w:rPr>
      </w:pPr>
      <w:r>
        <w:rPr>
          <w:rFonts w:ascii="Arial" w:cs="Arial" w:eastAsia="Arial" w:hAnsi="Arial"/>
          <w:sz w:val="20"/>
          <w:szCs w:val="20"/>
          <w:color w:val="auto"/>
        </w:rPr>
        <w:t>(Name of Issuer)</w:t>
      </w:r>
    </w:p>
    <w:p>
      <w:pPr>
        <w:spacing w:after="0" w:line="200" w:lineRule="exact"/>
        <w:rPr>
          <w:sz w:val="24"/>
          <w:szCs w:val="24"/>
          <w:color w:val="auto"/>
        </w:rPr>
      </w:pP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Common Stock, $0.01 par value</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(Title of Class of Securities)</w:t>
      </w:r>
    </w:p>
    <w:p>
      <w:pPr>
        <w:spacing w:after="0" w:line="200" w:lineRule="exact"/>
        <w:rPr>
          <w:sz w:val="24"/>
          <w:szCs w:val="24"/>
          <w:color w:val="auto"/>
        </w:rPr>
      </w:pP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629337106</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(CUSIP Number)</w:t>
      </w:r>
    </w:p>
    <w:p>
      <w:pPr>
        <w:spacing w:after="0" w:line="200" w:lineRule="exact"/>
        <w:rPr>
          <w:sz w:val="24"/>
          <w:szCs w:val="24"/>
          <w:color w:val="auto"/>
        </w:rPr>
      </w:pP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December 31, 2019</w:t>
      </w: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(Date of Event which Requires Filing of this Statement)</w:t>
      </w:r>
    </w:p>
    <w:p>
      <w:pPr>
        <w:spacing w:after="0" w:line="39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360" w:lineRule="exact"/>
        <w:rPr>
          <w:sz w:val="24"/>
          <w:szCs w:val="24"/>
          <w:color w:val="auto"/>
        </w:rPr>
      </w:pPr>
    </w:p>
    <w:p>
      <w:pPr>
        <w:jc w:val="both"/>
        <w:ind w:left="4660" w:right="4520" w:firstLine="6"/>
        <w:spacing w:after="0" w:line="312" w:lineRule="auto"/>
        <w:tabs>
          <w:tab w:leader="none" w:pos="4955" w:val="left"/>
        </w:tabs>
        <w:numPr>
          <w:ilvl w:val="1"/>
          <w:numId w:val="2"/>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295" w:lineRule="exact"/>
        <w:rPr>
          <w:rFonts w:ascii="Arial" w:cs="Arial" w:eastAsia="Arial" w:hAnsi="Arial"/>
          <w:sz w:val="16"/>
          <w:szCs w:val="16"/>
          <w:color w:val="auto"/>
        </w:rPr>
      </w:pPr>
    </w:p>
    <w:p>
      <w:pPr>
        <w:ind w:right="620"/>
        <w:spacing w:after="0" w:line="342" w:lineRule="auto"/>
        <w:rPr>
          <w:rFonts w:ascii="Arial" w:cs="Arial" w:eastAsia="Arial" w:hAnsi="Arial"/>
          <w:sz w:val="16"/>
          <w:szCs w:val="16"/>
          <w:color w:val="auto"/>
        </w:rPr>
      </w:pPr>
      <w:r>
        <w:rPr>
          <w:rFonts w:ascii="Arial" w:cs="Arial" w:eastAsia="Arial" w:hAnsi="Arial"/>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72"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ectPr>
          <w:pgSz w:w="11900" w:h="16838" w:orient="portrait"/>
          <w:cols w:equalWidth="0" w:num="1">
            <w:col w:w="10500"/>
          </w:cols>
          <w:pgMar w:left="240" w:top="220" w:right="1159" w:bottom="1440" w:gutter="0" w:footer="0" w:header="0"/>
        </w:sectPr>
      </w:pPr>
    </w:p>
    <w:bookmarkStart w:id="1" w:name="page2"/>
    <w:bookmarkEnd w:id="1"/>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9625" cy="269875"/>
                    </a:xfrm>
                    <a:prstGeom prst="rect">
                      <a:avLst/>
                    </a:prstGeom>
                    <a:noFill/>
                  </pic:spPr>
                </pic:pic>
              </a:graphicData>
            </a:graphic>
          </wp:anchor>
        </w:drawing>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6757670" cy="4819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7670" cy="481965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20" w:right="7280" w:hanging="380"/>
        <w:spacing w:after="0" w:line="313"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NAME OF REPORTING PERSON </w:t>
      </w:r>
      <w:r>
        <w:rPr>
          <w:rFonts w:ascii="Arial" w:cs="Arial" w:eastAsia="Arial" w:hAnsi="Arial"/>
          <w:sz w:val="17"/>
          <w:szCs w:val="17"/>
          <w:color w:val="auto"/>
        </w:rPr>
        <w:t>Corre Partners Advisors, LLC</w:t>
      </w:r>
    </w:p>
    <w:p>
      <w:pPr>
        <w:spacing w:after="0" w:line="98"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I.R.S. IDENTIFICATION NO. OF ABOVE PERSON (ENTITIES ONLY)</w:t>
      </w:r>
    </w:p>
    <w:p>
      <w:pPr>
        <w:spacing w:after="0" w:line="2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26-4570038</w:t>
      </w:r>
    </w:p>
    <w:p>
      <w:pPr>
        <w:spacing w:after="0" w:line="139" w:lineRule="exact"/>
        <w:rPr>
          <w:sz w:val="20"/>
          <w:szCs w:val="20"/>
          <w:color w:val="auto"/>
        </w:rPr>
      </w:pPr>
    </w:p>
    <w:p>
      <w:pPr>
        <w:ind w:left="620" w:hanging="380"/>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color w:val="auto"/>
        </w:rPr>
      </w:pPr>
    </w:p>
    <w:p>
      <w:pPr>
        <w:ind w:left="880" w:hanging="251"/>
        <w:spacing w:after="0"/>
        <w:tabs>
          <w:tab w:leader="none" w:pos="880" w:val="left"/>
        </w:tabs>
        <w:numPr>
          <w:ilvl w:val="1"/>
          <w:numId w:val="4"/>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880" w:hanging="251"/>
        <w:spacing w:after="0"/>
        <w:tabs>
          <w:tab w:leader="none" w:pos="880" w:val="left"/>
        </w:tabs>
        <w:numPr>
          <w:ilvl w:val="1"/>
          <w:numId w:val="4"/>
        </w:numPr>
        <w:rPr>
          <w:rFonts w:ascii="Arial" w:cs="Arial" w:eastAsia="Arial" w:hAnsi="Arial"/>
          <w:sz w:val="18"/>
          <w:szCs w:val="18"/>
          <w:color w:val="auto"/>
        </w:rPr>
      </w:pPr>
      <w:r>
        <w:rPr>
          <w:rFonts w:ascii="Arial" w:cs="Arial" w:eastAsia="Arial" w:hAnsi="Arial"/>
          <w:sz w:val="18"/>
          <w:szCs w:val="18"/>
          <w:color w:val="auto"/>
        </w:rPr>
        <w:t>[X]</w:t>
      </w:r>
    </w:p>
    <w:p>
      <w:pPr>
        <w:spacing w:after="0" w:line="139" w:lineRule="exact"/>
        <w:rPr>
          <w:sz w:val="20"/>
          <w:szCs w:val="20"/>
          <w:color w:val="auto"/>
        </w:rPr>
      </w:pPr>
    </w:p>
    <w:p>
      <w:pPr>
        <w:ind w:left="620" w:hanging="380"/>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158" w:lineRule="exact"/>
        <w:rPr>
          <w:sz w:val="20"/>
          <w:szCs w:val="20"/>
          <w:color w:val="auto"/>
        </w:rPr>
      </w:pPr>
    </w:p>
    <w:p>
      <w:pPr>
        <w:ind w:left="620" w:right="6100" w:hanging="380"/>
        <w:spacing w:after="0" w:line="282"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Delaware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640" w:type="dxa"/>
            <w:vAlign w:val="bottom"/>
            <w:tcBorders>
              <w:top w:val="single" w:sz="8" w:color="auto"/>
              <w:right w:val="single" w:sz="8" w:color="auto"/>
            </w:tcBorders>
          </w:tcPr>
          <w:p>
            <w:pPr>
              <w:spacing w:after="0"/>
              <w:rPr>
                <w:sz w:val="24"/>
                <w:szCs w:val="24"/>
                <w:color w:val="auto"/>
              </w:rPr>
            </w:pPr>
          </w:p>
        </w:tc>
        <w:tc>
          <w:tcPr>
            <w:tcW w:w="520" w:type="dxa"/>
            <w:vAlign w:val="bottom"/>
            <w:tcBorders>
              <w:top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5</w:t>
            </w:r>
          </w:p>
        </w:tc>
        <w:tc>
          <w:tcPr>
            <w:tcW w:w="8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520" w:type="dxa"/>
            <w:vAlign w:val="bottom"/>
            <w:tcBorders>
              <w:right w:val="single" w:sz="8" w:color="auto"/>
            </w:tcBorders>
          </w:tcPr>
          <w:p>
            <w:pPr>
              <w:spacing w:after="0"/>
              <w:rPr>
                <w:sz w:val="20"/>
                <w:szCs w:val="20"/>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640" w:type="dxa"/>
            <w:vAlign w:val="bottom"/>
            <w:tcBorders>
              <w:right w:val="single" w:sz="8" w:color="auto"/>
            </w:tcBorders>
            <w:vMerge w:val="continue"/>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SHARES</w:t>
            </w:r>
          </w:p>
        </w:tc>
        <w:tc>
          <w:tcPr>
            <w:tcW w:w="5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6</w:t>
            </w:r>
          </w:p>
        </w:tc>
        <w:tc>
          <w:tcPr>
            <w:tcW w:w="8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520" w:type="dxa"/>
            <w:vAlign w:val="bottom"/>
            <w:tcBorders>
              <w:right w:val="single" w:sz="8" w:color="auto"/>
            </w:tcBorders>
          </w:tcPr>
          <w:p>
            <w:pPr>
              <w:spacing w:after="0"/>
              <w:rPr>
                <w:sz w:val="18"/>
                <w:szCs w:val="18"/>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2,741,432</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OWNED BY</w:t>
            </w:r>
          </w:p>
        </w:tc>
        <w:tc>
          <w:tcPr>
            <w:tcW w:w="520" w:type="dxa"/>
            <w:vAlign w:val="bottom"/>
            <w:tcBorders>
              <w:bottom w:val="single" w:sz="8" w:color="auto"/>
              <w:right w:val="single" w:sz="8" w:color="auto"/>
            </w:tcBorders>
          </w:tcPr>
          <w:p>
            <w:pPr>
              <w:spacing w:after="0"/>
              <w:rPr>
                <w:sz w:val="10"/>
                <w:szCs w:val="10"/>
                <w:color w:val="auto"/>
              </w:rPr>
            </w:pPr>
          </w:p>
        </w:tc>
        <w:tc>
          <w:tcPr>
            <w:tcW w:w="85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7</w:t>
            </w:r>
          </w:p>
        </w:tc>
        <w:tc>
          <w:tcPr>
            <w:tcW w:w="8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93"/>
        </w:trPr>
        <w:tc>
          <w:tcPr>
            <w:tcW w:w="164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b w:val="1"/>
                <w:bCs w:val="1"/>
                <w:color w:val="auto"/>
              </w:rPr>
              <w:t>EACH</w:t>
            </w:r>
          </w:p>
        </w:tc>
        <w:tc>
          <w:tcPr>
            <w:tcW w:w="520" w:type="dxa"/>
            <w:vAlign w:val="bottom"/>
            <w:tcBorders>
              <w:right w:val="single" w:sz="8" w:color="auto"/>
            </w:tcBorders>
            <w:vMerge w:val="continue"/>
          </w:tcPr>
          <w:p>
            <w:pPr>
              <w:spacing w:after="0"/>
              <w:rPr>
                <w:sz w:val="16"/>
                <w:szCs w:val="16"/>
                <w:color w:val="auto"/>
              </w:rPr>
            </w:pPr>
          </w:p>
        </w:tc>
        <w:tc>
          <w:tcPr>
            <w:tcW w:w="8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REPORTING</w:t>
            </w:r>
          </w:p>
        </w:tc>
        <w:tc>
          <w:tcPr>
            <w:tcW w:w="520" w:type="dxa"/>
            <w:vAlign w:val="bottom"/>
            <w:tcBorders>
              <w:right w:val="single" w:sz="8" w:color="auto"/>
            </w:tcBorders>
          </w:tcPr>
          <w:p>
            <w:pPr>
              <w:spacing w:after="0"/>
              <w:rPr>
                <w:sz w:val="20"/>
                <w:szCs w:val="20"/>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9"/>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640" w:type="dxa"/>
            <w:vAlign w:val="bottom"/>
            <w:tcBorders>
              <w:right w:val="single" w:sz="8" w:color="auto"/>
            </w:tcBorders>
            <w:vMerge w:val="continue"/>
          </w:tcPr>
          <w:p>
            <w:pPr>
              <w:spacing w:after="0"/>
              <w:rPr>
                <w:sz w:val="13"/>
                <w:szCs w:val="13"/>
                <w:color w:val="auto"/>
              </w:rPr>
            </w:pPr>
          </w:p>
        </w:tc>
        <w:tc>
          <w:tcPr>
            <w:tcW w:w="52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8</w:t>
            </w:r>
          </w:p>
        </w:tc>
        <w:tc>
          <w:tcPr>
            <w:tcW w:w="8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07"/>
        </w:trPr>
        <w:tc>
          <w:tcPr>
            <w:tcW w:w="1640" w:type="dxa"/>
            <w:vAlign w:val="bottom"/>
            <w:tcBorders>
              <w:right w:val="single" w:sz="8" w:color="auto"/>
            </w:tcBorders>
          </w:tcPr>
          <w:p>
            <w:pPr>
              <w:spacing w:after="0"/>
              <w:rPr>
                <w:sz w:val="9"/>
                <w:szCs w:val="9"/>
                <w:color w:val="auto"/>
              </w:rPr>
            </w:pPr>
          </w:p>
        </w:tc>
        <w:tc>
          <w:tcPr>
            <w:tcW w:w="520" w:type="dxa"/>
            <w:vAlign w:val="bottom"/>
            <w:tcBorders>
              <w:right w:val="single" w:sz="8" w:color="auto"/>
            </w:tcBorders>
            <w:vMerge w:val="continue"/>
          </w:tcPr>
          <w:p>
            <w:pPr>
              <w:spacing w:after="0"/>
              <w:rPr>
                <w:sz w:val="9"/>
                <w:szCs w:val="9"/>
                <w:color w:val="auto"/>
              </w:rPr>
            </w:pPr>
          </w:p>
        </w:tc>
        <w:tc>
          <w:tcPr>
            <w:tcW w:w="8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2,741,432</w:t>
            </w:r>
          </w:p>
        </w:tc>
        <w:tc>
          <w:tcPr>
            <w:tcW w:w="0" w:type="dxa"/>
            <w:vAlign w:val="bottom"/>
          </w:tcPr>
          <w:p>
            <w:pPr>
              <w:spacing w:after="0"/>
              <w:rPr>
                <w:sz w:val="1"/>
                <w:szCs w:val="1"/>
                <w:color w:val="auto"/>
              </w:rPr>
            </w:pPr>
          </w:p>
        </w:tc>
      </w:tr>
      <w:tr>
        <w:trPr>
          <w:trHeight w:val="68"/>
        </w:trPr>
        <w:tc>
          <w:tcPr>
            <w:tcW w:w="164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20" w:right="3100" w:hanging="380"/>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2,741,432</w:t>
      </w:r>
    </w:p>
    <w:p>
      <w:pPr>
        <w:spacing w:after="0" w:line="94" w:lineRule="exact"/>
        <w:rPr>
          <w:sz w:val="20"/>
          <w:szCs w:val="20"/>
          <w:color w:val="auto"/>
        </w:rPr>
      </w:pPr>
    </w:p>
    <w:p>
      <w:pPr>
        <w:ind w:left="620" w:right="2580" w:hanging="425"/>
        <w:spacing w:after="0" w:line="282"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 ]</w:t>
      </w:r>
    </w:p>
    <w:p>
      <w:pPr>
        <w:spacing w:after="0" w:line="94" w:lineRule="exact"/>
        <w:rPr>
          <w:rFonts w:ascii="Arial" w:cs="Arial" w:eastAsia="Arial" w:hAnsi="Arial"/>
          <w:sz w:val="18"/>
          <w:szCs w:val="18"/>
          <w:color w:val="auto"/>
        </w:rPr>
      </w:pPr>
    </w:p>
    <w:p>
      <w:pPr>
        <w:ind w:left="620" w:right="4720" w:hanging="422"/>
        <w:spacing w:after="0" w:line="282"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6.5%</w:t>
      </w:r>
    </w:p>
    <w:p>
      <w:pPr>
        <w:spacing w:after="0" w:line="94" w:lineRule="exact"/>
        <w:rPr>
          <w:rFonts w:ascii="Arial" w:cs="Arial" w:eastAsia="Arial" w:hAnsi="Arial"/>
          <w:sz w:val="18"/>
          <w:szCs w:val="18"/>
          <w:color w:val="auto"/>
        </w:rPr>
      </w:pPr>
    </w:p>
    <w:p>
      <w:pPr>
        <w:ind w:left="620" w:right="7360" w:hanging="425"/>
        <w:spacing w:after="0" w:line="282"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OO</w:t>
      </w:r>
    </w:p>
    <w:p>
      <w:pPr>
        <w:sectPr>
          <w:pgSz w:w="11900" w:h="16838" w:orient="portrait"/>
          <w:cols w:equalWidth="0" w:num="1">
            <w:col w:w="10660"/>
          </w:cols>
          <w:pgMar w:left="240" w:top="931" w:right="999" w:bottom="1440" w:gutter="0" w:footer="0" w:header="0"/>
        </w:sectPr>
      </w:pPr>
    </w:p>
    <w:bookmarkStart w:id="2" w:name="page3"/>
    <w:bookmarkEnd w:id="2"/>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9625" cy="269875"/>
                    </a:xfrm>
                    <a:prstGeom prst="rect">
                      <a:avLst/>
                    </a:prstGeom>
                    <a:noFill/>
                  </pic:spPr>
                </pic:pic>
              </a:graphicData>
            </a:graphic>
          </wp:anchor>
        </w:drawing>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6757670" cy="48196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57670" cy="481965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20" w:right="7280" w:hanging="380"/>
        <w:spacing w:after="0" w:line="313" w:lineRule="auto"/>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NAME OF REPORTING PERSON </w:t>
      </w:r>
      <w:r>
        <w:rPr>
          <w:rFonts w:ascii="Arial" w:cs="Arial" w:eastAsia="Arial" w:hAnsi="Arial"/>
          <w:sz w:val="17"/>
          <w:szCs w:val="17"/>
          <w:color w:val="auto"/>
        </w:rPr>
        <w:t>Corre Partners Management, LLC</w:t>
      </w:r>
    </w:p>
    <w:p>
      <w:pPr>
        <w:spacing w:after="0" w:line="98"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I.R.S. IDENTIFICATION NO. OF ABOVE PERSON (ENTITIES ONLY)</w:t>
      </w:r>
    </w:p>
    <w:p>
      <w:pPr>
        <w:spacing w:after="0" w:line="2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26-4570258</w:t>
      </w:r>
    </w:p>
    <w:p>
      <w:pPr>
        <w:spacing w:after="0" w:line="139" w:lineRule="exact"/>
        <w:rPr>
          <w:sz w:val="20"/>
          <w:szCs w:val="20"/>
          <w:color w:val="auto"/>
        </w:rPr>
      </w:pPr>
    </w:p>
    <w:p>
      <w:pPr>
        <w:ind w:left="620" w:hanging="380"/>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color w:val="auto"/>
        </w:rPr>
      </w:pPr>
    </w:p>
    <w:p>
      <w:pPr>
        <w:ind w:left="880" w:hanging="251"/>
        <w:spacing w:after="0"/>
        <w:tabs>
          <w:tab w:leader="none" w:pos="8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880" w:hanging="251"/>
        <w:spacing w:after="0"/>
        <w:tabs>
          <w:tab w:leader="none" w:pos="8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[X]</w:t>
      </w:r>
    </w:p>
    <w:p>
      <w:pPr>
        <w:spacing w:after="0" w:line="139" w:lineRule="exact"/>
        <w:rPr>
          <w:sz w:val="20"/>
          <w:szCs w:val="20"/>
          <w:color w:val="auto"/>
        </w:rPr>
      </w:pPr>
    </w:p>
    <w:p>
      <w:pPr>
        <w:ind w:left="620" w:hanging="380"/>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158" w:lineRule="exact"/>
        <w:rPr>
          <w:sz w:val="20"/>
          <w:szCs w:val="20"/>
          <w:color w:val="auto"/>
        </w:rPr>
      </w:pPr>
    </w:p>
    <w:p>
      <w:pPr>
        <w:ind w:left="620" w:right="6100" w:hanging="380"/>
        <w:spacing w:after="0" w:line="282" w:lineRule="auto"/>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Delaware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640" w:type="dxa"/>
            <w:vAlign w:val="bottom"/>
            <w:tcBorders>
              <w:top w:val="single" w:sz="8" w:color="auto"/>
              <w:right w:val="single" w:sz="8" w:color="auto"/>
            </w:tcBorders>
          </w:tcPr>
          <w:p>
            <w:pPr>
              <w:spacing w:after="0"/>
              <w:rPr>
                <w:sz w:val="24"/>
                <w:szCs w:val="24"/>
                <w:color w:val="auto"/>
              </w:rPr>
            </w:pPr>
          </w:p>
        </w:tc>
        <w:tc>
          <w:tcPr>
            <w:tcW w:w="520" w:type="dxa"/>
            <w:vAlign w:val="bottom"/>
            <w:tcBorders>
              <w:top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5</w:t>
            </w:r>
          </w:p>
        </w:tc>
        <w:tc>
          <w:tcPr>
            <w:tcW w:w="8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520" w:type="dxa"/>
            <w:vAlign w:val="bottom"/>
            <w:tcBorders>
              <w:right w:val="single" w:sz="8" w:color="auto"/>
            </w:tcBorders>
          </w:tcPr>
          <w:p>
            <w:pPr>
              <w:spacing w:after="0"/>
              <w:rPr>
                <w:sz w:val="20"/>
                <w:szCs w:val="20"/>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640" w:type="dxa"/>
            <w:vAlign w:val="bottom"/>
            <w:tcBorders>
              <w:right w:val="single" w:sz="8" w:color="auto"/>
            </w:tcBorders>
            <w:vMerge w:val="continue"/>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SHARES</w:t>
            </w:r>
          </w:p>
        </w:tc>
        <w:tc>
          <w:tcPr>
            <w:tcW w:w="5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6</w:t>
            </w:r>
          </w:p>
        </w:tc>
        <w:tc>
          <w:tcPr>
            <w:tcW w:w="8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520" w:type="dxa"/>
            <w:vAlign w:val="bottom"/>
            <w:tcBorders>
              <w:right w:val="single" w:sz="8" w:color="auto"/>
            </w:tcBorders>
          </w:tcPr>
          <w:p>
            <w:pPr>
              <w:spacing w:after="0"/>
              <w:rPr>
                <w:sz w:val="18"/>
                <w:szCs w:val="18"/>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2,741,432</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OWNED BY</w:t>
            </w:r>
          </w:p>
        </w:tc>
        <w:tc>
          <w:tcPr>
            <w:tcW w:w="520" w:type="dxa"/>
            <w:vAlign w:val="bottom"/>
            <w:tcBorders>
              <w:bottom w:val="single" w:sz="8" w:color="auto"/>
              <w:right w:val="single" w:sz="8" w:color="auto"/>
            </w:tcBorders>
          </w:tcPr>
          <w:p>
            <w:pPr>
              <w:spacing w:after="0"/>
              <w:rPr>
                <w:sz w:val="10"/>
                <w:szCs w:val="10"/>
                <w:color w:val="auto"/>
              </w:rPr>
            </w:pPr>
          </w:p>
        </w:tc>
        <w:tc>
          <w:tcPr>
            <w:tcW w:w="85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7</w:t>
            </w:r>
          </w:p>
        </w:tc>
        <w:tc>
          <w:tcPr>
            <w:tcW w:w="8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93"/>
        </w:trPr>
        <w:tc>
          <w:tcPr>
            <w:tcW w:w="164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b w:val="1"/>
                <w:bCs w:val="1"/>
                <w:color w:val="auto"/>
              </w:rPr>
              <w:t>EACH</w:t>
            </w:r>
          </w:p>
        </w:tc>
        <w:tc>
          <w:tcPr>
            <w:tcW w:w="520" w:type="dxa"/>
            <w:vAlign w:val="bottom"/>
            <w:tcBorders>
              <w:right w:val="single" w:sz="8" w:color="auto"/>
            </w:tcBorders>
            <w:vMerge w:val="continue"/>
          </w:tcPr>
          <w:p>
            <w:pPr>
              <w:spacing w:after="0"/>
              <w:rPr>
                <w:sz w:val="16"/>
                <w:szCs w:val="16"/>
                <w:color w:val="auto"/>
              </w:rPr>
            </w:pPr>
          </w:p>
        </w:tc>
        <w:tc>
          <w:tcPr>
            <w:tcW w:w="8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REPORTING</w:t>
            </w:r>
          </w:p>
        </w:tc>
        <w:tc>
          <w:tcPr>
            <w:tcW w:w="520" w:type="dxa"/>
            <w:vAlign w:val="bottom"/>
            <w:tcBorders>
              <w:right w:val="single" w:sz="8" w:color="auto"/>
            </w:tcBorders>
          </w:tcPr>
          <w:p>
            <w:pPr>
              <w:spacing w:after="0"/>
              <w:rPr>
                <w:sz w:val="20"/>
                <w:szCs w:val="20"/>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9"/>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640" w:type="dxa"/>
            <w:vAlign w:val="bottom"/>
            <w:tcBorders>
              <w:right w:val="single" w:sz="8" w:color="auto"/>
            </w:tcBorders>
            <w:vMerge w:val="continue"/>
          </w:tcPr>
          <w:p>
            <w:pPr>
              <w:spacing w:after="0"/>
              <w:rPr>
                <w:sz w:val="13"/>
                <w:szCs w:val="13"/>
                <w:color w:val="auto"/>
              </w:rPr>
            </w:pPr>
          </w:p>
        </w:tc>
        <w:tc>
          <w:tcPr>
            <w:tcW w:w="52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8</w:t>
            </w:r>
          </w:p>
        </w:tc>
        <w:tc>
          <w:tcPr>
            <w:tcW w:w="8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07"/>
        </w:trPr>
        <w:tc>
          <w:tcPr>
            <w:tcW w:w="1640" w:type="dxa"/>
            <w:vAlign w:val="bottom"/>
            <w:tcBorders>
              <w:right w:val="single" w:sz="8" w:color="auto"/>
            </w:tcBorders>
          </w:tcPr>
          <w:p>
            <w:pPr>
              <w:spacing w:after="0"/>
              <w:rPr>
                <w:sz w:val="9"/>
                <w:szCs w:val="9"/>
                <w:color w:val="auto"/>
              </w:rPr>
            </w:pPr>
          </w:p>
        </w:tc>
        <w:tc>
          <w:tcPr>
            <w:tcW w:w="520" w:type="dxa"/>
            <w:vAlign w:val="bottom"/>
            <w:tcBorders>
              <w:right w:val="single" w:sz="8" w:color="auto"/>
            </w:tcBorders>
            <w:vMerge w:val="continue"/>
          </w:tcPr>
          <w:p>
            <w:pPr>
              <w:spacing w:after="0"/>
              <w:rPr>
                <w:sz w:val="9"/>
                <w:szCs w:val="9"/>
                <w:color w:val="auto"/>
              </w:rPr>
            </w:pPr>
          </w:p>
        </w:tc>
        <w:tc>
          <w:tcPr>
            <w:tcW w:w="8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2,741,432</w:t>
            </w:r>
          </w:p>
        </w:tc>
        <w:tc>
          <w:tcPr>
            <w:tcW w:w="0" w:type="dxa"/>
            <w:vAlign w:val="bottom"/>
          </w:tcPr>
          <w:p>
            <w:pPr>
              <w:spacing w:after="0"/>
              <w:rPr>
                <w:sz w:val="1"/>
                <w:szCs w:val="1"/>
                <w:color w:val="auto"/>
              </w:rPr>
            </w:pPr>
          </w:p>
        </w:tc>
      </w:tr>
      <w:tr>
        <w:trPr>
          <w:trHeight w:val="68"/>
        </w:trPr>
        <w:tc>
          <w:tcPr>
            <w:tcW w:w="164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20" w:right="3100" w:hanging="380"/>
        <w:spacing w:after="0" w:line="282"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2,741,432</w:t>
      </w:r>
    </w:p>
    <w:p>
      <w:pPr>
        <w:spacing w:after="0" w:line="94" w:lineRule="exact"/>
        <w:rPr>
          <w:sz w:val="20"/>
          <w:szCs w:val="20"/>
          <w:color w:val="auto"/>
        </w:rPr>
      </w:pPr>
    </w:p>
    <w:p>
      <w:pPr>
        <w:ind w:left="620" w:right="2580" w:hanging="425"/>
        <w:spacing w:after="0" w:line="282" w:lineRule="auto"/>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 ]</w:t>
      </w:r>
    </w:p>
    <w:p>
      <w:pPr>
        <w:spacing w:after="0" w:line="94" w:lineRule="exact"/>
        <w:rPr>
          <w:rFonts w:ascii="Arial" w:cs="Arial" w:eastAsia="Arial" w:hAnsi="Arial"/>
          <w:sz w:val="18"/>
          <w:szCs w:val="18"/>
          <w:color w:val="auto"/>
        </w:rPr>
      </w:pPr>
    </w:p>
    <w:p>
      <w:pPr>
        <w:ind w:left="620" w:right="4720" w:hanging="422"/>
        <w:spacing w:after="0" w:line="282" w:lineRule="auto"/>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6.5%</w:t>
      </w:r>
    </w:p>
    <w:p>
      <w:pPr>
        <w:spacing w:after="0" w:line="94" w:lineRule="exact"/>
        <w:rPr>
          <w:rFonts w:ascii="Arial" w:cs="Arial" w:eastAsia="Arial" w:hAnsi="Arial"/>
          <w:sz w:val="18"/>
          <w:szCs w:val="18"/>
          <w:color w:val="auto"/>
        </w:rPr>
      </w:pPr>
    </w:p>
    <w:p>
      <w:pPr>
        <w:ind w:left="620" w:right="7360" w:hanging="425"/>
        <w:spacing w:after="0" w:line="282" w:lineRule="auto"/>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IA, OO</w:t>
      </w:r>
    </w:p>
    <w:p>
      <w:pPr>
        <w:sectPr>
          <w:pgSz w:w="11900" w:h="16838" w:orient="portrait"/>
          <w:cols w:equalWidth="0" w:num="1">
            <w:col w:w="10660"/>
          </w:cols>
          <w:pgMar w:left="240" w:top="931" w:right="999" w:bottom="1440" w:gutter="0" w:footer="0" w:header="0"/>
        </w:sectPr>
      </w:pPr>
    </w:p>
    <w:bookmarkStart w:id="3" w:name="page4"/>
    <w:bookmarkEnd w:id="3"/>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79625" cy="269875"/>
                    </a:xfrm>
                    <a:prstGeom prst="rect">
                      <a:avLst/>
                    </a:prstGeom>
                    <a:noFill/>
                  </pic:spPr>
                </pic:pic>
              </a:graphicData>
            </a:graphic>
          </wp:anchor>
        </w:drawing>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6757670" cy="46824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57670" cy="46824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20" w:right="7280" w:hanging="380"/>
        <w:spacing w:after="0" w:line="282"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NAME OF REPORTING PERSON </w:t>
      </w:r>
      <w:r>
        <w:rPr>
          <w:rFonts w:ascii="Arial" w:cs="Arial" w:eastAsia="Arial" w:hAnsi="Arial"/>
          <w:sz w:val="18"/>
          <w:szCs w:val="18"/>
          <w:color w:val="auto"/>
        </w:rPr>
        <w:t>John Barrett</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I.R.S. IDENTIFICATION NO. OF ABOVE PERSON (ENTITIES ONLY)</w:t>
      </w:r>
    </w:p>
    <w:p>
      <w:pPr>
        <w:spacing w:after="0" w:line="158" w:lineRule="exact"/>
        <w:rPr>
          <w:sz w:val="20"/>
          <w:szCs w:val="20"/>
          <w:color w:val="auto"/>
        </w:rPr>
      </w:pPr>
    </w:p>
    <w:p>
      <w:pPr>
        <w:ind w:left="620" w:hanging="380"/>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color w:val="auto"/>
        </w:rPr>
      </w:pPr>
    </w:p>
    <w:p>
      <w:pPr>
        <w:ind w:left="880" w:hanging="251"/>
        <w:spacing w:after="0"/>
        <w:tabs>
          <w:tab w:leader="none" w:pos="8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880" w:hanging="251"/>
        <w:spacing w:after="0"/>
        <w:tabs>
          <w:tab w:leader="none" w:pos="8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[X]</w:t>
      </w:r>
    </w:p>
    <w:p>
      <w:pPr>
        <w:spacing w:after="0" w:line="139" w:lineRule="exact"/>
        <w:rPr>
          <w:sz w:val="20"/>
          <w:szCs w:val="20"/>
          <w:color w:val="auto"/>
        </w:rPr>
      </w:pPr>
    </w:p>
    <w:p>
      <w:pPr>
        <w:ind w:left="620" w:hanging="380"/>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158" w:lineRule="exact"/>
        <w:rPr>
          <w:sz w:val="20"/>
          <w:szCs w:val="20"/>
          <w:color w:val="auto"/>
        </w:rPr>
      </w:pPr>
    </w:p>
    <w:p>
      <w:pPr>
        <w:ind w:left="620" w:right="6100" w:hanging="380"/>
        <w:spacing w:after="0" w:line="282" w:lineRule="auto"/>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USA</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640" w:type="dxa"/>
            <w:vAlign w:val="bottom"/>
            <w:tcBorders>
              <w:top w:val="single" w:sz="8" w:color="auto"/>
              <w:right w:val="single" w:sz="8" w:color="auto"/>
            </w:tcBorders>
          </w:tcPr>
          <w:p>
            <w:pPr>
              <w:spacing w:after="0"/>
              <w:rPr>
                <w:sz w:val="24"/>
                <w:szCs w:val="24"/>
                <w:color w:val="auto"/>
              </w:rPr>
            </w:pPr>
          </w:p>
        </w:tc>
        <w:tc>
          <w:tcPr>
            <w:tcW w:w="520" w:type="dxa"/>
            <w:vAlign w:val="bottom"/>
            <w:tcBorders>
              <w:top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5</w:t>
            </w:r>
          </w:p>
        </w:tc>
        <w:tc>
          <w:tcPr>
            <w:tcW w:w="8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520" w:type="dxa"/>
            <w:vAlign w:val="bottom"/>
            <w:tcBorders>
              <w:right w:val="single" w:sz="8" w:color="auto"/>
            </w:tcBorders>
          </w:tcPr>
          <w:p>
            <w:pPr>
              <w:spacing w:after="0"/>
              <w:rPr>
                <w:sz w:val="20"/>
                <w:szCs w:val="20"/>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640" w:type="dxa"/>
            <w:vAlign w:val="bottom"/>
            <w:tcBorders>
              <w:right w:val="single" w:sz="8" w:color="auto"/>
            </w:tcBorders>
            <w:vMerge w:val="continue"/>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SHARES</w:t>
            </w:r>
          </w:p>
        </w:tc>
        <w:tc>
          <w:tcPr>
            <w:tcW w:w="5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6</w:t>
            </w:r>
          </w:p>
        </w:tc>
        <w:tc>
          <w:tcPr>
            <w:tcW w:w="8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520" w:type="dxa"/>
            <w:vAlign w:val="bottom"/>
            <w:tcBorders>
              <w:right w:val="single" w:sz="8" w:color="auto"/>
            </w:tcBorders>
          </w:tcPr>
          <w:p>
            <w:pPr>
              <w:spacing w:after="0"/>
              <w:rPr>
                <w:sz w:val="18"/>
                <w:szCs w:val="18"/>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2,741,432</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OWNED BY</w:t>
            </w:r>
          </w:p>
        </w:tc>
        <w:tc>
          <w:tcPr>
            <w:tcW w:w="520" w:type="dxa"/>
            <w:vAlign w:val="bottom"/>
            <w:tcBorders>
              <w:bottom w:val="single" w:sz="8" w:color="auto"/>
              <w:right w:val="single" w:sz="8" w:color="auto"/>
            </w:tcBorders>
          </w:tcPr>
          <w:p>
            <w:pPr>
              <w:spacing w:after="0"/>
              <w:rPr>
                <w:sz w:val="10"/>
                <w:szCs w:val="10"/>
                <w:color w:val="auto"/>
              </w:rPr>
            </w:pPr>
          </w:p>
        </w:tc>
        <w:tc>
          <w:tcPr>
            <w:tcW w:w="85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7</w:t>
            </w:r>
          </w:p>
        </w:tc>
        <w:tc>
          <w:tcPr>
            <w:tcW w:w="8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93"/>
        </w:trPr>
        <w:tc>
          <w:tcPr>
            <w:tcW w:w="164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b w:val="1"/>
                <w:bCs w:val="1"/>
                <w:color w:val="auto"/>
              </w:rPr>
              <w:t>EACH</w:t>
            </w:r>
          </w:p>
        </w:tc>
        <w:tc>
          <w:tcPr>
            <w:tcW w:w="520" w:type="dxa"/>
            <w:vAlign w:val="bottom"/>
            <w:tcBorders>
              <w:right w:val="single" w:sz="8" w:color="auto"/>
            </w:tcBorders>
            <w:vMerge w:val="continue"/>
          </w:tcPr>
          <w:p>
            <w:pPr>
              <w:spacing w:after="0"/>
              <w:rPr>
                <w:sz w:val="16"/>
                <w:szCs w:val="16"/>
                <w:color w:val="auto"/>
              </w:rPr>
            </w:pPr>
          </w:p>
        </w:tc>
        <w:tc>
          <w:tcPr>
            <w:tcW w:w="8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REPORTING</w:t>
            </w:r>
          </w:p>
        </w:tc>
        <w:tc>
          <w:tcPr>
            <w:tcW w:w="520" w:type="dxa"/>
            <w:vAlign w:val="bottom"/>
            <w:tcBorders>
              <w:right w:val="single" w:sz="8" w:color="auto"/>
            </w:tcBorders>
          </w:tcPr>
          <w:p>
            <w:pPr>
              <w:spacing w:after="0"/>
              <w:rPr>
                <w:sz w:val="20"/>
                <w:szCs w:val="20"/>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9"/>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640" w:type="dxa"/>
            <w:vAlign w:val="bottom"/>
            <w:tcBorders>
              <w:right w:val="single" w:sz="8" w:color="auto"/>
            </w:tcBorders>
            <w:vMerge w:val="continue"/>
          </w:tcPr>
          <w:p>
            <w:pPr>
              <w:spacing w:after="0"/>
              <w:rPr>
                <w:sz w:val="13"/>
                <w:szCs w:val="13"/>
                <w:color w:val="auto"/>
              </w:rPr>
            </w:pPr>
          </w:p>
        </w:tc>
        <w:tc>
          <w:tcPr>
            <w:tcW w:w="52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8</w:t>
            </w:r>
          </w:p>
        </w:tc>
        <w:tc>
          <w:tcPr>
            <w:tcW w:w="8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07"/>
        </w:trPr>
        <w:tc>
          <w:tcPr>
            <w:tcW w:w="1640" w:type="dxa"/>
            <w:vAlign w:val="bottom"/>
            <w:tcBorders>
              <w:right w:val="single" w:sz="8" w:color="auto"/>
            </w:tcBorders>
          </w:tcPr>
          <w:p>
            <w:pPr>
              <w:spacing w:after="0"/>
              <w:rPr>
                <w:sz w:val="9"/>
                <w:szCs w:val="9"/>
                <w:color w:val="auto"/>
              </w:rPr>
            </w:pPr>
          </w:p>
        </w:tc>
        <w:tc>
          <w:tcPr>
            <w:tcW w:w="520" w:type="dxa"/>
            <w:vAlign w:val="bottom"/>
            <w:tcBorders>
              <w:right w:val="single" w:sz="8" w:color="auto"/>
            </w:tcBorders>
            <w:vMerge w:val="continue"/>
          </w:tcPr>
          <w:p>
            <w:pPr>
              <w:spacing w:after="0"/>
              <w:rPr>
                <w:sz w:val="9"/>
                <w:szCs w:val="9"/>
                <w:color w:val="auto"/>
              </w:rPr>
            </w:pPr>
          </w:p>
        </w:tc>
        <w:tc>
          <w:tcPr>
            <w:tcW w:w="8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2,741,432</w:t>
            </w:r>
          </w:p>
        </w:tc>
        <w:tc>
          <w:tcPr>
            <w:tcW w:w="0" w:type="dxa"/>
            <w:vAlign w:val="bottom"/>
          </w:tcPr>
          <w:p>
            <w:pPr>
              <w:spacing w:after="0"/>
              <w:rPr>
                <w:sz w:val="1"/>
                <w:szCs w:val="1"/>
                <w:color w:val="auto"/>
              </w:rPr>
            </w:pPr>
          </w:p>
        </w:tc>
      </w:tr>
      <w:tr>
        <w:trPr>
          <w:trHeight w:val="68"/>
        </w:trPr>
        <w:tc>
          <w:tcPr>
            <w:tcW w:w="164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20" w:right="3100" w:hanging="380"/>
        <w:spacing w:after="0" w:line="282" w:lineRule="auto"/>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2,741,432</w:t>
      </w:r>
    </w:p>
    <w:p>
      <w:pPr>
        <w:spacing w:after="0" w:line="94" w:lineRule="exact"/>
        <w:rPr>
          <w:sz w:val="20"/>
          <w:szCs w:val="20"/>
          <w:color w:val="auto"/>
        </w:rPr>
      </w:pPr>
    </w:p>
    <w:p>
      <w:pPr>
        <w:ind w:left="620" w:right="2580" w:hanging="425"/>
        <w:spacing w:after="0" w:line="282" w:lineRule="auto"/>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 ]</w:t>
      </w:r>
    </w:p>
    <w:p>
      <w:pPr>
        <w:spacing w:after="0" w:line="94" w:lineRule="exact"/>
        <w:rPr>
          <w:rFonts w:ascii="Arial" w:cs="Arial" w:eastAsia="Arial" w:hAnsi="Arial"/>
          <w:sz w:val="18"/>
          <w:szCs w:val="18"/>
          <w:color w:val="auto"/>
        </w:rPr>
      </w:pPr>
    </w:p>
    <w:p>
      <w:pPr>
        <w:ind w:left="620" w:right="4720" w:hanging="422"/>
        <w:spacing w:after="0" w:line="282" w:lineRule="auto"/>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6.5%</w:t>
      </w:r>
    </w:p>
    <w:p>
      <w:pPr>
        <w:spacing w:after="0" w:line="94" w:lineRule="exact"/>
        <w:rPr>
          <w:rFonts w:ascii="Arial" w:cs="Arial" w:eastAsia="Arial" w:hAnsi="Arial"/>
          <w:sz w:val="18"/>
          <w:szCs w:val="18"/>
          <w:color w:val="auto"/>
        </w:rPr>
      </w:pPr>
    </w:p>
    <w:p>
      <w:pPr>
        <w:ind w:left="620" w:right="7360" w:hanging="425"/>
        <w:spacing w:after="0" w:line="282" w:lineRule="auto"/>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IN, HC</w:t>
      </w:r>
    </w:p>
    <w:p>
      <w:pPr>
        <w:sectPr>
          <w:pgSz w:w="11900" w:h="16838" w:orient="portrait"/>
          <w:cols w:equalWidth="0" w:num="1">
            <w:col w:w="10660"/>
          </w:cols>
          <w:pgMar w:left="240" w:top="931" w:right="999" w:bottom="1440" w:gutter="0" w:footer="0" w:header="0"/>
        </w:sectPr>
      </w:pPr>
    </w:p>
    <w:bookmarkStart w:id="4" w:name="page5"/>
    <w:bookmarkEnd w:id="4"/>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79625" cy="269875"/>
                    </a:xfrm>
                    <a:prstGeom prst="rect">
                      <a:avLst/>
                    </a:prstGeom>
                    <a:noFill/>
                  </pic:spPr>
                </pic:pic>
              </a:graphicData>
            </a:graphic>
          </wp:anchor>
        </w:drawing>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6757670" cy="4682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57670" cy="46824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20" w:right="7280" w:hanging="380"/>
        <w:spacing w:after="0" w:line="282" w:lineRule="auto"/>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NAME OF REPORTING PERSON </w:t>
      </w:r>
      <w:r>
        <w:rPr>
          <w:rFonts w:ascii="Arial" w:cs="Arial" w:eastAsia="Arial" w:hAnsi="Arial"/>
          <w:sz w:val="18"/>
          <w:szCs w:val="18"/>
          <w:color w:val="auto"/>
        </w:rPr>
        <w:t>Eric Soderlund</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I.R.S. IDENTIFICATION NO. OF ABOVE PERSON (ENTITIES ONLY)</w:t>
      </w:r>
    </w:p>
    <w:p>
      <w:pPr>
        <w:spacing w:after="0" w:line="158" w:lineRule="exact"/>
        <w:rPr>
          <w:sz w:val="20"/>
          <w:szCs w:val="20"/>
          <w:color w:val="auto"/>
        </w:rPr>
      </w:pPr>
    </w:p>
    <w:p>
      <w:pPr>
        <w:ind w:left="620" w:hanging="380"/>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color w:val="auto"/>
        </w:rPr>
      </w:pPr>
    </w:p>
    <w:p>
      <w:pPr>
        <w:ind w:left="880" w:hanging="251"/>
        <w:spacing w:after="0"/>
        <w:tabs>
          <w:tab w:leader="none" w:pos="8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880" w:hanging="251"/>
        <w:spacing w:after="0"/>
        <w:tabs>
          <w:tab w:leader="none" w:pos="8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[X]</w:t>
      </w:r>
    </w:p>
    <w:p>
      <w:pPr>
        <w:spacing w:after="0" w:line="139" w:lineRule="exact"/>
        <w:rPr>
          <w:sz w:val="20"/>
          <w:szCs w:val="20"/>
          <w:color w:val="auto"/>
        </w:rPr>
      </w:pPr>
    </w:p>
    <w:p>
      <w:pPr>
        <w:ind w:left="620" w:hanging="380"/>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158" w:lineRule="exact"/>
        <w:rPr>
          <w:sz w:val="20"/>
          <w:szCs w:val="20"/>
          <w:color w:val="auto"/>
        </w:rPr>
      </w:pPr>
    </w:p>
    <w:p>
      <w:pPr>
        <w:ind w:left="620" w:right="6100" w:hanging="380"/>
        <w:spacing w:after="0" w:line="282" w:lineRule="auto"/>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USA</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640" w:type="dxa"/>
            <w:vAlign w:val="bottom"/>
            <w:tcBorders>
              <w:top w:val="single" w:sz="8" w:color="auto"/>
              <w:right w:val="single" w:sz="8" w:color="auto"/>
            </w:tcBorders>
          </w:tcPr>
          <w:p>
            <w:pPr>
              <w:spacing w:after="0"/>
              <w:rPr>
                <w:sz w:val="24"/>
                <w:szCs w:val="24"/>
                <w:color w:val="auto"/>
              </w:rPr>
            </w:pPr>
          </w:p>
        </w:tc>
        <w:tc>
          <w:tcPr>
            <w:tcW w:w="520" w:type="dxa"/>
            <w:vAlign w:val="bottom"/>
            <w:tcBorders>
              <w:top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5</w:t>
            </w:r>
          </w:p>
        </w:tc>
        <w:tc>
          <w:tcPr>
            <w:tcW w:w="8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520" w:type="dxa"/>
            <w:vAlign w:val="bottom"/>
            <w:tcBorders>
              <w:right w:val="single" w:sz="8" w:color="auto"/>
            </w:tcBorders>
          </w:tcPr>
          <w:p>
            <w:pPr>
              <w:spacing w:after="0"/>
              <w:rPr>
                <w:sz w:val="20"/>
                <w:szCs w:val="20"/>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640" w:type="dxa"/>
            <w:vAlign w:val="bottom"/>
            <w:tcBorders>
              <w:right w:val="single" w:sz="8" w:color="auto"/>
            </w:tcBorders>
            <w:vMerge w:val="continue"/>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SHARES</w:t>
            </w:r>
          </w:p>
        </w:tc>
        <w:tc>
          <w:tcPr>
            <w:tcW w:w="5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6</w:t>
            </w:r>
          </w:p>
        </w:tc>
        <w:tc>
          <w:tcPr>
            <w:tcW w:w="8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520" w:type="dxa"/>
            <w:vAlign w:val="bottom"/>
            <w:tcBorders>
              <w:right w:val="single" w:sz="8" w:color="auto"/>
            </w:tcBorders>
          </w:tcPr>
          <w:p>
            <w:pPr>
              <w:spacing w:after="0"/>
              <w:rPr>
                <w:sz w:val="18"/>
                <w:szCs w:val="18"/>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2,741,432</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OWNED BY</w:t>
            </w:r>
          </w:p>
        </w:tc>
        <w:tc>
          <w:tcPr>
            <w:tcW w:w="520" w:type="dxa"/>
            <w:vAlign w:val="bottom"/>
            <w:tcBorders>
              <w:bottom w:val="single" w:sz="8" w:color="auto"/>
              <w:right w:val="single" w:sz="8" w:color="auto"/>
            </w:tcBorders>
          </w:tcPr>
          <w:p>
            <w:pPr>
              <w:spacing w:after="0"/>
              <w:rPr>
                <w:sz w:val="10"/>
                <w:szCs w:val="10"/>
                <w:color w:val="auto"/>
              </w:rPr>
            </w:pPr>
          </w:p>
        </w:tc>
        <w:tc>
          <w:tcPr>
            <w:tcW w:w="85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7</w:t>
            </w:r>
          </w:p>
        </w:tc>
        <w:tc>
          <w:tcPr>
            <w:tcW w:w="8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93"/>
        </w:trPr>
        <w:tc>
          <w:tcPr>
            <w:tcW w:w="164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b w:val="1"/>
                <w:bCs w:val="1"/>
                <w:color w:val="auto"/>
              </w:rPr>
              <w:t>EACH</w:t>
            </w:r>
          </w:p>
        </w:tc>
        <w:tc>
          <w:tcPr>
            <w:tcW w:w="520" w:type="dxa"/>
            <w:vAlign w:val="bottom"/>
            <w:tcBorders>
              <w:right w:val="single" w:sz="8" w:color="auto"/>
            </w:tcBorders>
            <w:vMerge w:val="continue"/>
          </w:tcPr>
          <w:p>
            <w:pPr>
              <w:spacing w:after="0"/>
              <w:rPr>
                <w:sz w:val="16"/>
                <w:szCs w:val="16"/>
                <w:color w:val="auto"/>
              </w:rPr>
            </w:pPr>
          </w:p>
        </w:tc>
        <w:tc>
          <w:tcPr>
            <w:tcW w:w="8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REPORTING</w:t>
            </w:r>
          </w:p>
        </w:tc>
        <w:tc>
          <w:tcPr>
            <w:tcW w:w="520" w:type="dxa"/>
            <w:vAlign w:val="bottom"/>
            <w:tcBorders>
              <w:right w:val="single" w:sz="8" w:color="auto"/>
            </w:tcBorders>
          </w:tcPr>
          <w:p>
            <w:pPr>
              <w:spacing w:after="0"/>
              <w:rPr>
                <w:sz w:val="20"/>
                <w:szCs w:val="20"/>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9"/>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640" w:type="dxa"/>
            <w:vAlign w:val="bottom"/>
            <w:tcBorders>
              <w:right w:val="single" w:sz="8" w:color="auto"/>
            </w:tcBorders>
            <w:vMerge w:val="continue"/>
          </w:tcPr>
          <w:p>
            <w:pPr>
              <w:spacing w:after="0"/>
              <w:rPr>
                <w:sz w:val="13"/>
                <w:szCs w:val="13"/>
                <w:color w:val="auto"/>
              </w:rPr>
            </w:pPr>
          </w:p>
        </w:tc>
        <w:tc>
          <w:tcPr>
            <w:tcW w:w="52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8</w:t>
            </w:r>
          </w:p>
        </w:tc>
        <w:tc>
          <w:tcPr>
            <w:tcW w:w="8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07"/>
        </w:trPr>
        <w:tc>
          <w:tcPr>
            <w:tcW w:w="1640" w:type="dxa"/>
            <w:vAlign w:val="bottom"/>
            <w:tcBorders>
              <w:right w:val="single" w:sz="8" w:color="auto"/>
            </w:tcBorders>
          </w:tcPr>
          <w:p>
            <w:pPr>
              <w:spacing w:after="0"/>
              <w:rPr>
                <w:sz w:val="9"/>
                <w:szCs w:val="9"/>
                <w:color w:val="auto"/>
              </w:rPr>
            </w:pPr>
          </w:p>
        </w:tc>
        <w:tc>
          <w:tcPr>
            <w:tcW w:w="520" w:type="dxa"/>
            <w:vAlign w:val="bottom"/>
            <w:tcBorders>
              <w:right w:val="single" w:sz="8" w:color="auto"/>
            </w:tcBorders>
            <w:vMerge w:val="continue"/>
          </w:tcPr>
          <w:p>
            <w:pPr>
              <w:spacing w:after="0"/>
              <w:rPr>
                <w:sz w:val="9"/>
                <w:szCs w:val="9"/>
                <w:color w:val="auto"/>
              </w:rPr>
            </w:pPr>
          </w:p>
        </w:tc>
        <w:tc>
          <w:tcPr>
            <w:tcW w:w="8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2,741,432</w:t>
            </w:r>
          </w:p>
        </w:tc>
        <w:tc>
          <w:tcPr>
            <w:tcW w:w="0" w:type="dxa"/>
            <w:vAlign w:val="bottom"/>
          </w:tcPr>
          <w:p>
            <w:pPr>
              <w:spacing w:after="0"/>
              <w:rPr>
                <w:sz w:val="1"/>
                <w:szCs w:val="1"/>
                <w:color w:val="auto"/>
              </w:rPr>
            </w:pPr>
          </w:p>
        </w:tc>
      </w:tr>
      <w:tr>
        <w:trPr>
          <w:trHeight w:val="68"/>
        </w:trPr>
        <w:tc>
          <w:tcPr>
            <w:tcW w:w="164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20" w:right="3100" w:hanging="380"/>
        <w:spacing w:after="0" w:line="282" w:lineRule="auto"/>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2,741,432</w:t>
      </w:r>
    </w:p>
    <w:p>
      <w:pPr>
        <w:spacing w:after="0" w:line="94" w:lineRule="exact"/>
        <w:rPr>
          <w:sz w:val="20"/>
          <w:szCs w:val="20"/>
          <w:color w:val="auto"/>
        </w:rPr>
      </w:pPr>
    </w:p>
    <w:p>
      <w:pPr>
        <w:ind w:left="620" w:right="2580" w:hanging="425"/>
        <w:spacing w:after="0" w:line="282" w:lineRule="auto"/>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 ]</w:t>
      </w:r>
    </w:p>
    <w:p>
      <w:pPr>
        <w:spacing w:after="0" w:line="94" w:lineRule="exact"/>
        <w:rPr>
          <w:rFonts w:ascii="Arial" w:cs="Arial" w:eastAsia="Arial" w:hAnsi="Arial"/>
          <w:sz w:val="18"/>
          <w:szCs w:val="18"/>
          <w:color w:val="auto"/>
        </w:rPr>
      </w:pPr>
    </w:p>
    <w:p>
      <w:pPr>
        <w:ind w:left="620" w:right="4720" w:hanging="422"/>
        <w:spacing w:after="0" w:line="282" w:lineRule="auto"/>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6.5%</w:t>
      </w:r>
    </w:p>
    <w:p>
      <w:pPr>
        <w:spacing w:after="0" w:line="94" w:lineRule="exact"/>
        <w:rPr>
          <w:rFonts w:ascii="Arial" w:cs="Arial" w:eastAsia="Arial" w:hAnsi="Arial"/>
          <w:sz w:val="18"/>
          <w:szCs w:val="18"/>
          <w:color w:val="auto"/>
        </w:rPr>
      </w:pPr>
    </w:p>
    <w:p>
      <w:pPr>
        <w:ind w:left="620" w:right="7360" w:hanging="425"/>
        <w:spacing w:after="0" w:line="282" w:lineRule="auto"/>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IN, HC</w:t>
      </w:r>
    </w:p>
    <w:p>
      <w:pPr>
        <w:sectPr>
          <w:pgSz w:w="11900" w:h="16838" w:orient="portrait"/>
          <w:cols w:equalWidth="0" w:num="1">
            <w:col w:w="10660"/>
          </w:cols>
          <w:pgMar w:left="240" w:top="931" w:right="999" w:bottom="1440" w:gutter="0" w:footer="0" w:header="0"/>
        </w:sectPr>
      </w:pPr>
    </w:p>
    <w:bookmarkStart w:id="5" w:name="page6"/>
    <w:bookmarkEnd w:id="5"/>
    <w:p>
      <w:pPr>
        <w:ind w:left="3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79625" cy="269875"/>
                    </a:xfrm>
                    <a:prstGeom prst="rect">
                      <a:avLst/>
                    </a:prstGeom>
                    <a:noFill/>
                  </pic:spPr>
                </pic:pic>
              </a:graphicData>
            </a:graphic>
          </wp:anchor>
        </w:drawing>
        <w:t>CUSIP No.: 629337106</w:t>
      </w:r>
    </w:p>
    <w:p>
      <w:pPr>
        <w:spacing w:after="0" w:line="200" w:lineRule="exact"/>
        <w:rPr>
          <w:sz w:val="20"/>
          <w:szCs w:val="20"/>
          <w:color w:val="auto"/>
        </w:rPr>
      </w:pPr>
    </w:p>
    <w:p>
      <w:pPr>
        <w:spacing w:after="0" w:line="336" w:lineRule="exact"/>
        <w:rPr>
          <w:sz w:val="20"/>
          <w:szCs w:val="20"/>
          <w:color w:val="auto"/>
        </w:rPr>
      </w:pPr>
    </w:p>
    <w:p>
      <w:pPr>
        <w:jc w:val="center"/>
        <w:ind w:right="7840"/>
        <w:spacing w:after="0"/>
        <w:tabs>
          <w:tab w:leader="none" w:pos="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NAME OF ISSUER: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NN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6210 Ardrey Kell Road, Charlotte, North Carolina 28277</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2(a).</w:t>
        <w:tab/>
        <w:t>NAME OF PERSON FILING:</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Corre Partners Advisors, LLC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Corre Partners Management, LLC</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John Barrett</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Eric Soderlund (collectively the "Reporting Persons")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12 East 49th Street, 40th Floor, New York, NY 10017</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2(c).</w:t>
        <w:tab/>
        <w:t>CITIZENSHIP: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Corre Partners Advisors, LLC - Delaware</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Corre Partners Management, LLC - Delaware</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John Barrett - USA</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Eric Soderlund - USA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Common Stock, $0.01 par value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629337106</w:t>
      </w:r>
    </w:p>
    <w:p>
      <w:pPr>
        <w:spacing w:after="0" w:line="221" w:lineRule="exact"/>
        <w:rPr>
          <w:sz w:val="20"/>
          <w:szCs w:val="20"/>
          <w:color w:val="auto"/>
        </w:rPr>
      </w:pPr>
    </w:p>
    <w:p>
      <w:pPr>
        <w:ind w:left="1020" w:right="10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SECTION 240.13d-1(b), or 13d-2(b) or (c) CHECK WHETHER THE PERSON FILING IS A:</w:t>
      </w:r>
    </w:p>
    <w:p>
      <w:pPr>
        <w:spacing w:after="0" w:line="85" w:lineRule="exact"/>
        <w:rPr>
          <w:sz w:val="20"/>
          <w:szCs w:val="20"/>
          <w:color w:val="auto"/>
        </w:rPr>
      </w:pPr>
    </w:p>
    <w:p>
      <w:pPr>
        <w:ind w:left="1480" w:hanging="457"/>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Broker or dealer registered under Section 15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Bank as defined in Section 3(a)(6)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Insurance company as defined in Section 3(a)(19)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Investment company registered under Section 8 of the Investment Company Act of 1940 (15 U.S.C 80a-8);</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employee benefit plan or endowment fund in accordance with 240.13d-1(b)(1)(ii)(F);</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 parent holding company or control person in accordance with 240.13d-1(b)(1)(ii)(G);</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savings associations as defined in Section 3(b) of the Federal Deposit Insurance Act (12 U.S.C. 1813);</w:t>
      </w:r>
    </w:p>
    <w:p>
      <w:pPr>
        <w:spacing w:after="0" w:line="144" w:lineRule="exact"/>
        <w:rPr>
          <w:rFonts w:ascii="Arial" w:cs="Arial" w:eastAsia="Arial" w:hAnsi="Arial"/>
          <w:sz w:val="18"/>
          <w:szCs w:val="18"/>
          <w:color w:val="auto"/>
        </w:rPr>
      </w:pPr>
    </w:p>
    <w:p>
      <w:pPr>
        <w:ind w:left="2180" w:right="600" w:hanging="1157"/>
        <w:spacing w:after="0" w:line="277" w:lineRule="auto"/>
        <w:tabs>
          <w:tab w:leader="none" w:pos="1469" w:val="left"/>
        </w:tabs>
        <w:numPr>
          <w:ilvl w:val="0"/>
          <w:numId w:val="27"/>
        </w:numPr>
        <w:rPr>
          <w:rFonts w:ascii="Arial" w:cs="Arial" w:eastAsia="Arial" w:hAnsi="Arial"/>
          <w:sz w:val="18"/>
          <w:szCs w:val="18"/>
          <w:color w:val="auto"/>
        </w:rPr>
      </w:pPr>
      <w:r>
        <w:rPr>
          <w:rFonts w:ascii="Arial" w:cs="Arial" w:eastAsia="Arial" w:hAnsi="Arial"/>
          <w:sz w:val="18"/>
          <w:szCs w:val="18"/>
          <w:color w:val="auto"/>
        </w:rPr>
        <w:t>[ ]A church plan that is excluded from the definition of an investment company under Section 3(c)(14) of the Investment Company Act of 1940 (15 U.S.C. 80a-3);</w:t>
      </w:r>
    </w:p>
    <w:p>
      <w:pPr>
        <w:spacing w:after="0" w:line="89" w:lineRule="exact"/>
        <w:rPr>
          <w:rFonts w:ascii="Arial" w:cs="Arial" w:eastAsia="Arial" w:hAnsi="Arial"/>
          <w:sz w:val="18"/>
          <w:szCs w:val="18"/>
          <w:color w:val="auto"/>
        </w:rPr>
      </w:pPr>
    </w:p>
    <w:p>
      <w:pPr>
        <w:ind w:left="1480" w:hanging="457"/>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non-U.S. institution in accordance with 240.13d-1(b)(1)(ii)(J);</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Group, in accordance with 240.13d-1(b)(1)(ii)(K). If filing as a non-U.S. institution in accordance with</w:t>
      </w:r>
    </w:p>
    <w:p>
      <w:pPr>
        <w:spacing w:after="0" w:line="23"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240.13d1(b)(1)(ii)(J), please specify the type of institution:</w:t>
      </w:r>
    </w:p>
    <w:p>
      <w:pPr>
        <w:spacing w:after="0" w:line="200" w:lineRule="exact"/>
        <w:rPr>
          <w:sz w:val="20"/>
          <w:szCs w:val="20"/>
          <w:color w:val="auto"/>
        </w:rPr>
      </w:pPr>
    </w:p>
    <w:p>
      <w:pPr>
        <w:spacing w:after="0" w:line="2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OWNERSHIP</w:t>
      </w:r>
    </w:p>
    <w:p>
      <w:pPr>
        <w:spacing w:after="0" w:line="144"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(a) Amount beneficially owned:</w:t>
      </w:r>
    </w:p>
    <w:p>
      <w:pPr>
        <w:spacing w:after="0" w:line="148" w:lineRule="exact"/>
        <w:rPr>
          <w:sz w:val="20"/>
          <w:szCs w:val="20"/>
          <w:color w:val="auto"/>
        </w:rPr>
      </w:pPr>
    </w:p>
    <w:p>
      <w:pPr>
        <w:ind w:left="1020" w:right="120"/>
        <w:spacing w:after="0" w:line="277" w:lineRule="auto"/>
        <w:rPr>
          <w:sz w:val="20"/>
          <w:szCs w:val="20"/>
          <w:color w:val="auto"/>
        </w:rPr>
      </w:pPr>
      <w:r>
        <w:rPr>
          <w:rFonts w:ascii="Arial" w:cs="Arial" w:eastAsia="Arial" w:hAnsi="Arial"/>
          <w:sz w:val="18"/>
          <w:szCs w:val="18"/>
          <w:color w:val="auto"/>
        </w:rPr>
        <w:t>Percentages disclosed herein are based on 42,104,207 shares outstanding reported as of 11/1/19 by the issuer on the 9/30/19 10-Q filed on 11/8/19.</w:t>
      </w:r>
    </w:p>
    <w:p>
      <w:pPr>
        <w:spacing w:after="0" w:line="85"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(b) Percent of class:</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6.2%</w:t>
      </w:r>
    </w:p>
    <w:p>
      <w:pPr>
        <w:spacing w:after="0" w:line="140" w:lineRule="exact"/>
        <w:rPr>
          <w:sz w:val="20"/>
          <w:szCs w:val="20"/>
          <w:color w:val="auto"/>
        </w:rPr>
      </w:pPr>
    </w:p>
    <w:p>
      <w:pPr>
        <w:ind w:left="1260" w:hanging="237"/>
        <w:spacing w:after="0"/>
        <w:tabs>
          <w:tab w:leader="none" w:pos="12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148" w:lineRule="exact"/>
        <w:rPr>
          <w:rFonts w:ascii="Arial" w:cs="Arial" w:eastAsia="Arial" w:hAnsi="Arial"/>
          <w:sz w:val="18"/>
          <w:szCs w:val="18"/>
          <w:b w:val="1"/>
          <w:bCs w:val="1"/>
          <w:color w:val="auto"/>
        </w:rPr>
      </w:pPr>
    </w:p>
    <w:p>
      <w:pPr>
        <w:ind w:left="1540" w:hanging="206"/>
        <w:spacing w:after="0"/>
        <w:tabs>
          <w:tab w:leader="none" w:pos="15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144" w:lineRule="exact"/>
        <w:rPr>
          <w:sz w:val="20"/>
          <w:szCs w:val="20"/>
          <w:color w:val="auto"/>
        </w:rPr>
      </w:pPr>
    </w:p>
    <w:p>
      <w:pPr>
        <w:ind w:left="1340"/>
        <w:spacing w:after="0" w:line="342" w:lineRule="auto"/>
        <w:rPr>
          <w:sz w:val="20"/>
          <w:szCs w:val="20"/>
          <w:color w:val="auto"/>
        </w:rPr>
      </w:pPr>
      <w:r>
        <w:rPr>
          <w:rFonts w:ascii="Arial" w:cs="Arial" w:eastAsia="Arial" w:hAnsi="Arial"/>
          <w:sz w:val="16"/>
          <w:szCs w:val="16"/>
          <w:color w:val="auto"/>
        </w:rPr>
        <w:t>The private investment vehicles managed by Corre Partners Management, LLC (the "Funds"), each has the authority to dispose of and vote the shares of common stock directly owned by it, which power may be exercised by the General Partner of</w:t>
      </w:r>
    </w:p>
    <w:p>
      <w:pPr>
        <w:sectPr>
          <w:pgSz w:w="11900" w:h="16838" w:orient="portrait"/>
          <w:cols w:equalWidth="0" w:num="1">
            <w:col w:w="10460"/>
          </w:cols>
          <w:pgMar w:left="320" w:top="931" w:right="1119" w:bottom="0" w:gutter="0" w:footer="0" w:header="0"/>
        </w:sectPr>
      </w:pPr>
    </w:p>
    <w:bookmarkStart w:id="6" w:name="page7"/>
    <w:bookmarkEnd w:id="6"/>
    <w:p>
      <w:pPr>
        <w:ind w:left="1340" w:right="80"/>
        <w:spacing w:after="0" w:line="277" w:lineRule="auto"/>
        <w:rPr>
          <w:sz w:val="20"/>
          <w:szCs w:val="20"/>
          <w:color w:val="auto"/>
        </w:rPr>
      </w:pPr>
      <w:r>
        <w:rPr>
          <w:rFonts w:ascii="Arial" w:cs="Arial" w:eastAsia="Arial" w:hAnsi="Arial"/>
          <w:sz w:val="18"/>
          <w:szCs w:val="18"/>
          <w:color w:val="auto"/>
        </w:rPr>
        <w:t>the Funds, Corre Partners Advisors, LLC (the "General Partner") and by Corre Partners Management, LLC, an affiliate of the General Partner, which is the investment adviser to the Funds (the "Investment Adviser").</w:t>
      </w:r>
    </w:p>
    <w:p>
      <w:pPr>
        <w:spacing w:after="0" w:line="8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(ii) shared power to vote or to direct the vote:</w:t>
      </w:r>
    </w:p>
    <w:p>
      <w:pPr>
        <w:spacing w:after="0" w:line="144" w:lineRule="exact"/>
        <w:rPr>
          <w:sz w:val="20"/>
          <w:szCs w:val="20"/>
          <w:color w:val="auto"/>
        </w:rPr>
      </w:pPr>
    </w:p>
    <w:p>
      <w:pPr>
        <w:ind w:left="1340" w:right="80"/>
        <w:spacing w:after="0" w:line="257" w:lineRule="auto"/>
        <w:rPr>
          <w:sz w:val="20"/>
          <w:szCs w:val="20"/>
          <w:color w:val="auto"/>
        </w:rPr>
      </w:pPr>
      <w:r>
        <w:rPr>
          <w:rFonts w:ascii="Arial" w:cs="Arial" w:eastAsia="Arial" w:hAnsi="Arial"/>
          <w:sz w:val="18"/>
          <w:szCs w:val="18"/>
          <w:color w:val="auto"/>
        </w:rPr>
        <w:t>John Barrett and Eric Soderlund are each Managing Members of the General Partner and the Investment Adviser (the "Managing Members"), and as such each has shared authority to dispose of and vote the shares of common stock. Based on Rule 13d-3 of the Securities Exchange Act of 1934, as amended, the General Partner, the Investment Adviser and the Managing Members may be deemed to beneficially own the shares of common stock directly held by the Funds, but disclaim ownership for any other purpose.</w:t>
      </w:r>
    </w:p>
    <w:p>
      <w:pPr>
        <w:spacing w:after="0" w:line="107" w:lineRule="exact"/>
        <w:rPr>
          <w:sz w:val="20"/>
          <w:szCs w:val="20"/>
          <w:color w:val="auto"/>
        </w:rPr>
      </w:pPr>
    </w:p>
    <w:p>
      <w:pPr>
        <w:ind w:left="1640" w:hanging="306"/>
        <w:spacing w:after="0"/>
        <w:tabs>
          <w:tab w:leader="none" w:pos="1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sole power to dispose or direct the disposition of:</w:t>
      </w:r>
    </w:p>
    <w:p>
      <w:pPr>
        <w:spacing w:after="0" w:line="144"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N/A</w:t>
      </w:r>
    </w:p>
    <w:p>
      <w:pPr>
        <w:spacing w:after="0" w:line="144" w:lineRule="exact"/>
        <w:rPr>
          <w:rFonts w:ascii="Arial" w:cs="Arial" w:eastAsia="Arial" w:hAnsi="Arial"/>
          <w:sz w:val="18"/>
          <w:szCs w:val="18"/>
          <w:color w:val="auto"/>
        </w:rPr>
      </w:pPr>
    </w:p>
    <w:p>
      <w:pPr>
        <w:ind w:left="1340" w:right="4880" w:hanging="6"/>
        <w:spacing w:after="0" w:line="404" w:lineRule="auto"/>
        <w:tabs>
          <w:tab w:leader="none" w:pos="1645" w:val="left"/>
        </w:tabs>
        <w:numPr>
          <w:ilvl w:val="0"/>
          <w:numId w:val="2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N/A</w:t>
      </w:r>
    </w:p>
    <w:p>
      <w:pPr>
        <w:spacing w:after="0" w:line="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OWNERSHIP OF FIVE PERCENT OR LESS OF A CLASS:</w:t>
      </w:r>
    </w:p>
    <w:p>
      <w:pPr>
        <w:spacing w:after="0" w:line="94"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ind w:left="1020" w:right="24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3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NOTICE OF DISSOLUTION OF GROUP: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w:t>
        <w:tab/>
        <w:t>CERTIFICATION:</w:t>
      </w:r>
    </w:p>
    <w:p>
      <w:pPr>
        <w:spacing w:after="0" w:line="94" w:lineRule="exact"/>
        <w:rPr>
          <w:sz w:val="20"/>
          <w:szCs w:val="20"/>
          <w:color w:val="auto"/>
        </w:rPr>
      </w:pPr>
    </w:p>
    <w:p>
      <w:pPr>
        <w:ind w:left="1020" w:right="2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440"/>
          </w:cols>
          <w:pgMar w:left="320" w:top="125" w:right="1139" w:bottom="1440" w:gutter="0" w:footer="0" w:header="0"/>
        </w:sectPr>
      </w:pPr>
    </w:p>
    <w:bookmarkStart w:id="7" w:name="page8"/>
    <w:bookmarkEnd w:id="7"/>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79625" cy="269875"/>
                    </a:xfrm>
                    <a:prstGeom prst="rect">
                      <a:avLst/>
                    </a:prstGeom>
                    <a:noFill/>
                  </pic:spPr>
                </pic:pic>
              </a:graphicData>
            </a:graphic>
          </wp:anchor>
        </w:drawing>
        <w:t>CUSIP No.: 629337106</w:t>
      </w:r>
    </w:p>
    <w:p>
      <w:pPr>
        <w:spacing w:after="0" w:line="200" w:lineRule="exact"/>
        <w:rPr>
          <w:sz w:val="20"/>
          <w:szCs w:val="20"/>
          <w:color w:val="auto"/>
        </w:rPr>
      </w:pPr>
    </w:p>
    <w:p>
      <w:pPr>
        <w:spacing w:after="0" w:line="205" w:lineRule="exact"/>
        <w:rPr>
          <w:sz w:val="20"/>
          <w:szCs w:val="20"/>
          <w:color w:val="auto"/>
        </w:rPr>
      </w:pPr>
    </w:p>
    <w:p>
      <w:pPr>
        <w:jc w:val="center"/>
        <w:ind w:right="-420"/>
        <w:spacing w:after="0"/>
        <w:rPr>
          <w:sz w:val="20"/>
          <w:szCs w:val="20"/>
          <w:color w:val="auto"/>
        </w:rPr>
      </w:pPr>
      <w:r>
        <w:rPr>
          <w:rFonts w:ascii="Arial" w:cs="Arial" w:eastAsia="Arial" w:hAnsi="Arial"/>
          <w:sz w:val="22"/>
          <w:szCs w:val="22"/>
          <w:b w:val="1"/>
          <w:bCs w:val="1"/>
          <w:color w:val="auto"/>
        </w:rPr>
        <w:t>SIGNATURE</w:t>
      </w:r>
    </w:p>
    <w:p>
      <w:pPr>
        <w:spacing w:after="0" w:line="350" w:lineRule="exact"/>
        <w:rPr>
          <w:sz w:val="20"/>
          <w:szCs w:val="20"/>
          <w:color w:val="auto"/>
        </w:rPr>
      </w:pPr>
    </w:p>
    <w:p>
      <w:pPr>
        <w:ind w:left="900"/>
        <w:spacing w:after="0"/>
        <w:rPr>
          <w:sz w:val="20"/>
          <w:szCs w:val="20"/>
          <w:color w:val="auto"/>
        </w:rPr>
      </w:pPr>
      <w:r>
        <w:rPr>
          <w:rFonts w:ascii="Arial" w:cs="Arial" w:eastAsia="Arial" w:hAnsi="Arial"/>
          <w:sz w:val="13"/>
          <w:szCs w:val="13"/>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180" w:type="dxa"/>
            <w:vAlign w:val="bottom"/>
          </w:tcPr>
          <w:p>
            <w:pPr>
              <w:spacing w:after="0"/>
              <w:rPr>
                <w:sz w:val="20"/>
                <w:szCs w:val="20"/>
                <w:color w:val="auto"/>
              </w:rPr>
            </w:pPr>
            <w:r>
              <w:rPr>
                <w:rFonts w:ascii="Arial" w:cs="Arial" w:eastAsia="Arial" w:hAnsi="Arial"/>
                <w:sz w:val="16"/>
                <w:szCs w:val="16"/>
                <w:color w:val="auto"/>
              </w:rPr>
              <w:t>February 13 2020</w:t>
            </w:r>
          </w:p>
        </w:tc>
        <w:tc>
          <w:tcPr>
            <w:tcW w:w="6160" w:type="dxa"/>
            <w:vAlign w:val="bottom"/>
            <w:gridSpan w:val="2"/>
          </w:tcPr>
          <w:p>
            <w:pPr>
              <w:ind w:left="1020"/>
              <w:spacing w:after="0"/>
              <w:rPr>
                <w:sz w:val="20"/>
                <w:szCs w:val="20"/>
                <w:color w:val="auto"/>
              </w:rPr>
            </w:pPr>
            <w:r>
              <w:rPr>
                <w:rFonts w:ascii="Arial" w:cs="Arial" w:eastAsia="Arial" w:hAnsi="Arial"/>
                <w:sz w:val="16"/>
                <w:szCs w:val="16"/>
                <w:color w:val="auto"/>
              </w:rPr>
              <w:t>Corre Partners Advisors, LLC, Corre Partners Management, LLC</w:t>
            </w:r>
          </w:p>
        </w:tc>
      </w:tr>
      <w:tr>
        <w:trPr>
          <w:trHeight w:val="283"/>
        </w:trPr>
        <w:tc>
          <w:tcPr>
            <w:tcW w:w="2180" w:type="dxa"/>
            <w:vAlign w:val="bottom"/>
          </w:tcPr>
          <w:p>
            <w:pPr>
              <w:spacing w:after="0"/>
              <w:rPr>
                <w:sz w:val="24"/>
                <w:szCs w:val="24"/>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John Barrett /s/ Eric Soderlund</w:t>
            </w:r>
          </w:p>
        </w:tc>
      </w:tr>
      <w:tr>
        <w:trPr>
          <w:trHeight w:val="278"/>
        </w:trPr>
        <w:tc>
          <w:tcPr>
            <w:tcW w:w="2180" w:type="dxa"/>
            <w:vAlign w:val="bottom"/>
          </w:tcPr>
          <w:p>
            <w:pPr>
              <w:spacing w:after="0"/>
              <w:rPr>
                <w:sz w:val="24"/>
                <w:szCs w:val="24"/>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Name:</w:t>
            </w:r>
          </w:p>
        </w:tc>
        <w:tc>
          <w:tcPr>
            <w:tcW w:w="4480" w:type="dxa"/>
            <w:vAlign w:val="bottom"/>
          </w:tcPr>
          <w:p>
            <w:pPr>
              <w:spacing w:after="0"/>
              <w:rPr>
                <w:sz w:val="20"/>
                <w:szCs w:val="20"/>
                <w:color w:val="auto"/>
              </w:rPr>
            </w:pPr>
            <w:r>
              <w:rPr>
                <w:rFonts w:ascii="Arial" w:cs="Arial" w:eastAsia="Arial" w:hAnsi="Arial"/>
                <w:sz w:val="16"/>
                <w:szCs w:val="16"/>
                <w:color w:val="auto"/>
              </w:rPr>
              <w:t>John Barrett and Eric Soderlund</w:t>
            </w:r>
          </w:p>
        </w:tc>
      </w:tr>
      <w:tr>
        <w:trPr>
          <w:trHeight w:val="266"/>
        </w:trPr>
        <w:tc>
          <w:tcPr>
            <w:tcW w:w="21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4480" w:type="dxa"/>
            <w:vAlign w:val="bottom"/>
          </w:tcPr>
          <w:p>
            <w:pPr>
              <w:spacing w:after="0"/>
              <w:rPr>
                <w:sz w:val="20"/>
                <w:szCs w:val="20"/>
                <w:color w:val="auto"/>
              </w:rPr>
            </w:pPr>
            <w:r>
              <w:rPr>
                <w:rFonts w:ascii="Arial" w:cs="Arial" w:eastAsia="Arial" w:hAnsi="Arial"/>
                <w:sz w:val="16"/>
                <w:szCs w:val="16"/>
                <w:color w:val="auto"/>
                <w:w w:val="92"/>
              </w:rPr>
              <w:t>Individually, as Managing Members of Corre Partners Management,</w:t>
            </w:r>
          </w:p>
        </w:tc>
      </w:tr>
      <w:tr>
        <w:trPr>
          <w:trHeight w:val="203"/>
        </w:trPr>
        <w:tc>
          <w:tcPr>
            <w:tcW w:w="2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480" w:type="dxa"/>
            <w:vAlign w:val="bottom"/>
          </w:tcPr>
          <w:p>
            <w:pPr>
              <w:spacing w:after="0"/>
              <w:rPr>
                <w:sz w:val="20"/>
                <w:szCs w:val="20"/>
                <w:color w:val="auto"/>
              </w:rPr>
            </w:pPr>
            <w:r>
              <w:rPr>
                <w:rFonts w:ascii="Arial" w:cs="Arial" w:eastAsia="Arial" w:hAnsi="Arial"/>
                <w:sz w:val="16"/>
                <w:szCs w:val="16"/>
                <w:color w:val="auto"/>
              </w:rPr>
              <w:t>LLC for itself and as Managing Members of Corre Partners</w:t>
            </w:r>
          </w:p>
        </w:tc>
      </w:tr>
      <w:tr>
        <w:trPr>
          <w:trHeight w:val="203"/>
        </w:trPr>
        <w:tc>
          <w:tcPr>
            <w:tcW w:w="2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480" w:type="dxa"/>
            <w:vAlign w:val="bottom"/>
          </w:tcPr>
          <w:p>
            <w:pPr>
              <w:spacing w:after="0"/>
              <w:rPr>
                <w:sz w:val="20"/>
                <w:szCs w:val="20"/>
                <w:color w:val="auto"/>
              </w:rPr>
            </w:pPr>
            <w:r>
              <w:rPr>
                <w:rFonts w:ascii="Arial" w:cs="Arial" w:eastAsia="Arial" w:hAnsi="Arial"/>
                <w:sz w:val="16"/>
                <w:szCs w:val="16"/>
                <w:color w:val="auto"/>
                <w:w w:val="93"/>
              </w:rPr>
              <w:t>Advisors, LLC for itself and on behalf of private investment vehicles</w:t>
            </w:r>
          </w:p>
        </w:tc>
      </w:tr>
      <w:tr>
        <w:trPr>
          <w:trHeight w:val="203"/>
        </w:trPr>
        <w:tc>
          <w:tcPr>
            <w:tcW w:w="2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480" w:type="dxa"/>
            <w:vAlign w:val="bottom"/>
          </w:tcPr>
          <w:p>
            <w:pPr>
              <w:spacing w:after="0"/>
              <w:rPr>
                <w:sz w:val="20"/>
                <w:szCs w:val="20"/>
                <w:color w:val="auto"/>
              </w:rPr>
            </w:pPr>
            <w:r>
              <w:rPr>
                <w:rFonts w:ascii="Arial" w:cs="Arial" w:eastAsia="Arial" w:hAnsi="Arial"/>
                <w:sz w:val="16"/>
                <w:szCs w:val="16"/>
                <w:color w:val="auto"/>
                <w:w w:val="98"/>
              </w:rPr>
              <w:t>managed by the Investment Manager, in its capacity as General</w:t>
            </w:r>
          </w:p>
        </w:tc>
      </w:tr>
      <w:tr>
        <w:trPr>
          <w:trHeight w:val="206"/>
        </w:trPr>
        <w:tc>
          <w:tcPr>
            <w:tcW w:w="2180" w:type="dxa"/>
            <w:vAlign w:val="bottom"/>
          </w:tcPr>
          <w:p>
            <w:pPr>
              <w:spacing w:after="0"/>
              <w:rPr>
                <w:sz w:val="17"/>
                <w:szCs w:val="17"/>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Title:</w:t>
            </w:r>
          </w:p>
        </w:tc>
        <w:tc>
          <w:tcPr>
            <w:tcW w:w="4480" w:type="dxa"/>
            <w:vAlign w:val="bottom"/>
          </w:tcPr>
          <w:p>
            <w:pPr>
              <w:spacing w:after="0"/>
              <w:rPr>
                <w:sz w:val="20"/>
                <w:szCs w:val="20"/>
                <w:color w:val="auto"/>
              </w:rPr>
            </w:pPr>
            <w:r>
              <w:rPr>
                <w:rFonts w:ascii="Arial" w:cs="Arial" w:eastAsia="Arial" w:hAnsi="Arial"/>
                <w:sz w:val="16"/>
                <w:szCs w:val="16"/>
                <w:color w:val="auto"/>
              </w:rPr>
              <w:t>Partner</w:t>
            </w: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Attention — Intentional misstatements or omissions of fact constitute Federal criminal violations (See 18 U.S.C. 1001).</w:t>
      </w:r>
    </w:p>
    <w:sectPr>
      <w:pgSz w:w="11900" w:h="16838" w:orient="portrait"/>
      <w:cols w:equalWidth="0" w:num="1">
        <w:col w:w="10219"/>
      </w:cols>
      <w:pgMar w:left="24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upperLetter"/>
      <w:start w:val="40"/>
    </w:lvl>
  </w:abstractNum>
  <w:abstractNum w:abstractNumId="1">
    <w:nsid w:val="41A7C4C9"/>
    <w:multiLevelType w:val="hybridMultilevel"/>
    <w:lvl w:ilvl="0">
      <w:lvlJc w:val="left"/>
      <w:lvlText w:val="*"/>
      <w:numFmt w:val="bullet"/>
      <w:start w:val="1"/>
    </w:lvl>
    <w:lvl w:ilvl="1">
      <w:lvlJc w:val="left"/>
      <w:lvlText w:val="[%2]"/>
      <w:numFmt w:val="upperLetter"/>
      <w:start w:val="24"/>
    </w:lvl>
  </w:abstractNum>
  <w:abstractNum w:abstractNumId="2">
    <w:nsid w:val="6B68079A"/>
    <w:multiLevelType w:val="hybridMultilevel"/>
    <w:lvl w:ilvl="0">
      <w:lvlJc w:val="left"/>
      <w:lvlText w:val="1"/>
      <w:numFmt w:val="bullet"/>
      <w:start w:val="1"/>
    </w:lvl>
  </w:abstractNum>
  <w:abstractNum w:abstractNumId="3">
    <w:nsid w:val="4E6AFB66"/>
    <w:multiLevelType w:val="hybridMultilevel"/>
    <w:lvl w:ilvl="0">
      <w:lvlJc w:val="left"/>
      <w:lvlText w:val="2"/>
      <w:numFmt w:val="bullet"/>
      <w:start w:val="1"/>
    </w:lvl>
    <w:lvl w:ilvl="1">
      <w:lvlJc w:val="left"/>
      <w:lvlText w:val="(%2)"/>
      <w:numFmt w:val="lowerLetter"/>
      <w:start w:val="1"/>
    </w:lvl>
  </w:abstractNum>
  <w:abstractNum w:abstractNumId="4">
    <w:nsid w:val="25E45D32"/>
    <w:multiLevelType w:val="hybridMultilevel"/>
    <w:lvl w:ilvl="0">
      <w:lvlJc w:val="left"/>
      <w:lvlText w:val="3"/>
      <w:numFmt w:val="bullet"/>
      <w:start w:val="1"/>
    </w:lvl>
  </w:abstractNum>
  <w:abstractNum w:abstractNumId="5">
    <w:nsid w:val="519B500D"/>
    <w:multiLevelType w:val="hybridMultilevel"/>
    <w:lvl w:ilvl="0">
      <w:lvlJc w:val="left"/>
      <w:lvlText w:val="4"/>
      <w:numFmt w:val="bullet"/>
      <w:start w:val="1"/>
    </w:lvl>
  </w:abstractNum>
  <w:abstractNum w:abstractNumId="6">
    <w:nsid w:val="431BD7B7"/>
    <w:multiLevelType w:val="hybridMultilevel"/>
    <w:lvl w:ilvl="0">
      <w:lvlJc w:val="left"/>
      <w:lvlText w:val="9"/>
      <w:numFmt w:val="bullet"/>
      <w:start w:val="1"/>
    </w:lvl>
  </w:abstractNum>
  <w:abstractNum w:abstractNumId="7">
    <w:nsid w:val="3F2DBA31"/>
    <w:multiLevelType w:val="hybridMultilevel"/>
    <w:lvl w:ilvl="0">
      <w:lvlJc w:val="left"/>
      <w:lvlText w:val="%1"/>
      <w:numFmt w:val="decimal"/>
      <w:start w:val="10"/>
    </w:lvl>
  </w:abstractNum>
  <w:abstractNum w:abstractNumId="8">
    <w:nsid w:val="7C83E458"/>
    <w:multiLevelType w:val="hybridMultilevel"/>
    <w:lvl w:ilvl="0">
      <w:lvlJc w:val="left"/>
      <w:lvlText w:val="1"/>
      <w:numFmt w:val="bullet"/>
      <w:start w:val="1"/>
    </w:lvl>
  </w:abstractNum>
  <w:abstractNum w:abstractNumId="9">
    <w:nsid w:val="257130A3"/>
    <w:multiLevelType w:val="hybridMultilevel"/>
    <w:lvl w:ilvl="0">
      <w:lvlJc w:val="left"/>
      <w:lvlText w:val="2"/>
      <w:numFmt w:val="bullet"/>
      <w:start w:val="1"/>
    </w:lvl>
    <w:lvl w:ilvl="1">
      <w:lvlJc w:val="left"/>
      <w:lvlText w:val="(%2)"/>
      <w:numFmt w:val="lowerLetter"/>
      <w:start w:val="1"/>
    </w:lvl>
  </w:abstractNum>
  <w:abstractNum w:abstractNumId="10">
    <w:nsid w:val="62BBD95A"/>
    <w:multiLevelType w:val="hybridMultilevel"/>
    <w:lvl w:ilvl="0">
      <w:lvlJc w:val="left"/>
      <w:lvlText w:val="3"/>
      <w:numFmt w:val="bullet"/>
      <w:start w:val="1"/>
    </w:lvl>
  </w:abstractNum>
  <w:abstractNum w:abstractNumId="11">
    <w:nsid w:val="436C6125"/>
    <w:multiLevelType w:val="hybridMultilevel"/>
    <w:lvl w:ilvl="0">
      <w:lvlJc w:val="left"/>
      <w:lvlText w:val="4"/>
      <w:numFmt w:val="bullet"/>
      <w:start w:val="1"/>
    </w:lvl>
  </w:abstractNum>
  <w:abstractNum w:abstractNumId="12">
    <w:nsid w:val="628C895D"/>
    <w:multiLevelType w:val="hybridMultilevel"/>
    <w:lvl w:ilvl="0">
      <w:lvlJc w:val="left"/>
      <w:lvlText w:val="9"/>
      <w:numFmt w:val="bullet"/>
      <w:start w:val="1"/>
    </w:lvl>
  </w:abstractNum>
  <w:abstractNum w:abstractNumId="13">
    <w:nsid w:val="333AB105"/>
    <w:multiLevelType w:val="hybridMultilevel"/>
    <w:lvl w:ilvl="0">
      <w:lvlJc w:val="left"/>
      <w:lvlText w:val="%1"/>
      <w:numFmt w:val="decimal"/>
      <w:start w:val="10"/>
    </w:lvl>
  </w:abstractNum>
  <w:abstractNum w:abstractNumId="14">
    <w:nsid w:val="721DA317"/>
    <w:multiLevelType w:val="hybridMultilevel"/>
    <w:lvl w:ilvl="0">
      <w:lvlJc w:val="left"/>
      <w:lvlText w:val="1"/>
      <w:numFmt w:val="bullet"/>
      <w:start w:val="1"/>
    </w:lvl>
  </w:abstractNum>
  <w:abstractNum w:abstractNumId="15">
    <w:nsid w:val="2443A858"/>
    <w:multiLevelType w:val="hybridMultilevel"/>
    <w:lvl w:ilvl="0">
      <w:lvlJc w:val="left"/>
      <w:lvlText w:val="2"/>
      <w:numFmt w:val="bullet"/>
      <w:start w:val="1"/>
    </w:lvl>
    <w:lvl w:ilvl="1">
      <w:lvlJc w:val="left"/>
      <w:lvlText w:val="(%2)"/>
      <w:numFmt w:val="lowerLetter"/>
      <w:start w:val="1"/>
    </w:lvl>
  </w:abstractNum>
  <w:abstractNum w:abstractNumId="16">
    <w:nsid w:val="2D1D5AE9"/>
    <w:multiLevelType w:val="hybridMultilevel"/>
    <w:lvl w:ilvl="0">
      <w:lvlJc w:val="left"/>
      <w:lvlText w:val="3"/>
      <w:numFmt w:val="bullet"/>
      <w:start w:val="1"/>
    </w:lvl>
  </w:abstractNum>
  <w:abstractNum w:abstractNumId="17">
    <w:nsid w:val="6763845E"/>
    <w:multiLevelType w:val="hybridMultilevel"/>
    <w:lvl w:ilvl="0">
      <w:lvlJc w:val="left"/>
      <w:lvlText w:val="4"/>
      <w:numFmt w:val="bullet"/>
      <w:start w:val="1"/>
    </w:lvl>
  </w:abstractNum>
  <w:abstractNum w:abstractNumId="18">
    <w:nsid w:val="75A2A8D4"/>
    <w:multiLevelType w:val="hybridMultilevel"/>
    <w:lvl w:ilvl="0">
      <w:lvlJc w:val="left"/>
      <w:lvlText w:val="9"/>
      <w:numFmt w:val="bullet"/>
      <w:start w:val="1"/>
    </w:lvl>
  </w:abstractNum>
  <w:abstractNum w:abstractNumId="19">
    <w:nsid w:val="8EDBDAB"/>
    <w:multiLevelType w:val="hybridMultilevel"/>
    <w:lvl w:ilvl="0">
      <w:lvlJc w:val="left"/>
      <w:lvlText w:val="%1"/>
      <w:numFmt w:val="decimal"/>
      <w:start w:val="10"/>
    </w:lvl>
  </w:abstractNum>
  <w:abstractNum w:abstractNumId="20">
    <w:nsid w:val="79838CB2"/>
    <w:multiLevelType w:val="hybridMultilevel"/>
    <w:lvl w:ilvl="0">
      <w:lvlJc w:val="left"/>
      <w:lvlText w:val="1"/>
      <w:numFmt w:val="bullet"/>
      <w:start w:val="1"/>
    </w:lvl>
  </w:abstractNum>
  <w:abstractNum w:abstractNumId="21">
    <w:nsid w:val="4353D0CD"/>
    <w:multiLevelType w:val="hybridMultilevel"/>
    <w:lvl w:ilvl="0">
      <w:lvlJc w:val="left"/>
      <w:lvlText w:val="2"/>
      <w:numFmt w:val="bullet"/>
      <w:start w:val="1"/>
    </w:lvl>
    <w:lvl w:ilvl="1">
      <w:lvlJc w:val="left"/>
      <w:lvlText w:val="(%2)"/>
      <w:numFmt w:val="lowerLetter"/>
      <w:start w:val="1"/>
    </w:lvl>
  </w:abstractNum>
  <w:abstractNum w:abstractNumId="22">
    <w:nsid w:val="B03E0C6"/>
    <w:multiLevelType w:val="hybridMultilevel"/>
    <w:lvl w:ilvl="0">
      <w:lvlJc w:val="left"/>
      <w:lvlText w:val="3"/>
      <w:numFmt w:val="bullet"/>
      <w:start w:val="1"/>
    </w:lvl>
  </w:abstractNum>
  <w:abstractNum w:abstractNumId="23">
    <w:nsid w:val="189A769B"/>
    <w:multiLevelType w:val="hybridMultilevel"/>
    <w:lvl w:ilvl="0">
      <w:lvlJc w:val="left"/>
      <w:lvlText w:val="4"/>
      <w:numFmt w:val="bullet"/>
      <w:start w:val="1"/>
    </w:lvl>
  </w:abstractNum>
  <w:abstractNum w:abstractNumId="24">
    <w:nsid w:val="54E49EB4"/>
    <w:multiLevelType w:val="hybridMultilevel"/>
    <w:lvl w:ilvl="0">
      <w:lvlJc w:val="left"/>
      <w:lvlText w:val="9"/>
      <w:numFmt w:val="bullet"/>
      <w:start w:val="1"/>
    </w:lvl>
  </w:abstractNum>
  <w:abstractNum w:abstractNumId="25">
    <w:nsid w:val="71F32454"/>
    <w:multiLevelType w:val="hybridMultilevel"/>
    <w:lvl w:ilvl="0">
      <w:lvlJc w:val="left"/>
      <w:lvlText w:val="%1"/>
      <w:numFmt w:val="decimal"/>
      <w:start w:val="10"/>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1)"/>
      <w:numFmt w:val="lowerLetter"/>
      <w:start w:val="3"/>
    </w:lvl>
    <w:lvl w:ilvl="1">
      <w:lvlJc w:val="left"/>
      <w:lvlText w:val="(%2)"/>
      <w:numFmt w:val="lowerLetter"/>
      <w:start w:val="9"/>
    </w:lvl>
  </w:abstractNum>
  <w:abstractNum w:abstractNumId="28">
    <w:nsid w:val="2901D82"/>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2020-02-13T16:14:31Z</dcterms:created>
  <dcterms:modified xsi:type="dcterms:W3CDTF">2020-02-13T16:14:31Z</dcterms:modified>
</cp:coreProperties>
</file>