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92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-8890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62-1096725</w:t>
      </w:r>
    </w:p>
    <w:p>
      <w:pPr>
        <w:spacing w:after="0" w:line="37" w:lineRule="exact"/>
        <w:rPr>
          <w:sz w:val="24"/>
          <w:szCs w:val="24"/>
          <w:color w:val="auto"/>
        </w:rPr>
      </w:pPr>
    </w:p>
    <w:p>
      <w:pPr>
        <w:sectPr>
          <w:pgSz w:w="11900" w:h="16838" w:orient="portrait"/>
          <w:cols w:equalWidth="0" w:num="2">
            <w:col w:w="7500" w:space="720"/>
            <w:col w:w="3200"/>
          </w:cols>
          <w:pgMar w:left="240" w:top="226" w:right="239" w:bottom="1440" w:gutter="0" w:footer="0" w:header="0"/>
          <w:type w:val="continuous"/>
        </w:sectPr>
      </w:pP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10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69" w:lineRule="exact"/>
        <w:rPr>
          <w:sz w:val="24"/>
          <w:szCs w:val="24"/>
          <w:color w:val="auto"/>
        </w:rPr>
      </w:pPr>
    </w:p>
    <w:p>
      <w:pPr>
        <w:sectPr>
          <w:pgSz w:w="11900" w:h="16838" w:orient="portrait"/>
          <w:cols w:equalWidth="0" w:num="2">
            <w:col w:w="7260" w:space="720"/>
            <w:col w:w="3440"/>
          </w:cols>
          <w:pgMar w:left="240" w:top="22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 Waters Edge Drive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C, Suite 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(423) 743-9151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both"/>
        <w:ind w:right="2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680"/>
        <w:spacing w:after="0" w:line="3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whether the registrant is a shell company (as defined in Rule 12b-2 of the Exchange Act).  Yes </w:t>
            </w:r>
            <w:r>
              <w:rPr>
                <w:rFonts w:ascii="MS PGothic" w:cs="MS PGothic" w:eastAsia="MS PGothic" w:hAnsi="MS PGothic"/>
                <w:sz w:val="18"/>
                <w:szCs w:val="18"/>
                <w:color w:val="auto"/>
                <w:w w:val="99"/>
              </w:rPr>
              <w:t>☐</w:t>
            </w:r>
          </w:p>
        </w:tc>
        <w:tc>
          <w:tcPr>
            <w:tcW w:w="22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As of May 3, 2013, there were 17,108,799 shares of the registrant’s common stock, par value $0.01 per share,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Page No.</w:t>
            </w:r>
          </w:p>
        </w:tc>
      </w:tr>
      <w:tr>
        <w:trPr>
          <w:trHeight w:val="264"/>
        </w:trPr>
        <w:tc>
          <w:tcPr>
            <w:tcW w:w="10820" w:type="dxa"/>
            <w:vAlign w:val="bottom"/>
            <w:gridSpan w:val="20"/>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500" w:type="dxa"/>
            <w:vAlign w:val="bottom"/>
          </w:tcPr>
          <w:p>
            <w:pPr>
              <w:spacing w:after="0"/>
              <w:rPr>
                <w:sz w:val="22"/>
                <w:szCs w:val="22"/>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830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Comprehensive Income for the three months ended March 31, 2013 and 2012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4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March 31, 2013 and December 31, 2012 (unaudited)</w:t>
              </w:r>
            </w:hyperlink>
          </w:p>
        </w:tc>
        <w:tc>
          <w:tcPr>
            <w:tcW w:w="6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Changes in Stockholders’ Equity for the three months ended March 31, 2013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0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Condensed Consolidated Statements of Cash Flows for the three months ended March 31, 2013 and 2012 (unaudited)</w:t>
              </w:r>
            </w:hyperlink>
          </w:p>
        </w:tc>
        <w:tc>
          <w:tcPr>
            <w:tcW w:w="680" w:type="dxa"/>
            <w:vAlign w:val="bottom"/>
            <w:tcBorders>
              <w:top w:val="single" w:sz="8" w:color="0000EE"/>
            </w:tcBorders>
          </w:tcPr>
          <w:p>
            <w:pPr>
              <w:spacing w:after="0"/>
              <w:rPr>
                <w:sz w:val="24"/>
                <w:szCs w:val="24"/>
                <w:color w:val="auto"/>
              </w:rPr>
            </w:pPr>
          </w:p>
        </w:tc>
        <w:tc>
          <w:tcPr>
            <w:tcW w:w="8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2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Quantitative and Qualitative Disclosures about Market Risk</w:t>
              </w:r>
            </w:hyperlink>
          </w:p>
        </w:tc>
        <w:tc>
          <w:tcPr>
            <w:tcW w:w="56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18"/>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Controls and Procedures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19">
              <w:r>
                <w:rPr>
                  <w:rFonts w:ascii="Times New Roman" w:cs="Times New Roman" w:eastAsia="Times New Roman" w:hAnsi="Times New Roman"/>
                  <w:sz w:val="18"/>
                  <w:szCs w:val="18"/>
                  <w:b w:val="1"/>
                  <w:bCs w:val="1"/>
                  <w:color w:val="0000EE"/>
                  <w:w w:val="97"/>
                </w:rPr>
                <w:t>Part II. Other Information</w:t>
              </w:r>
            </w:hyperlink>
          </w:p>
        </w:tc>
        <w:tc>
          <w:tcPr>
            <w:tcW w:w="880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5"/>
              </w:rPr>
            </w:pPr>
            <w:hyperlink w:anchor="page19">
              <w:r>
                <w:rPr>
                  <w:rFonts w:ascii="Times New Roman" w:cs="Times New Roman" w:eastAsia="Times New Roman" w:hAnsi="Times New Roman"/>
                  <w:sz w:val="18"/>
                  <w:szCs w:val="18"/>
                  <w:color w:val="0000EE"/>
                  <w:w w:val="95"/>
                </w:rPr>
                <w:t>Legal Proceedings</w:t>
              </w:r>
            </w:hyperlink>
          </w:p>
        </w:tc>
        <w:tc>
          <w:tcPr>
            <w:tcW w:w="852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4"/>
              </w:rPr>
            </w:pPr>
            <w:hyperlink w:anchor="page19">
              <w:r>
                <w:rPr>
                  <w:rFonts w:ascii="Times New Roman" w:cs="Times New Roman" w:eastAsia="Times New Roman" w:hAnsi="Times New Roman"/>
                  <w:sz w:val="18"/>
                  <w:szCs w:val="18"/>
                  <w:color w:val="0000EE"/>
                  <w:w w:val="94"/>
                </w:rPr>
                <w:t>Risk Factors</w:t>
              </w:r>
            </w:hyperlink>
          </w:p>
        </w:tc>
        <w:tc>
          <w:tcPr>
            <w:tcW w:w="8940" w:type="dxa"/>
            <w:vAlign w:val="bottom"/>
            <w:gridSpan w:val="16"/>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Unregistered Sales of Equity Securities and Use of Proceeds</w:t>
              </w:r>
            </w:hyperlink>
          </w:p>
        </w:tc>
        <w:tc>
          <w:tcPr>
            <w:tcW w:w="55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18"/>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Defaults Upon Senior Securities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2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Mine Safety Disclosures</w:t>
              </w:r>
            </w:hyperlink>
          </w:p>
        </w:tc>
        <w:tc>
          <w:tcPr>
            <w:tcW w:w="756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20">
              <w:r>
                <w:rPr>
                  <w:rFonts w:ascii="Times New Roman" w:cs="Times New Roman" w:eastAsia="Times New Roman" w:hAnsi="Times New Roman"/>
                  <w:sz w:val="18"/>
                  <w:szCs w:val="18"/>
                  <w:color w:val="0000EE"/>
                  <w:w w:val="95"/>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0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gridSpan w:val="18"/>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Exhibits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000" w:type="dxa"/>
            <w:vAlign w:val="bottom"/>
            <w:gridSpan w:val="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3"/>
          </w:tcPr>
          <w:p>
            <w:pPr>
              <w:ind w:left="468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4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4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6"/>
              </w:rPr>
              <w:t>NN, Inc.</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4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Comprehensive Income</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4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8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Except Per Share Data)</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2"/>
        </w:trPr>
        <w:tc>
          <w:tcPr>
            <w:tcW w:w="89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line="15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sales</w:t>
            </w:r>
          </w:p>
        </w:tc>
        <w:tc>
          <w:tcPr>
            <w:tcW w:w="2080" w:type="dxa"/>
            <w:vAlign w:val="bottom"/>
            <w:tcBorders>
              <w:top w:val="single" w:sz="8" w:color="auto"/>
            </w:tcBorders>
            <w:shd w:val="clear" w:color="auto" w:fill="CCEEFF"/>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93,797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104,519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 below)</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74,517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loss on disposal of assets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2"/>
        </w:trPr>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840" w:type="dxa"/>
            <w:vAlign w:val="bottom"/>
            <w:gridSpan w:val="2"/>
          </w:tcPr>
          <w:p>
            <w:pPr>
              <w:spacing w:after="0"/>
              <w:rPr>
                <w:sz w:val="9"/>
                <w:szCs w:val="9"/>
                <w:color w:val="auto"/>
              </w:rPr>
            </w:pPr>
          </w:p>
        </w:tc>
        <w:tc>
          <w:tcPr>
            <w:tcW w:w="6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323"/>
        </w:trPr>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17,162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9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line="15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7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$432 and $311,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130,026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116,839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264,647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134,591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130,056</w:t>
            </w: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264,647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3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40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21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and Shares)</w:t>
            </w:r>
          </w:p>
        </w:tc>
        <w:tc>
          <w:tcPr>
            <w:tcW w:w="2920" w:type="dxa"/>
            <w:vAlign w:val="bottom"/>
            <w:vMerge w:val="restart"/>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Additional Paid</w:t>
            </w: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1040" w:type="dxa"/>
            <w:vAlign w:val="bottom"/>
            <w:gridSpan w:val="3"/>
          </w:tcPr>
          <w:p>
            <w:pPr>
              <w:jc w:val="center"/>
              <w:ind w:right="360"/>
              <w:spacing w:after="0" w:line="15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4"/>
                <w:szCs w:val="14"/>
                <w:color w:val="auto"/>
              </w:rPr>
            </w:pPr>
          </w:p>
        </w:tc>
        <w:tc>
          <w:tcPr>
            <w:tcW w:w="780" w:type="dxa"/>
            <w:vAlign w:val="bottom"/>
          </w:tcPr>
          <w:p>
            <w:pPr>
              <w:jc w:val="right"/>
              <w:ind w:right="75"/>
              <w:spacing w:after="0" w:line="15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380" w:type="dxa"/>
            <w:vAlign w:val="bottom"/>
          </w:tcPr>
          <w:p>
            <w:pPr>
              <w:spacing w:after="0"/>
              <w:rPr>
                <w:sz w:val="14"/>
                <w:szCs w:val="14"/>
                <w:color w:val="auto"/>
              </w:rPr>
            </w:pPr>
          </w:p>
        </w:tc>
        <w:tc>
          <w:tcPr>
            <w:tcW w:w="98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60" w:type="dxa"/>
            <w:vAlign w:val="bottom"/>
          </w:tcPr>
          <w:p>
            <w:pPr>
              <w:spacing w:after="0"/>
              <w:rPr>
                <w:sz w:val="14"/>
                <w:szCs w:val="14"/>
                <w:color w:val="auto"/>
              </w:rPr>
            </w:pPr>
          </w:p>
        </w:tc>
        <w:tc>
          <w:tcPr>
            <w:tcW w:w="98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January 1, 2013</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17,044</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6"/>
              </w:rPr>
              <w:t>170</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56,880</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$51,880</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19,630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$128,560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2,871</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 option expense</w:t>
            </w:r>
          </w:p>
        </w:tc>
        <w:tc>
          <w:tcPr>
            <w:tcW w:w="1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Restricted stock expense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170</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54,751</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9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6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4"/>
              <w:spacing w:after="0" w:line="15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used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Gain on settlement of long-term note receivable</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(15,981)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received from long-term note receivable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disposals of property, plant and equipment</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2"/>
        </w:trPr>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(repayment) of short-term debt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Principal payment on capital lease</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long term debt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Repayment of long term debt</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(used) provided by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(5,890)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22"/>
        </w:trPr>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8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(11,343)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173" w:lineRule="exact"/>
        <w:rPr>
          <w:sz w:val="20"/>
          <w:szCs w:val="20"/>
          <w:color w:val="auto"/>
        </w:rPr>
      </w:pPr>
    </w:p>
    <w:p>
      <w:pPr>
        <w:ind w:right="2160"/>
        <w:spacing w:after="0" w:line="262" w:lineRule="auto"/>
        <w:rPr>
          <w:sz w:val="20"/>
          <w:szCs w:val="20"/>
          <w:color w:val="auto"/>
        </w:rPr>
      </w:pPr>
      <w:r>
        <w:rPr>
          <w:rFonts w:ascii="Times New Roman" w:cs="Times New Roman" w:eastAsia="Times New Roman" w:hAnsi="Times New Roman"/>
          <w:sz w:val="18"/>
          <w:szCs w:val="18"/>
          <w:color w:val="auto"/>
        </w:rPr>
        <w:t>On March 31, 2012, we accepted a $1,945 cash payment to settle a note related to the sale of equipment of our former Tempe Plant. The estimated fair value and carrying value of note prior to the payment was $1,772. The proceeds and gain are reflected in the 2012 cash flows.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NN, Inc. have not been audited, except that the balance sheet at December 31, 2012 was derived from our audited consolidated financial statements. In our opinion, the financial statements reflect all adjustments necessary to fairly state the results of operations for the three month periods ended March 31, 2013 and 2012, our financial position at March 31, 2013 and December 31, 2012, and the cash flows for the three month periods ended March 31, 2013 and 2012.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3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2012 which we filed with the Securities and Exchange Commission on March 15, 2013. The results for the three month period ended March 31, 2013 are not necessarily indicative of results for the year ending December 31, 2013 or any other future periods.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Inventories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first-in, first-out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4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6600" w:type="dxa"/>
            <w:vAlign w:val="bottom"/>
          </w:tcPr>
          <w:p>
            <w:pPr>
              <w:spacing w:after="0"/>
              <w:rPr>
                <w:sz w:val="14"/>
                <w:szCs w:val="14"/>
                <w:color w:val="auto"/>
              </w:rPr>
            </w:pPr>
          </w:p>
        </w:tc>
        <w:tc>
          <w:tcPr>
            <w:tcW w:w="6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$ 12,626</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$ 44,590</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on consignment at customer locations as of March 31, 2013 and December 31, 2012 totaled $3,126 and $2,644, respectively.</w:t>
      </w:r>
    </w:p>
    <w:p>
      <w:pPr>
        <w:spacing w:after="0" w:line="17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Income Per Share</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addition to the diluted shares outstanding from the weighted average shares outstanding for the three month periods are the effect of dilutive stock options calculated using the treasury stock method. Excluded from the dilutive shares outstanding for the three month period ended March 31, 2013 were 1,425 anti-dilutive options which had exercise prices ranging from $8.54 to $14.13. There were 1,201 anti-dilutive options with an exercise price of $8.86 to $14.13 excluded from the dilutive shares outstanding for the three month period ended March 31, 2012.</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2012. We evaluate segment performance based on segment net income or loss. We account for inter-segment sales and transfers at current market prices. We did not have any significant inter-segment transactions during the three month periods ended March 31, 2013 and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8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Precision</w:t>
            </w:r>
          </w:p>
        </w:tc>
        <w:tc>
          <w:tcPr>
            <w:tcW w:w="200" w:type="dxa"/>
            <w:vAlign w:val="bottom"/>
          </w:tcPr>
          <w:p>
            <w:pPr>
              <w:spacing w:after="0"/>
              <w:rPr>
                <w:sz w:val="13"/>
                <w:szCs w:val="13"/>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Plastic and</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Bearing</w:t>
            </w: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3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40" w:type="dxa"/>
            <w:vAlign w:val="bottom"/>
            <w:gridSpan w:val="3"/>
            <w:vMerge w:val="continue"/>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Segment</w:t>
            </w:r>
          </w:p>
        </w:tc>
        <w:tc>
          <w:tcPr>
            <w:tcW w:w="12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Consolidations</w:t>
            </w:r>
          </w:p>
        </w:tc>
        <w:tc>
          <w:tcPr>
            <w:tcW w:w="80" w:type="dxa"/>
            <w:vAlign w:val="bottom"/>
          </w:tcPr>
          <w:p>
            <w:pPr>
              <w:spacing w:after="0"/>
              <w:rPr>
                <w:sz w:val="14"/>
                <w:szCs w:val="14"/>
                <w:color w:val="auto"/>
              </w:rPr>
            </w:pPr>
          </w:p>
        </w:tc>
        <w:tc>
          <w:tcPr>
            <w:tcW w:w="68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48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1"/>
              </w:rPr>
              <w:t>Three Months ended</w:t>
            </w:r>
          </w:p>
        </w:tc>
        <w:tc>
          <w:tcPr>
            <w:tcW w:w="13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March 31, 2013</w:t>
            </w:r>
          </w:p>
        </w:tc>
        <w:tc>
          <w:tcPr>
            <w:tcW w:w="3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300" w:type="dxa"/>
            <w:vAlign w:val="bottom"/>
            <w:gridSpan w:val="2"/>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20,743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9,366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30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$ 192,768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43,774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19,945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264,647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80" w:type="dxa"/>
            <w:vAlign w:val="bottom"/>
          </w:tcPr>
          <w:p>
            <w:pPr>
              <w:spacing w:after="0"/>
              <w:rPr>
                <w:sz w:val="24"/>
                <w:szCs w:val="2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Precision</w:t>
            </w:r>
          </w:p>
        </w:tc>
        <w:tc>
          <w:tcPr>
            <w:tcW w:w="200" w:type="dxa"/>
            <w:vAlign w:val="bottom"/>
          </w:tcPr>
          <w:p>
            <w:pPr>
              <w:spacing w:after="0"/>
              <w:rPr>
                <w:sz w:val="24"/>
                <w:szCs w:val="24"/>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Plastic and</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Bearing</w:t>
            </w: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3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40" w:type="dxa"/>
            <w:vAlign w:val="bottom"/>
            <w:gridSpan w:val="3"/>
            <w:vMerge w:val="continue"/>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Segment</w:t>
            </w:r>
          </w:p>
        </w:tc>
        <w:tc>
          <w:tcPr>
            <w:tcW w:w="12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Consolidations</w:t>
            </w:r>
          </w:p>
        </w:tc>
        <w:tc>
          <w:tcPr>
            <w:tcW w:w="80" w:type="dxa"/>
            <w:vAlign w:val="bottom"/>
          </w:tcPr>
          <w:p>
            <w:pPr>
              <w:spacing w:after="0"/>
              <w:rPr>
                <w:sz w:val="14"/>
                <w:szCs w:val="14"/>
                <w:color w:val="auto"/>
              </w:rPr>
            </w:pPr>
          </w:p>
        </w:tc>
        <w:tc>
          <w:tcPr>
            <w:tcW w:w="68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48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1"/>
              </w:rPr>
              <w:t>Three Months ended</w:t>
            </w:r>
          </w:p>
        </w:tc>
        <w:tc>
          <w:tcPr>
            <w:tcW w:w="13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March 31, 2012</w:t>
            </w:r>
          </w:p>
        </w:tc>
        <w:tc>
          <w:tcPr>
            <w:tcW w:w="3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300" w:type="dxa"/>
            <w:vAlign w:val="bottom"/>
            <w:gridSpan w:val="2"/>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21,312</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11,077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30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$ 205,572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43,761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21,254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274,214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Post-Employment Benefit Liabilities</w:t>
      </w:r>
    </w:p>
    <w:p>
      <w:pPr>
        <w:spacing w:after="0" w:line="9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provide certain post-employment benefits to employees at our Pinerolo and Veenendaal Plants that are either required by law or are local labor practice. These plans are described below.</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accordance with Italian law, we have an unfunded severance plan covering our Pinerolo Plant employees under which all employees at that location are entitled to receive severance indemnities upon termination of their employment.</w:t>
      </w:r>
    </w:p>
    <w:p>
      <w:pPr>
        <w:spacing w:after="0" w:line="120" w:lineRule="exact"/>
        <w:rPr>
          <w:sz w:val="20"/>
          <w:szCs w:val="20"/>
          <w:color w:val="auto"/>
        </w:rPr>
      </w:pPr>
    </w:p>
    <w:p>
      <w:pPr>
        <w:ind w:right="540"/>
        <w:spacing w:after="0" w:line="339" w:lineRule="auto"/>
        <w:rPr>
          <w:sz w:val="20"/>
          <w:szCs w:val="20"/>
          <w:color w:val="auto"/>
        </w:rPr>
      </w:pPr>
      <w:r>
        <w:rPr>
          <w:rFonts w:ascii="Times New Roman" w:cs="Times New Roman" w:eastAsia="Times New Roman" w:hAnsi="Times New Roman"/>
          <w:sz w:val="16"/>
          <w:szCs w:val="16"/>
          <w:color w:val="auto"/>
        </w:rPr>
        <w:t>We have certain plans that cover our Veenendaal Plant employees that provide awards for employees who achieve 25 or 40 years of service and awards for employees upon retirement. The plans are unfunded and the benefits are based on years of service and rate of compensation at the time the award is paid.</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amounts shown in the table below represent the combined actual liabilities at March 31, 2013 and December 31, 2012, reported under Other non-current liabilities in the Condensed Consolidated Balance Sheets.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$6,930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$ 7,705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Amounts accrued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employees/government managed plan</w:t>
            </w:r>
          </w:p>
        </w:tc>
        <w:tc>
          <w:tcPr>
            <w:tcW w:w="2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impacts</w:t>
            </w:r>
          </w:p>
        </w:tc>
        <w:tc>
          <w:tcPr>
            <w:tcW w:w="17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6,585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New Accounting Pronouncements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2013, the Financial Accounting Standards Board issued accounting guidance to enhance the disclosure of amounts reclassified out of accumulated other comprehensive income. The new disclosure guidelines require the presentation of significant amounts reclassified out of accumulated other comprehensive income by the respective line items of net income in the event the amount reclassified is required to be reclassified in its entirety in the same reporting period. The presentation can be on the face of the statement where net income is presented or in the notes and reported by component. For amounts not required to be reclassified in its entirety in the same reporting period to net income, an entity is required to cross-reference other required disclosures. This guidance is effective prospectively for reporting periods beginning after December 15, 2012. We have concluded that the new guidance did not have an impact on our financial position or results of operations.</w:t>
      </w:r>
    </w:p>
    <w:p>
      <w:pPr>
        <w:spacing w:after="0" w:line="141" w:lineRule="exact"/>
        <w:rPr>
          <w:sz w:val="20"/>
          <w:szCs w:val="20"/>
          <w:color w:val="auto"/>
        </w:rPr>
      </w:pPr>
    </w:p>
    <w:p>
      <w:pPr>
        <w:jc w:val="both"/>
        <w:ind w:right="240"/>
        <w:spacing w:after="0" w:line="285" w:lineRule="auto"/>
        <w:rPr>
          <w:sz w:val="20"/>
          <w:szCs w:val="20"/>
          <w:color w:val="auto"/>
        </w:rPr>
      </w:pPr>
      <w:r>
        <w:rPr>
          <w:rFonts w:ascii="Times New Roman" w:cs="Times New Roman" w:eastAsia="Times New Roman" w:hAnsi="Times New Roman"/>
          <w:sz w:val="16"/>
          <w:szCs w:val="16"/>
          <w:color w:val="auto"/>
        </w:rPr>
        <w:t>In March 2013, the Financial Accounting Standards Board issued amended accounting guidance to addresses the release of cumulative translation adjustments into net income when a reporting entity (parent) ceases to have a controlling financial interest in a subsidiary or group of assets that is a business (other than an in-substance real estate sale or oil/gas mineral rights) within a foreign entity. The cumulative translation adjustments should be released into net income only if the sale or transfer results in the complete or substantially complete liquidation of the foreign entity in which the subsidiary or group of assets had resided.</w:t>
      </w:r>
    </w:p>
    <w:p>
      <w:pPr>
        <w:spacing w:after="0" w:line="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Additionally, in the event of a step acquisition when the acquirer obtains control of an acquiree in which it held an equity interest immediately prior to the acquisition, the cumulative translation adjustments would be released into net income. This guidance is effective prospectively for reporting periods beginning after December 15, 2013. We have concluded that the new guidance will not have an impact on our financial position or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 and Short-Term Debt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short-term debt at March 31, 2013 and December 31, 2012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March 31,</w:t>
            </w:r>
          </w:p>
        </w:tc>
        <w:tc>
          <w:tcPr>
            <w:tcW w:w="42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950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r>
      <w:tr>
        <w:trPr>
          <w:trHeight w:val="182"/>
        </w:trPr>
        <w:tc>
          <w:tcPr>
            <w:tcW w:w="95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Borrowings under our $100,000 revolving credit facility bearing interest at a floating rate equal to LIBOR (0.25% at March 31,</w:t>
            </w: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9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2013) plus an applicable margin of 1.50% at March 31, 2013, expiring October 26, 2017.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$ 32,229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38,087</w:t>
            </w:r>
          </w:p>
        </w:tc>
        <w:tc>
          <w:tcPr>
            <w:tcW w:w="100" w:type="dxa"/>
            <w:vAlign w:val="bottom"/>
            <w:shd w:val="clear" w:color="auto" w:fill="CCEEFF"/>
          </w:tcPr>
          <w:p>
            <w:pPr>
              <w:spacing w:after="0"/>
              <w:rPr>
                <w:sz w:val="20"/>
                <w:szCs w:val="20"/>
                <w:color w:val="auto"/>
              </w:rPr>
            </w:pPr>
          </w:p>
        </w:tc>
      </w:tr>
      <w:tr>
        <w:trPr>
          <w:trHeight w:val="202"/>
        </w:trPr>
        <w:tc>
          <w:tcPr>
            <w:tcW w:w="95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Borrowings under our $40,000 aggregate principal amount of fixed rate notes bearing interest at a fixed rate of 4.89% maturing</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9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April 26, 2014. Annual principal payments of $5,714 began on April 26, 2008 and extend through the date of maturity.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tcPr>
          <w:p>
            <w:pPr>
              <w:spacing w:after="0"/>
              <w:rPr>
                <w:sz w:val="19"/>
                <w:szCs w:val="19"/>
                <w:color w:val="auto"/>
              </w:rPr>
            </w:pPr>
          </w:p>
        </w:tc>
      </w:tr>
      <w:tr>
        <w:trPr>
          <w:trHeight w:val="204"/>
        </w:trPr>
        <w:tc>
          <w:tcPr>
            <w:tcW w:w="95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Borrowings under our $20,000 aggregate principal amount of fixed rate notes bearing interest at a fixed rate of 4.64% maturing</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 December 20, 2018. Annual principal payments of $4,000 will begin on December 22, 2014 and extend through the date of</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maturity.</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20"/>
                <w:szCs w:val="20"/>
                <w:color w:val="auto"/>
              </w:rPr>
            </w:pPr>
          </w:p>
        </w:tc>
      </w:tr>
      <w:tr>
        <w:trPr>
          <w:trHeight w:val="223"/>
        </w:trPr>
        <w:tc>
          <w:tcPr>
            <w:tcW w:w="9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63,658</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69,516</w:t>
            </w:r>
          </w:p>
        </w:tc>
        <w:tc>
          <w:tcPr>
            <w:tcW w:w="100" w:type="dxa"/>
            <w:vAlign w:val="bottom"/>
          </w:tcPr>
          <w:p>
            <w:pPr>
              <w:spacing w:after="0"/>
              <w:rPr>
                <w:sz w:val="19"/>
                <w:szCs w:val="19"/>
                <w:color w:val="auto"/>
              </w:rPr>
            </w:pPr>
          </w:p>
        </w:tc>
      </w:tr>
      <w:tr>
        <w:trPr>
          <w:trHeight w:val="217"/>
        </w:trPr>
        <w:tc>
          <w:tcPr>
            <w:tcW w:w="9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shd w:val="clear" w:color="auto" w:fill="CCEEFF"/>
          </w:tcPr>
          <w:p>
            <w:pPr>
              <w:spacing w:after="0"/>
              <w:rPr>
                <w:sz w:val="18"/>
                <w:szCs w:val="18"/>
                <w:color w:val="auto"/>
              </w:rPr>
            </w:pPr>
          </w:p>
        </w:tc>
      </w:tr>
      <w:tr>
        <w:trPr>
          <w:trHeight w:val="223"/>
        </w:trPr>
        <w:tc>
          <w:tcPr>
            <w:tcW w:w="9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$ 55,715</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63,715</w:t>
            </w:r>
          </w:p>
        </w:tc>
        <w:tc>
          <w:tcPr>
            <w:tcW w:w="10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On October 26, 2012, we amended our $100,000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are LIBOR plus an applicable margin of 1.25% to 2.25% (depending on the level of debt to earnings before taxes, interest and depreciation (“EBITDA”)). Prior to the October 26, 2012 amendment, the $100,000 revolving credit facility interest rate was LIBOR plus a margin of 2.50% to 3.50% (depending on the level of debt to EBITDA). The interest rate on our $40,000 aggregate fixed rate notes, of which $11,429 was outstanding as of March 31, 2013, was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$100,000 revolving credit facility may be expanded upon our request with approval of the lenders by up to $35 million,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give the lenders the right to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March 31, 2013, $1,915 of net capitalized loan origination costs related to the revolving credit facility were recorded on the balance sheet within other non-current assets.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$40,000 and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We incurred costs as a result of issuing these notes which have been recorded on the balance sheet within other non-current assets and are being amortized over the term of the notes. The unamortized balance at March 31, 2013 was $117.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net for the three month period ended March 31, 2013 are as follows: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Bearing</w:t>
            </w: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3080" w:type="dxa"/>
            <w:vAlign w:val="bottom"/>
            <w:gridSpan w:val="4"/>
          </w:tcPr>
          <w:p>
            <w:pPr>
              <w:jc w:val="center"/>
              <w:ind w:left="204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Components</w:t>
            </w:r>
          </w:p>
        </w:tc>
        <w:tc>
          <w:tcPr>
            <w:tcW w:w="0" w:type="dxa"/>
            <w:vAlign w:val="bottom"/>
          </w:tcPr>
          <w:p>
            <w:pPr>
              <w:spacing w:after="0"/>
              <w:rPr>
                <w:sz w:val="1"/>
                <w:szCs w:val="1"/>
                <w:color w:val="auto"/>
              </w:rPr>
            </w:pPr>
          </w:p>
        </w:tc>
      </w:tr>
      <w:tr>
        <w:trPr>
          <w:trHeight w:val="152"/>
        </w:trPr>
        <w:tc>
          <w:tcPr>
            <w:tcW w:w="4680" w:type="dxa"/>
            <w:vAlign w:val="bottom"/>
            <w:gridSpan w:val="3"/>
            <w:vMerge w:val="continue"/>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January 1, 2013</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Currency translation impacts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2013</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goodwill balance is tested for impairment on an annual basis during the fourth quarter and between annual tests if a triggering event occurs. As of March 31, 2013, there are no indications of impairment at the remaining reporting unit with a goodwill balance.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Precision Metal Components Segment has an indefinite lived intangible asset not subject to amortization of $900 related to the value of the trade names of Whirlaway. The intangible asset balance is tested for impairment on an annual basis during the fourth quarter and between annual tests if a triggering event occurs. There are no indicators of impairment for this indefinite lived intangible asset as of March 31,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Shared-Based Compensation</w:t>
      </w:r>
    </w:p>
    <w:p>
      <w:pPr>
        <w:spacing w:after="0" w:line="92"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During the three month periods ended March 31, 2013 and 2012, approximately $430 and $358, respectively, of compensation expense was recognized in selling, general and administrative expense for all share-based awards. During the three month periods ended March 31, 2013 and 2012, there were 65 share awards and 254 options awards and 75 share awards and 278 option awards, respectively, granted to non-executive directors, officers and certain other key employees.</w:t>
      </w:r>
    </w:p>
    <w:p>
      <w:pPr>
        <w:spacing w:after="0" w:line="97"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The restricted shares granted during the three month periods ended March 31, 2013 and 2012, vest pro-rata over three years. During the three month periods ended March 31, 2013 and 2012, we incurred $163 and $149, respectively, in expense related to restricted stock. The fair value of the shares issued was determined by using the grant date closing price of our common stock.</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incurred $267 and $209 of stock option expense in the three month periods ended March 31, 2013 and 2012, respectively. The fair value of our options cannot be determined by market value, as our options are not traded in an open market. Accordingly, the Black Scholes financial pricing model is utilized to estimate the fair value.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option activity for the three month period ended March 31, 2013:</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540" w:type="dxa"/>
            <w:vAlign w:val="bottom"/>
          </w:tcPr>
          <w:p>
            <w:pPr>
              <w:spacing w:after="0"/>
              <w:rPr>
                <w:sz w:val="12"/>
                <w:szCs w:val="12"/>
                <w:color w:val="auto"/>
              </w:rPr>
            </w:pPr>
          </w:p>
        </w:tc>
        <w:tc>
          <w:tcPr>
            <w:tcW w:w="760" w:type="dxa"/>
            <w:vAlign w:val="bottom"/>
            <w:gridSpan w:val="3"/>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540" w:type="dxa"/>
            <w:vAlign w:val="bottom"/>
          </w:tcPr>
          <w:p>
            <w:pPr>
              <w:spacing w:after="0"/>
              <w:rPr>
                <w:sz w:val="12"/>
                <w:szCs w:val="12"/>
                <w:color w:val="auto"/>
              </w:rPr>
            </w:pPr>
          </w:p>
        </w:tc>
        <w:tc>
          <w:tcPr>
            <w:tcW w:w="760" w:type="dxa"/>
            <w:vAlign w:val="bottom"/>
            <w:gridSpan w:val="3"/>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2"/>
        </w:trPr>
        <w:tc>
          <w:tcPr>
            <w:tcW w:w="6380" w:type="dxa"/>
            <w:vAlign w:val="bottom"/>
            <w:gridSpan w:val="3"/>
            <w:vMerge w:val="continue"/>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(000)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7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89"/>
              </w:rPr>
              <w:t>Term</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42"/>
              <w:spacing w:after="0" w:line="152" w:lineRule="exact"/>
              <w:rPr>
                <w:sz w:val="20"/>
                <w:szCs w:val="20"/>
                <w:color w:val="auto"/>
              </w:rPr>
            </w:pPr>
            <w:r>
              <w:rPr>
                <w:rFonts w:ascii="Times New Roman" w:cs="Times New Roman" w:eastAsia="Times New Roman" w:hAnsi="Times New Roman"/>
                <w:sz w:val="14"/>
                <w:szCs w:val="14"/>
                <w:b w:val="1"/>
                <w:bCs w:val="1"/>
                <w:color w:val="auto"/>
                <w:w w:val="96"/>
              </w:rPr>
              <w:t>($000)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January 1, 2013</w:t>
            </w: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1,384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5"/>
              <w:spacing w:after="0" w:line="203" w:lineRule="exact"/>
              <w:rPr>
                <w:sz w:val="20"/>
                <w:szCs w:val="20"/>
                <w:color w:val="auto"/>
              </w:rPr>
            </w:pPr>
            <w:r>
              <w:rPr>
                <w:rFonts w:ascii="Times New Roman" w:cs="Times New Roman" w:eastAsia="Times New Roman" w:hAnsi="Times New Roman"/>
                <w:sz w:val="18"/>
                <w:szCs w:val="18"/>
                <w:color w:val="auto"/>
              </w:rPr>
              <w:t>9.94</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9.97</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9.36</w:t>
            </w: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9.95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2013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line="20" w:lineRule="exact"/>
              <w:rPr>
                <w:sz w:val="1"/>
                <w:szCs w:val="1"/>
                <w:color w:val="auto"/>
              </w:rPr>
            </w:pPr>
          </w:p>
        </w:tc>
      </w:tr>
      <w:tr>
        <w:trPr>
          <w:trHeight w:val="210"/>
        </w:trPr>
        <w:tc>
          <w:tcPr>
            <w:tcW w:w="6380" w:type="dxa"/>
            <w:vAlign w:val="bottom"/>
            <w:gridSpan w:val="3"/>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rPr>
              <w:t>9.69</w:t>
            </w:r>
          </w:p>
        </w:tc>
        <w:tc>
          <w:tcPr>
            <w:tcW w:w="5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40" w:hanging="452"/>
        <w:spacing w:after="0" w:line="231" w:lineRule="auto"/>
        <w:tabs>
          <w:tab w:leader="none" w:pos="46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intrinsic value is the amount by which the market price of our stock was greater than the exercise price of any individual option grant at March 31, 2013.</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Provision for Income Taxes</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Effective December 31, 2012, we have removed the valuation allowance on the majority of the deferred tax assets of our U.S. units as discussed in our Annual Report on Form 10-K filed March 15, 2013. As such, during the first quarter of 2013, we recognized tax expenses and benefits at our U.S. units. During the quarter ended March 31, 2012, we had continued to place a valuation allowance on all of the net deferred tax assets of our U.S. units, the balance of which approximated $11,750 at March 31, 2012. During the quarter ended March 31, 2012, the valuation allowance on a portion of these deferred tax assets was reversed to offset pre-tax income of approximately $2,200 resulting in zero tax expense for the U.S. units in that quarter.</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month period ended March 31, 2013, the difference between the U.S. federal statutory tax rate of 34% and our effective tax rate of 33% was primarily due to the effective tax rate being impacted by non-U.S. based earnings taxed at lower rates. For the three month period ended March 31, 2012, the difference between the U.S. federal statutory tax rate of 34% and our effective tax rate of 20% was primarily due to utilization of the fully reserved net operating losses to offset U.S. based taxable income, which lowered tax expense by approximately $800. Additionally, the effective tax rate was impacted by non-U.S. based earnings being taxed at lower rates, which reduced tax expense by approximately $400.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2013, we do not foresee any significant changes to our unrecognized tax benefits within the next twelve months.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2012, we were named in a lawsuit from a former independent sales agent claiming amounts due with regard to sales made after termination of our relationship. We believe that the claim is not substantiated by the facts and we are defending it aggressively. While the company is unable to predict the outcome of this matter, we do not believe, based on currently available facts, that it will have a material adverse effect on our business, financial condition, results of operations, or cash flows.</w:t>
      </w:r>
    </w:p>
    <w:p>
      <w:pPr>
        <w:spacing w:after="0" w:line="13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spacing w:after="0" w:line="1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discussed more fully in our Annual Report on Form 10-K filed March 15, 2013, the ultimate impact on NN of our wholly owned German subsidiary Kugelfertigung Eltmann GbmH (“Eltmann” or “Eltmann Plant”)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condensed consolidated financial statements as a result of the liquidation of this subsidiary.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00"/>
          </w:cols>
          <w:pgMar w:left="240" w:top="455" w:right="3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values of our fixed rate long-term borrowings are calculated by using a discounted cash flow analysis factoring in current market borrowing rates for similar types of borrowing arrangements under our credit profile. The carrying value of our variable rate long-term borrowings is a reasonable approximation of fair value due to the variable interest rates. The fair value of our fixed rate and variable rate borrowings is determined using Level 2 inputs under the U.S. GAAP fair value hierarchy. The carrying amounts and fair values of our long-term debt are in the table below:</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186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10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72"/>
        </w:trPr>
        <w:tc>
          <w:tcPr>
            <w:tcW w:w="148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20" w:type="dxa"/>
            <w:vAlign w:val="bottom"/>
          </w:tcPr>
          <w:p>
            <w:pPr>
              <w:spacing w:after="0"/>
              <w:rPr>
                <w:sz w:val="14"/>
                <w:szCs w:val="14"/>
                <w:color w:val="auto"/>
              </w:rPr>
            </w:pPr>
          </w:p>
        </w:tc>
        <w:tc>
          <w:tcPr>
            <w:tcW w:w="1020" w:type="dxa"/>
            <w:vAlign w:val="bottom"/>
            <w:gridSpan w:val="2"/>
          </w:tcPr>
          <w:p>
            <w:pPr>
              <w:jc w:val="center"/>
              <w:ind w:right="420"/>
              <w:spacing w:after="0" w:line="15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102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68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Variable rate long-term debt</w:t>
            </w:r>
          </w:p>
        </w:tc>
        <w:tc>
          <w:tcPr>
            <w:tcW w:w="2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$32,229</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5"/>
              </w:rPr>
              <w:t>$32,229</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$38,087</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$38,087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 long-term debt</w:t>
            </w:r>
          </w:p>
        </w:tc>
        <w:tc>
          <w:tcPr>
            <w:tcW w:w="3100" w:type="dxa"/>
            <w:vAlign w:val="bottom"/>
            <w:gridSpan w:val="2"/>
          </w:tcPr>
          <w:p>
            <w:pPr>
              <w:jc w:val="center"/>
              <w:ind w:left="2432"/>
              <w:spacing w:after="0"/>
              <w:rPr>
                <w:sz w:val="20"/>
                <w:szCs w:val="20"/>
                <w:color w:val="auto"/>
              </w:rPr>
            </w:pPr>
            <w:r>
              <w:rPr>
                <w:rFonts w:ascii="Times New Roman" w:cs="Times New Roman" w:eastAsia="Times New Roman" w:hAnsi="Times New Roman"/>
                <w:sz w:val="18"/>
                <w:szCs w:val="18"/>
                <w:color w:val="auto"/>
                <w:w w:val="99"/>
              </w:rPr>
              <w:t>$31,429</w:t>
            </w:r>
          </w:p>
        </w:tc>
        <w:tc>
          <w:tcPr>
            <w:tcW w:w="1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$32,763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$31,429</w:t>
            </w:r>
          </w:p>
        </w:tc>
        <w:tc>
          <w:tcPr>
            <w:tcW w:w="4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52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our Annual Report on Form 10-K for the year ended December 31, 2012 which we filed with the Securities and Exchange Commission on March 15, 2013.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2013 Compared to the Three Months Ended March 31, 2012.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RESULTS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 NN, Inc.</w:t>
            </w:r>
          </w:p>
        </w:tc>
        <w:tc>
          <w:tcPr>
            <w:tcW w:w="0" w:type="dxa"/>
            <w:vAlign w:val="bottom"/>
          </w:tcPr>
          <w:p>
            <w:pPr>
              <w:spacing w:after="0"/>
              <w:rPr>
                <w:sz w:val="1"/>
                <w:szCs w:val="1"/>
                <w:color w:val="auto"/>
              </w:rPr>
            </w:pPr>
          </w:p>
        </w:tc>
      </w:tr>
      <w:tr>
        <w:trPr>
          <w:trHeight w:val="142"/>
        </w:trPr>
        <w:tc>
          <w:tcPr>
            <w:tcW w:w="78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93,797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104,519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gridSpan w:val="2"/>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w w:val="97"/>
              </w:rPr>
              <w:t>(10,722)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370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(10,563)</w:t>
            </w:r>
          </w:p>
        </w:tc>
        <w:tc>
          <w:tcPr>
            <w:tcW w:w="0" w:type="dxa"/>
            <w:vAlign w:val="bottom"/>
          </w:tcPr>
          <w:p>
            <w:pPr>
              <w:spacing w:after="0"/>
              <w:rPr>
                <w:sz w:val="1"/>
                <w:szCs w:val="1"/>
                <w:color w:val="auto"/>
              </w:rPr>
            </w:pPr>
          </w:p>
        </w:tc>
      </w:tr>
      <w:tr>
        <w:trPr>
          <w:trHeight w:val="216"/>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Price/ material inflation pass-through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(1,154)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625</w:t>
            </w:r>
          </w:p>
        </w:tc>
        <w:tc>
          <w:tcPr>
            <w:tcW w:w="0" w:type="dxa"/>
            <w:vAlign w:val="bottom"/>
          </w:tcPr>
          <w:p>
            <w:pPr>
              <w:spacing w:after="0"/>
              <w:rPr>
                <w:sz w:val="1"/>
                <w:szCs w:val="1"/>
                <w:color w:val="auto"/>
              </w:rPr>
            </w:pPr>
          </w:p>
        </w:tc>
      </w:tr>
      <w:tr>
        <w:trPr>
          <w:trHeight w:val="431"/>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 below)</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2"/>
              </w:rPr>
              <w:t>74,517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82,969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rPr>
              <w:t>(8,452)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293</w:t>
            </w:r>
          </w:p>
        </w:tc>
        <w:tc>
          <w:tcPr>
            <w:tcW w:w="0" w:type="dxa"/>
            <w:vAlign w:val="bottom"/>
          </w:tcPr>
          <w:p>
            <w:pPr>
              <w:spacing w:after="0"/>
              <w:rPr>
                <w:sz w:val="1"/>
                <w:szCs w:val="1"/>
                <w:color w:val="auto"/>
              </w:rPr>
            </w:pPr>
          </w:p>
        </w:tc>
      </w:tr>
      <w:tr>
        <w:trPr>
          <w:trHeight w:val="216"/>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(7,290)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Cost reduction projects and other cost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(2,021)</w:t>
            </w:r>
          </w:p>
        </w:tc>
        <w:tc>
          <w:tcPr>
            <w:tcW w:w="0" w:type="dxa"/>
            <w:vAlign w:val="bottom"/>
          </w:tcPr>
          <w:p>
            <w:pPr>
              <w:spacing w:after="0"/>
              <w:rPr>
                <w:sz w:val="1"/>
                <w:szCs w:val="1"/>
                <w:color w:val="auto"/>
              </w:rPr>
            </w:pPr>
          </w:p>
        </w:tc>
      </w:tr>
      <w:tr>
        <w:trPr>
          <w:trHeight w:val="216"/>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Mix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781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Inflation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(215)</w:t>
            </w:r>
          </w:p>
        </w:tc>
        <w:tc>
          <w:tcPr>
            <w:tcW w:w="0" w:type="dxa"/>
            <w:vAlign w:val="bottom"/>
          </w:tcPr>
          <w:p>
            <w:pPr>
              <w:spacing w:after="0"/>
              <w:rPr>
                <w:sz w:val="1"/>
                <w:szCs w:val="1"/>
                <w:color w:val="auto"/>
              </w:rPr>
            </w:pPr>
          </w:p>
        </w:tc>
      </w:tr>
      <w:tr>
        <w:trPr>
          <w:trHeight w:val="431"/>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9,106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16"/>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Severance costs not related to an exit activity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660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Increase in spending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361</w:t>
            </w:r>
          </w:p>
        </w:tc>
        <w:tc>
          <w:tcPr>
            <w:tcW w:w="0" w:type="dxa"/>
            <w:vAlign w:val="bottom"/>
          </w:tcPr>
          <w:p>
            <w:pPr>
              <w:spacing w:after="0"/>
              <w:rPr>
                <w:sz w:val="1"/>
                <w:szCs w:val="1"/>
                <w:color w:val="auto"/>
              </w:rPr>
            </w:pPr>
          </w:p>
        </w:tc>
      </w:tr>
      <w:tr>
        <w:trPr>
          <w:trHeight w:val="4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940" w:type="dxa"/>
            <w:vAlign w:val="bottom"/>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during the first quarter of 2013 from the first quarter of 2012 principally due to lower sales volumes experienced primarily at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into the European and Asian automotive markets. The reductions in sales volumes were due to macro-economic issues within the European Union, slowing Asian macro-economic growth, and overall lower automotive demand in Europe. Additionally, sales decreased in North America due to lower customer demand from inventory levels being adjusted on certain automotive platforms. The reduction in price and raw material pass-through were driven by lower levels of price increases and material inflation compared with the first quarter of 2012.</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(exclusive of depreciation and amortization shown separately below). </w:t>
      </w:r>
      <w:r>
        <w:rPr>
          <w:rFonts w:ascii="Times New Roman" w:cs="Times New Roman" w:eastAsia="Times New Roman" w:hAnsi="Times New Roman"/>
          <w:sz w:val="18"/>
          <w:szCs w:val="18"/>
          <w:color w:val="auto"/>
        </w:rPr>
        <w:t>A large portion of the decrease was from the lower sales volumes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reductions in production costs at those units that experienced lower sales volumes, as discussed above. Cost of products sold in 2013 was further reduced due to leveraging of production costs in the lower volume environment and from benefits of specific continuous improvement projects undertaken during 2013.</w:t>
      </w:r>
    </w:p>
    <w:p>
      <w:pPr>
        <w:spacing w:after="0" w:line="13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Selling, General and Administrative. </w:t>
      </w:r>
      <w:r>
        <w:rPr>
          <w:rFonts w:ascii="Times New Roman" w:cs="Times New Roman" w:eastAsia="Times New Roman" w:hAnsi="Times New Roman"/>
          <w:sz w:val="16"/>
          <w:szCs w:val="16"/>
          <w:color w:val="auto"/>
        </w:rPr>
        <w:t>The increase in spending in selling, general and administrative expenses was primarily due to severance costs not related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exit activity, relocation costs for new management members, higher professional fees for consulting and recruitment and higher foreign exchange expenses. With the exception of the foreign exchange expenses, the majority of the other discrete items are not expected to repeat in future quarters of 2013.</w:t>
      </w:r>
    </w:p>
    <w:p>
      <w:pPr>
        <w:spacing w:after="0" w:line="9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reduction in interest expense was due to the reduction in the interest rate charged on our variable rate loans effective with the October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and from lower overall debt levels in the first quarter of 2013 compared to the first quarter of 2012.</w:t>
      </w:r>
    </w:p>
    <w:p>
      <w:pPr>
        <w:spacing w:after="0" w:line="11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difference between the effective tax rate of 33% for the first quarter of 2013 versus the effective rate of 20% for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2012 was primarily due to utilization of net operating losses in 2012, which had full valuation allowances, to completely offset U.S.-based taxable income. Those valuation allowances were mostly reversed as of December 31, 2012. As such for the first quarter of 2013, income tax expense was recognized in the U.S. There was an approximate $0.6 million difference between recognizing U.S. tax expense in the first quarter of 2013 versus not recognizing U.S. tax expense in the first quarter of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METAL BEARING COMPONENTS SEGMENT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0" w:type="dxa"/>
            <w:vAlign w:val="bottom"/>
          </w:tcPr>
          <w:p>
            <w:pPr>
              <w:spacing w:after="0"/>
              <w:rPr>
                <w:sz w:val="1"/>
                <w:szCs w:val="1"/>
                <w:color w:val="auto"/>
              </w:rPr>
            </w:pPr>
          </w:p>
        </w:tc>
      </w:tr>
      <w:tr>
        <w:trPr>
          <w:trHeight w:val="159"/>
        </w:trPr>
        <w:tc>
          <w:tcPr>
            <w:tcW w:w="6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4"/>
          </w:tcPr>
          <w:p>
            <w:pPr>
              <w:jc w:val="right"/>
              <w:ind w:right="1520"/>
              <w:spacing w:after="0" w:line="15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442"/>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63,688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72,130</w:t>
            </w: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b w:val="1"/>
                <w:bCs w:val="1"/>
                <w:color w:val="auto"/>
                <w:w w:val="97"/>
              </w:rPr>
              <w:t>$(8,442)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370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(8,837)</w:t>
            </w:r>
          </w:p>
        </w:tc>
        <w:tc>
          <w:tcPr>
            <w:tcW w:w="0" w:type="dxa"/>
            <w:vAlign w:val="bottom"/>
          </w:tcPr>
          <w:p>
            <w:pPr>
              <w:spacing w:after="0"/>
              <w:rPr>
                <w:sz w:val="1"/>
                <w:szCs w:val="1"/>
                <w:color w:val="auto"/>
              </w:rPr>
            </w:pPr>
          </w:p>
        </w:tc>
      </w:tr>
      <w:tr>
        <w:trPr>
          <w:trHeight w:val="216"/>
        </w:trPr>
        <w:tc>
          <w:tcPr>
            <w:tcW w:w="698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Mix</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625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Price/Material inflation pass-through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(600)</w:t>
            </w:r>
          </w:p>
        </w:tc>
        <w:tc>
          <w:tcPr>
            <w:tcW w:w="0" w:type="dxa"/>
            <w:vAlign w:val="bottom"/>
          </w:tcPr>
          <w:p>
            <w:pPr>
              <w:spacing w:after="0"/>
              <w:rPr>
                <w:sz w:val="1"/>
                <w:szCs w:val="1"/>
                <w:color w:val="auto"/>
              </w:rPr>
            </w:pPr>
          </w:p>
        </w:tc>
      </w:tr>
      <w:tr>
        <w:trPr>
          <w:trHeight w:val="32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6,934</w:t>
            </w:r>
          </w:p>
        </w:tc>
        <w:tc>
          <w:tcPr>
            <w:tcW w:w="188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b w:val="1"/>
                <w:bCs w:val="1"/>
                <w:color w:val="auto"/>
              </w:rPr>
              <w:t>$(2,910)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sales decreased during the first quarter of 2013 from the first quarter of 2012 due to lower sales volumes experienced primarily at units selling into the European and Asian automotive markets. Additionally, sales decreased in North America due to lower customer demand from inventory levels being adjusted on certain automotive platforms. The reduction in price and raw material pass-through are driven by lower levels of price increases and material inflation than experienced during the first quarter of 2012.</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segment net income in the first quarter of 2013 was negatively impacted by lost profits from lower sales volumes and not being able to fully offset fixed production costs as production declined. Partially offsetting the volume effects were benefits from specific cost reduction projects undertaken during 2013 and overall good variable cost controls in the face of lower overall volumes at those units effected by the sales declines. Additionally, the segment net income decreased due to the U.S. unit of the segment recognizing tax expense of $0.8 million in the first quarter of 2013. In the first quarter of 2012, all U.S. deferred tax assets were offset by full valuation allowances and accordingly the U.S. units did not recognize tax expense.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METAL COMPONENTS SEGMENT</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59"/>
        </w:trPr>
        <w:tc>
          <w:tcPr>
            <w:tcW w:w="1500" w:type="dxa"/>
            <w:vAlign w:val="bottom"/>
            <w:tcBorders>
              <w:bottom w:val="single" w:sz="8" w:color="auto"/>
            </w:tcBorders>
            <w:vMerge w:val="continue"/>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left="102"/>
              <w:spacing w:after="0" w:line="152"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20,743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21,312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w w:val="91"/>
              </w:rPr>
              <w:t>$(569)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(85)</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Price/mix</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(484)</w:t>
            </w:r>
          </w:p>
        </w:tc>
        <w:tc>
          <w:tcPr>
            <w:tcW w:w="0" w:type="dxa"/>
            <w:vAlign w:val="bottom"/>
          </w:tcPr>
          <w:p>
            <w:pPr>
              <w:spacing w:after="0"/>
              <w:rPr>
                <w:sz w:val="1"/>
                <w:szCs w:val="1"/>
                <w:color w:val="auto"/>
              </w:rPr>
            </w:pPr>
          </w:p>
        </w:tc>
      </w:tr>
      <w:tr>
        <w:trPr>
          <w:trHeight w:val="32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1,639</w:t>
            </w:r>
          </w:p>
        </w:tc>
        <w:tc>
          <w:tcPr>
            <w:tcW w:w="400" w:type="dxa"/>
            <w:vAlign w:val="bottom"/>
          </w:tcPr>
          <w:p>
            <w:pPr>
              <w:spacing w:after="0"/>
              <w:rPr>
                <w:sz w:val="24"/>
                <w:szCs w:val="24"/>
                <w:color w:val="auto"/>
              </w:rPr>
            </w:pPr>
          </w:p>
        </w:tc>
        <w:tc>
          <w:tcPr>
            <w:tcW w:w="130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rPr>
              <w:t>$(707)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majority of the decreases in sales at this segment were due to contractual price decreases for certain long-term programs. Additionally, sales volumes were flat as the incremental impacts of the new sales programs taken on in 2012 offset sales losses from other sales programs ending.</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segment was able to offset the effect of the price decreases through cost reduction projects and operational improvements as income from operations in 2013 was consistent with 2012. The reduction in segment net income was due to recording $0.5 million in tax expense during the first quarter of 2013 and from a $0.2 million gain on sale of a note receivable in 2012 without similar amounts in the comparison period. In the first quarter of 2012, all U.S. deferred tax assets were offset by full valuation allowances and accordingly the U.S. units did not recognize tax expense.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PLASTIC AND RUBBER COMPONENTS SEGMENT</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9"/>
        </w:trPr>
        <w:tc>
          <w:tcPr>
            <w:tcW w:w="6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56"/>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9,366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11,077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95"/>
              </w:rPr>
              <w:t>(1,711)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(1,641)</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Price/mix/material pass-through</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(70)</w:t>
            </w:r>
          </w:p>
        </w:tc>
        <w:tc>
          <w:tcPr>
            <w:tcW w:w="0" w:type="dxa"/>
            <w:vAlign w:val="bottom"/>
          </w:tcPr>
          <w:p>
            <w:pPr>
              <w:spacing w:after="0"/>
              <w:rPr>
                <w:sz w:val="1"/>
                <w:szCs w:val="1"/>
                <w:color w:val="auto"/>
              </w:rPr>
            </w:pPr>
          </w:p>
        </w:tc>
      </w:tr>
      <w:tr>
        <w:trPr>
          <w:trHeight w:val="32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(856)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were down due to lower customer demand from inventory levels being adjusted on certain automotive platforms and from certain sales programs ending.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net income was down due to the negative effects of lower sales volumes and not being able to fully offset fixed production costs as production declined.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net income was also down due to the segment recognizing tax expense of $0.1 million in the first quarter of 2013. In the first quarter of 2012,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deferred tax assets were offset by full valuation allowances and accordingly the U.S. units did not recognize tax expense.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From December 31, 2012 to March 31, 2013, our total assets decreased $0.7 million and our current assets increased $2.7 million. Excluding foreign exchange effects, total assets and current assets increased approximately $2.6 million and $4.3 million, respectively, from December 31, 2012.</w:t>
      </w:r>
    </w:p>
    <w:p>
      <w:pPr>
        <w:spacing w:after="0" w:line="12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majority of the increase in total and current assets was due principally to a $16.0 million increase in accounts receivable partially offset by an $11.2 million decrease in cash. Excluding the foreign exchange effects, accounts receivable was higher by $16.0 million due to the 30% increase in sales volume experienced in March and February of 2013 compared with sales levels in December and November of 2012. The days sales outstanding at March 31, 2013 was consistent with days sales outstanding at December 31, 2012. The cash balance decreased primarily from cash at our European subsidiaries being used to pay down debt. Excluding the foreign exchange effects, property, plant and equipment decreased $1.3 million, as year to date capital spending was lower than depreciation.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December 31, 2012 to March 31, 2013, our total liabilities decreased $2.2 million. Excluding foreign exchange effects, total liabilities decreased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approximately $1.0 million from December 31, 2012. The majority of the reduction was from a $5.8 million decrease in long-term and short-term debt achieved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reducing our cash balance. The debt reduction was partially offset by increases in accounts payable and income taxes payable. Accounts payable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 million, excluding foreign exchange effects, driven by higher levels of spending for raw materials and production supplies due to increased production levels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March and February of 2013 compared to December and November of 2012. Income taxes payable increased $1.0 million due to recording the current quarter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provision reduced by taxes paid in the quarter.</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Working capital, which consists principally of accounts receivable and inventories offset by accounts payable and current maturities of long-term debt, was $64.9 million at March 31, 2013 as compared to $68.5 million at December 31, 2012. The ratio of current assets to current liabilities decreased from 2.17:1 at December 31, 2012 to 2.00:1 at March 31, 2013. The decrease in working capital was due primarily to the reduction in cash and the increase in accounts payable, as discussed above.</w:t>
      </w:r>
    </w:p>
    <w:p>
      <w:pPr>
        <w:spacing w:after="0" w:line="13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Cash used by operations was $2.5 million for the first three months of 2013 compared with cash used by operations of $1.1 million for the same period in 2012. The unfavorable variance was principally due to a decrease in net income experienced during the first three months of 2013 versus the first three months of 2012 driven by the lower sales volumes experienced in 2013.</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Cash used by investing activities was $3.2 million for the first three months of 2013 compared with cash used by investing activities of $1.8 million for the same period in 2012. The difference was primarily due to 2012 including proceeds of $1.9 million for the pay-off of a note receivable and proceeds of $0.4 million for the sale of fixed assets both related to our former Tempe Plant. Additionally, in the first three months of 2013 spending on acquisitions of property plant and equipment was $0.9 million in lower than in the same period of 2012.</w:t>
      </w:r>
    </w:p>
    <w:p>
      <w:pPr>
        <w:spacing w:after="0" w:line="13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Cash used by financing activities was $5.9 million for the first three months of 2013, compared with cash provided by financing activities of $9.2 million for the same period in 2012. The change was primarily due to the net repayment of short-term and long-term debt in 2013 versus net borrowings of short-term and long-term debt in 2012. The net repayment of debt in 2013 was generated by reducing the cash balances of our European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Amounts outstanding under our $100.0 million credit facility and our $60.0 million of fixed rate notes as of March 31, 2013 were $32.2 million (including $2.2 million under our swing line of credit) and $31.4 million, respectively. As of March 31, 2013, we can borrow up to an additional $67.1 million under the $100.0 million credit facility (including $7.8 million under our swing line of credit) subject to limitations based on existing financial covenants. The $67.1 million of availability is net of $0.7 million of outstanding letters of credit at March 31, 2013, which are considered as usage of the facility.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were in compliance with all covenants related to the amended and restated $100.0 million credit facility and the amended and restated $60.0 million in fixed rate notes as of March 31, 2013. The specific covenants to which we are subject and the actual results achieved for the three month period ended March 31, 2013 are stated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Covenants</w:t>
            </w:r>
          </w:p>
        </w:tc>
        <w:tc>
          <w:tcPr>
            <w:tcW w:w="780" w:type="dxa"/>
            <w:vAlign w:val="bottom"/>
            <w:vMerge w:val="restart"/>
          </w:tcPr>
          <w:p>
            <w:pPr>
              <w:spacing w:after="0"/>
              <w:rPr>
                <w:sz w:val="13"/>
                <w:szCs w:val="13"/>
                <w:color w:val="auto"/>
              </w:rPr>
            </w:pPr>
          </w:p>
        </w:tc>
        <w:tc>
          <w:tcPr>
            <w:tcW w:w="8440" w:type="dxa"/>
            <w:vAlign w:val="bottom"/>
            <w:gridSpan w:val="2"/>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Required Covenant Level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Actual Level</w:t>
            </w:r>
          </w:p>
        </w:tc>
        <w:tc>
          <w:tcPr>
            <w:tcW w:w="0" w:type="dxa"/>
            <w:vAlign w:val="bottom"/>
          </w:tcPr>
          <w:p>
            <w:pPr>
              <w:spacing w:after="0"/>
              <w:rPr>
                <w:sz w:val="1"/>
                <w:szCs w:val="1"/>
                <w:color w:val="auto"/>
              </w:rPr>
            </w:pPr>
          </w:p>
        </w:tc>
      </w:tr>
      <w:tr>
        <w:trPr>
          <w:trHeight w:val="172"/>
        </w:trPr>
        <w:tc>
          <w:tcPr>
            <w:tcW w:w="126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40" w:type="dxa"/>
            <w:vAlign w:val="bottom"/>
            <w:gridSpan w:val="2"/>
            <w:vMerge w:val="continue"/>
          </w:tcPr>
          <w:p>
            <w:pPr>
              <w:spacing w:after="0"/>
              <w:rPr>
                <w:sz w:val="14"/>
                <w:szCs w:val="14"/>
                <w:color w:val="auto"/>
              </w:rPr>
            </w:pPr>
          </w:p>
        </w:tc>
        <w:tc>
          <w:tcPr>
            <w:tcW w:w="9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Achieved</w:t>
            </w: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coverage ratio</w:t>
            </w:r>
          </w:p>
        </w:tc>
        <w:tc>
          <w:tcPr>
            <w:tcW w:w="8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to be less than 3.00 to 1.00 as of the last day of any fiscal quarter</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7.87 to 1.00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charge coverage</w:t>
            </w: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to be less than 1.00 to 1.00 as of the last day of any fiscal quarter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1.20 to 1.00</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to exceed 2.75 to 1.00 for the most recently completed four fiscal quarters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1.72 to 1.00</w:t>
            </w:r>
          </w:p>
        </w:tc>
        <w:tc>
          <w:tcPr>
            <w:tcW w:w="0" w:type="dxa"/>
            <w:vAlign w:val="bottom"/>
          </w:tcPr>
          <w:p>
            <w:pPr>
              <w:spacing w:after="0"/>
              <w:rPr>
                <w:sz w:val="1"/>
                <w:szCs w:val="1"/>
                <w:color w:val="auto"/>
              </w:rPr>
            </w:pP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to invest more than $26,402 during the fiscal year 2013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$3,154</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of our locations use the Euro as their functional currency. In 2013, the fluctuation of the Euro against the U.S. Dollar favorably impacted revenue and had an unfavorable impact on net income from the transactional impact of intercompany notes denominated in Euros. As of March 31, 2013, no currency hedges were in place. Changes in value of the U.S. Dollar and/or Euro against foreign currencies could impair our ability to compete with international competitors for foreign as well as domestic sales.</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made planned capital expenditures totaling $3.2 million as of March 31, 2013. During 2013, we expect to spend up to $17.0 million on capital expenditures, the majority of which relate to new or expanded business. We believe that funds generated from operations and borrowings from our credit facilities will be sufficient to finance our capital expenditures and working capital needs through March 2014. We base this assertion on our current availability for borrowing of up to $67.1 million and our forecasted positive cash flow from operations for the remaining quarters of 2013.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our Annual Report on Form 10-K for the year ended December 31, 2012, including those policies as discussed in Note 1 to the Annual Report. There have been no changes to these policies during the three month period ended March 31, 2013.</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2013, we had $32.2 million outstanding under our variable rate revolving credit facilities and $31.4 million of fixed rate notes outstanding. See Note 7 of the Notes to Condensed Consolidated Financial Statements. At March 31, 2013, a one-percent increase in the interest rate charged on our outstanding variable rate borrowings would result in interest expense increasing annually by approximately $0.3 million.</w:t>
      </w:r>
    </w:p>
    <w:p>
      <w:pPr>
        <w:spacing w:after="0" w:line="13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did not hold a position in any foreign currency hedging instruments as of March 31, 2013.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March 31, 2013, the end of the period covered by this quarterly report.</w:t>
      </w:r>
    </w:p>
    <w:p>
      <w:pPr>
        <w:spacing w:after="0" w:line="136"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There have been no changes in the fiscal quarter ended March 31, 2013 in our internal control over financial reporting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2012, we were named in a lawsuit from a former independent sales agent claiming amounts due with regard to sales made after termination of our relationship. We believe that the claim is not substantiated by the facts and we are defending it aggressively. While the company is unable to predict the outcome of this matter, we do not believe, based on currently available facts, that it will have a material adverse effect on our business, financial condition, results of operations, or cash flows.</w:t>
      </w:r>
    </w:p>
    <w:p>
      <w:pPr>
        <w:spacing w:after="0" w:line="13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discussed more fully in our Annual Report on Form 10-K filed March 15, 2013, the ultimate impact on NN of our wholly owned German subsidiary Kugelfertigung Eltmann GbmH (“Eltmann” or “Eltmann Plant”)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2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Our risk factors are disclosed in our Annual Report on Form 10-K for the fiscal year ended December 31, 2012 under Item 1.A. “Risk Factors.” There have been no material changes to these risk factors since December 31, 2012.</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45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Chief Executive Officer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10, 2013, we announced that Richard D. Holder has been appointed as President and Chief Executive Officer of the Company effective June 3, 2013.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entered into an Executive Employment Agreement dated May 8, 2013 with Mr. Holder. Mr. Holder’s employment will commence on June 3, 2013.</w:t>
      </w:r>
    </w:p>
    <w:p>
      <w:pPr>
        <w:spacing w:after="0" w:line="18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filed a Current Report on Form 8-K on May 10, 2013, that provides more information regarding Mr. Holder’s employment with NN and includes a copy of the Executive Employment Agreement as an Exhibit.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Certification Pursuant to Rules 13a-14(a) and 15d-14(a) under the Securities Exchange Act of 1934, as amended.</w:t>
            </w:r>
          </w:p>
        </w:tc>
      </w:tr>
      <w:tr>
        <w:trPr>
          <w:trHeight w:val="324"/>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Certification Pursuant to Rules 13a-14(a) and 15d-14(a) under the Securities Exchange Act of 1934, as amended.</w:t>
            </w:r>
          </w:p>
        </w:tc>
      </w:tr>
      <w:tr>
        <w:trPr>
          <w:trHeight w:val="324"/>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Sarbanes-Oxley Act.</w:t>
            </w:r>
          </w:p>
        </w:tc>
      </w:tr>
      <w:tr>
        <w:trPr>
          <w:trHeight w:val="324"/>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Sarbanes-Oxley Act.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Service</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Taxonomy Calculation Linkbase</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XBRLTaxonomy Label Linkbase</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65"/>
        </w:trPr>
        <w:tc>
          <w:tcPr>
            <w:tcW w:w="900" w:type="dxa"/>
            <w:vAlign w:val="bottom"/>
          </w:tcPr>
          <w:p>
            <w:pPr>
              <w:spacing w:after="0"/>
              <w:rPr>
                <w:sz w:val="24"/>
                <w:szCs w:val="24"/>
                <w:color w:val="auto"/>
              </w:rPr>
            </w:pPr>
          </w:p>
        </w:tc>
        <w:tc>
          <w:tcPr>
            <w:tcW w:w="82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NN, Inc.</w:t>
            </w:r>
          </w:p>
        </w:tc>
      </w:tr>
      <w:tr>
        <w:trPr>
          <w:trHeight w:val="223"/>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393"/>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10, 2013</w:t>
            </w:r>
          </w:p>
        </w:tc>
        <w:tc>
          <w:tcPr>
            <w:tcW w:w="26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Roderick R. Baty</w:t>
            </w:r>
          </w:p>
        </w:tc>
      </w:tr>
      <w:tr>
        <w:trPr>
          <w:trHeight w:val="21"/>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Roderick R. Baty,</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8"/>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394"/>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10, 2013</w:t>
            </w:r>
          </w:p>
        </w:tc>
        <w:tc>
          <w:tcPr>
            <w:tcW w:w="26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James H. Dorton</w:t>
            </w:r>
          </w:p>
        </w:tc>
      </w:tr>
      <w:tr>
        <w:trPr>
          <w:trHeight w:val="21"/>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James H. Dorton</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Corporate Development and</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28"/>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394"/>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10, 2013</w:t>
            </w:r>
          </w:p>
        </w:tc>
        <w:tc>
          <w:tcPr>
            <w:tcW w:w="26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William C. Kelly, Jr.</w:t>
            </w:r>
          </w:p>
        </w:tc>
      </w:tr>
      <w:tr>
        <w:trPr>
          <w:trHeight w:val="21"/>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William C. Kelly, Jr.,</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228"/>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394"/>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10, 2013</w:t>
            </w:r>
          </w:p>
        </w:tc>
        <w:tc>
          <w:tcPr>
            <w:tcW w:w="26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Thomas C. Burwell, Jr.</w:t>
            </w:r>
          </w:p>
        </w:tc>
      </w:tr>
      <w:tr>
        <w:trPr>
          <w:trHeight w:val="21"/>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Thomas C. Burwell, Jr.</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Chief Accounting Officer and</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28"/>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65"/>
        </w:trPr>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 UNDER THE SECURITIES EXCHANGE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 OF 1934, AS AMENDED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Roderick R. Baty,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900" w:right="140" w:hanging="446"/>
        <w:spacing w:after="0" w:line="262"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10, 2013</w:t>
      </w:r>
      <w:r>
        <w:rPr>
          <w:sz w:val="20"/>
          <w:szCs w:val="20"/>
          <w:color w:val="auto"/>
        </w:rPr>
        <w:tab/>
      </w:r>
      <w:r>
        <w:rPr>
          <w:rFonts w:ascii="Times New Roman" w:cs="Times New Roman" w:eastAsia="Times New Roman" w:hAnsi="Times New Roman"/>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Roderick R. Baty</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 UNDER THE SECURITIES EXCHANGE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 OF 1934, AS AMENDED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900" w:right="140" w:hanging="446"/>
        <w:spacing w:after="0" w:line="26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10, 2013</w:t>
      </w:r>
      <w:r>
        <w:rPr>
          <w:sz w:val="20"/>
          <w:szCs w:val="20"/>
          <w:color w:val="auto"/>
        </w:rPr>
        <w:tab/>
      </w:r>
      <w:r>
        <w:rPr>
          <w:rFonts w:ascii="Times New Roman" w:cs="Times New Roman" w:eastAsia="Times New Roman" w:hAnsi="Times New Roman"/>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James H. Dorton</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 Corporate Development and Chief Financial</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10, 2013</w:t>
      </w:r>
      <w:r>
        <w:rPr>
          <w:sz w:val="20"/>
          <w:szCs w:val="20"/>
          <w:color w:val="auto"/>
        </w:rPr>
        <w:tab/>
      </w:r>
      <w:r>
        <w:rPr>
          <w:rFonts w:ascii="Times New Roman" w:cs="Times New Roman" w:eastAsia="Times New Roman" w:hAnsi="Times New Roman"/>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Roderick R. Baty</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Chairman, President and Chief</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5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10, 2013</w:t>
      </w:r>
      <w:r>
        <w:rPr>
          <w:sz w:val="20"/>
          <w:szCs w:val="20"/>
          <w:color w:val="auto"/>
        </w:rPr>
        <w:tab/>
      </w:r>
      <w:r>
        <w:rPr>
          <w:rFonts w:ascii="Times New Roman" w:cs="Times New Roman" w:eastAsia="Times New Roman" w:hAnsi="Times New Roman"/>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James H. Dorton</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 Corporate Development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7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2019-12-06T11:00:32Z</dcterms:created>
  <dcterms:modified xsi:type="dcterms:W3CDTF">2019-12-06T11:00:32Z</dcterms:modified>
</cp:coreProperties>
</file>