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4)</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NN, Inc.</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629337106</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9401 Wilshire Blvd, Suite 705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Beverly Hills, CA 90212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ELIZABETH GONZALEZ-SUSSMAN, ESQ.</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December 5, 2019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2,951,495</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2,951,495</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2,951,495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6.98%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L.P. II</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163,119</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163,119</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163,119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Special Opportunities, L.P. XI</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770,703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770,703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770,703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3,885,317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3,885,317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Holdings,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3,885,617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Christopher S. Kiper</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3,885,617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3"/>
              </w:rPr>
              <w:t>Raymond White</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w w:val="95"/>
              </w:rPr>
              <w:t>SOURCE OF FUNDS</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3,885,617</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4 to the Schedule 13D filed by the undersigned (the “Amendment No. 4”).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 amends and restates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in its entirety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Shares purchased by each of Legion Partners I, Legion Partners II and Legion Partners XI were purchased with working capital (which may, at any given time, include margin loans made by brokerage firms in the ordinary course of business) in open market purchases, except as otherwise noted herein or in Schedule A, which is incorporated herein by reference.</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aggregate purchase price of the 2,951,495 Shares owned directly by Legion Partners I is approximately $32,531,198, including brokerage commissions. The aggregate purchase price of the 163,119 Shares owned directly by Legion Partners II is approximately $1,767,552, including brokerage commissions. The aggregate purchase price of the 770,703 Shares owned directly by Legion Partners XI is approximately $7,593,011, including brokerage commissions.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On December 5, 2019, Legion Partners I and Legion Partners II (the “Legion Investors”), together with certain other unaffiliated purchasers named therein (together with the Legion Investors, the “Investors”), entered into a securities purchase agreement (the “Purchase Agreement”) with the Issuer, pursuant to which the Issuer has agreed to sell (i) 14,273 shares of the Issuer’s newly designated Series B Convertible Preferred Stock, par value $0.01 per share (the “Series B Preferred Stock”), at a price of $1,000 per share, together with common stock purchase warrants (the “Warrants”) to purchase 214,095 Shares, for aggregate gross proceeds of $14,273,000 to Legion Partners I, and (ii) 727 shares of the Series B Preferred Stock, at a price of $1,000 per share, together with Warrants to purchase 10,905 Shares, for aggregate gross proceeds of $727,000 to Legion Partners II (the “Financing Transaction”).</w:t>
      </w:r>
    </w:p>
    <w:p>
      <w:pPr>
        <w:spacing w:after="0" w:line="165"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The closing of the Financing Transaction is expected to take place on or about December 10, 2019, and is subject to customary closing conditions. The issuance of Shares upon exercise of the Warrants and conversion or redemption of the Series B Preferred Stock in an amount greater than 19.99% of the Issuer’s outstanding Shares is subject to stockholder approval, as required under the listing standards of Nasdaq (the “Stockholder Approval”).</w:t>
      </w:r>
    </w:p>
    <w:p>
      <w:pPr>
        <w:spacing w:after="0" w:line="14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Purchase Agreement and the Certificate of Designation setting forth the terms of the Series B Preferred Stock (the “Certificate of Designation”), the Company has agreed, subject to certain exceptions, not to become party to certain change in control transactions other than</w:t>
      </w:r>
    </w:p>
    <w:p>
      <w:pPr>
        <w:jc w:val="both"/>
        <w:ind w:firstLine="8"/>
        <w:spacing w:after="0" w:line="253"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transaction not approved by the Board prior to the consummation thereof or (ii) transactions in which holders of shares of the Series B Preferred Stock are entitled to receive cash in an amount equal to the applicable redemption value plus accrued and unpaid dividends (and less a portion of certain dividend taxes that may be paid or accrued by the Company on behalf of the Investors in respect of the Series B Preferred Stock). The foregoing summary of the Purchase Agreement is qualified in its entirety by the full text of the Purchase Agreement, a copy of which is filed hereto as Exhibit 99.1 and is incorporated herein by reference.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terms of the Series B Preferred Stock, as set forth in a Certificate of Designation, will include the following:</w:t>
      </w:r>
    </w:p>
    <w:p>
      <w:pPr>
        <w:spacing w:after="0" w:line="225" w:lineRule="exact"/>
        <w:rPr>
          <w:sz w:val="20"/>
          <w:szCs w:val="20"/>
          <w:color w:val="auto"/>
        </w:rPr>
      </w:pPr>
    </w:p>
    <w:p>
      <w:pPr>
        <w:jc w:val="both"/>
        <w:ind w:left="1620" w:hanging="315"/>
        <w:spacing w:after="0" w:line="257"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Dividends will equal 10.625% per annum, payable quarterly in arrears; provided that if the Company does not obtain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prior to the earlier of (i) June 30, 2020 and (ii) at the Company’s 2020 annual meeting of stockholders, the rate shall increase to 11.625% per annum until such Stockholder Approval has been obtained. Series B Preferred Stock will fully participate on an as-converted basis in any dividends paid on the Common Stock, using a conversion rate based on a fixed conversion price equal to $7.91.</w:t>
      </w:r>
    </w:p>
    <w:p>
      <w:pPr>
        <w:spacing w:after="0" w:line="188" w:lineRule="exact"/>
        <w:rPr>
          <w:rFonts w:ascii="Arial" w:cs="Arial" w:eastAsia="Arial" w:hAnsi="Arial"/>
          <w:sz w:val="18"/>
          <w:szCs w:val="18"/>
          <w:color w:val="auto"/>
        </w:rPr>
      </w:pPr>
    </w:p>
    <w:p>
      <w:pPr>
        <w:jc w:val="both"/>
        <w:ind w:left="1620" w:right="20" w:hanging="315"/>
        <w:spacing w:after="0" w:line="312"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The Company may redeem the shares of Series B Preferred Stock for an amount equal to the applicable redemption price</w:t>
      </w:r>
      <w:r>
        <w:rPr>
          <w:rFonts w:ascii="Arial" w:cs="Arial" w:eastAsia="Arial" w:hAnsi="Arial"/>
          <w:sz w:val="16"/>
          <w:szCs w:val="16"/>
          <w:i w:val="1"/>
          <w:iCs w:val="1"/>
          <w:color w:val="auto"/>
        </w:rPr>
        <w:t xml:space="preserve"> </w:t>
      </w:r>
      <w:r>
        <w:rPr>
          <w:rFonts w:ascii="Arial" w:cs="Arial" w:eastAsia="Arial" w:hAnsi="Arial"/>
          <w:sz w:val="16"/>
          <w:szCs w:val="16"/>
          <w:color w:val="auto"/>
        </w:rPr>
        <w:t>set forth below expressed as a percentage of its Liquidation Preference (as defined below), plus any accrued and unpaid dividends, minus any dividend withholding taxes that the Company is entitled to set off pursuant to the terms of the Purchase Agreement.</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720" w:type="dxa"/>
            <w:vAlign w:val="bottom"/>
            <w:gridSpan w:val="2"/>
          </w:tcPr>
          <w:p>
            <w:pPr>
              <w:spacing w:after="0"/>
              <w:rPr>
                <w:sz w:val="20"/>
                <w:szCs w:val="20"/>
                <w:color w:val="auto"/>
              </w:rPr>
            </w:pPr>
            <w:r>
              <w:rPr>
                <w:rFonts w:ascii="Arial" w:cs="Arial" w:eastAsia="Arial" w:hAnsi="Arial"/>
                <w:sz w:val="18"/>
                <w:szCs w:val="18"/>
                <w:color w:val="auto"/>
              </w:rPr>
              <w:t>Year</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Percentage of Liquidation Preference</w:t>
            </w:r>
          </w:p>
        </w:tc>
      </w:tr>
      <w:tr>
        <w:trPr>
          <w:trHeight w:val="20"/>
        </w:trPr>
        <w:tc>
          <w:tcPr>
            <w:tcW w:w="3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On or before March 31, 2021</w:t>
            </w:r>
          </w:p>
        </w:tc>
        <w:tc>
          <w:tcPr>
            <w:tcW w:w="43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After March 31, 2021 and on or before</w:t>
            </w:r>
          </w:p>
        </w:tc>
        <w:tc>
          <w:tcPr>
            <w:tcW w:w="1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December 31, 2021</w:t>
            </w:r>
          </w:p>
        </w:tc>
        <w:tc>
          <w:tcPr>
            <w:tcW w:w="432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After December 31, 2021 and on or before</w:t>
            </w:r>
          </w:p>
        </w:tc>
        <w:tc>
          <w:tcPr>
            <w:tcW w:w="16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December 31, 2022</w:t>
            </w:r>
          </w:p>
        </w:tc>
        <w:tc>
          <w:tcPr>
            <w:tcW w:w="432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After December 31, 2022</w:t>
            </w:r>
          </w:p>
        </w:tc>
        <w:tc>
          <w:tcPr>
            <w:tcW w:w="4320" w:type="dxa"/>
            <w:vAlign w:val="bottom"/>
            <w:gridSpan w:val="2"/>
          </w:tcPr>
          <w:p>
            <w:pPr>
              <w:jc w:val="right"/>
              <w:ind w:right="320"/>
              <w:spacing w:after="0"/>
              <w:rPr>
                <w:sz w:val="20"/>
                <w:szCs w:val="20"/>
                <w:color w:val="auto"/>
              </w:rPr>
            </w:pPr>
            <w:r>
              <w:rPr>
                <w:rFonts w:ascii="Arial" w:cs="Arial" w:eastAsia="Arial" w:hAnsi="Arial"/>
                <w:sz w:val="18"/>
                <w:szCs w:val="18"/>
                <w:color w:val="auto"/>
              </w:rPr>
              <w:t>130%</w:t>
            </w:r>
          </w:p>
        </w:tc>
      </w:tr>
    </w:tbl>
    <w:p>
      <w:pPr>
        <w:spacing w:after="0" w:line="202" w:lineRule="exact"/>
        <w:rPr>
          <w:sz w:val="20"/>
          <w:szCs w:val="20"/>
          <w:color w:val="auto"/>
        </w:rPr>
      </w:pPr>
    </w:p>
    <w:p>
      <w:pPr>
        <w:jc w:val="both"/>
        <w:ind w:left="1620"/>
        <w:spacing w:after="0" w:line="255" w:lineRule="auto"/>
        <w:rPr>
          <w:sz w:val="20"/>
          <w:szCs w:val="20"/>
          <w:color w:val="auto"/>
        </w:rPr>
      </w:pPr>
      <w:r>
        <w:rPr>
          <w:rFonts w:ascii="Arial" w:cs="Arial" w:eastAsia="Arial" w:hAnsi="Arial"/>
          <w:sz w:val="18"/>
          <w:szCs w:val="18"/>
          <w:color w:val="auto"/>
        </w:rPr>
        <w:t>The March 31, 2021 date shall be deemed May 15, 2021 if the Company has entered into a definitive agreement with respect to a transaction that constitutes a Change of Control (as defined in the Purchase Agreement) on or prior to March 31, 2021. The redemption price and any accrued and unpaid dividends shall be paid in cash unless the Shares have a market capitalization in excess of $750 million on the date of the redemption notice, in which case the redemption price may be paid in cash or a combination of cash and Shares; provided that the number of Shares to be delivered will be determined based on 95% of the 30-trading day volume-weighted average price (“VWAP”).</w:t>
      </w:r>
    </w:p>
    <w:p>
      <w:pPr>
        <w:spacing w:after="0" w:line="193" w:lineRule="exact"/>
        <w:rPr>
          <w:sz w:val="20"/>
          <w:szCs w:val="20"/>
          <w:color w:val="auto"/>
        </w:rPr>
      </w:pPr>
    </w:p>
    <w:p>
      <w:pPr>
        <w:jc w:val="both"/>
        <w:ind w:left="1620" w:hanging="315"/>
        <w:spacing w:after="0" w:line="342" w:lineRule="auto"/>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The conversion rate will equal (i) the Liquidation Preference, plus any accrued and unpaid dividends, less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withholding taxes that the Company is entitled to set off, divided by (ii) the then-applicable conversion price described below.</w:t>
      </w:r>
    </w:p>
    <w:p>
      <w:pPr>
        <w:spacing w:after="0" w:line="123" w:lineRule="exact"/>
        <w:rPr>
          <w:rFonts w:ascii="Arial" w:cs="Arial" w:eastAsia="Arial" w:hAnsi="Arial"/>
          <w:sz w:val="16"/>
          <w:szCs w:val="16"/>
          <w:color w:val="auto"/>
        </w:rPr>
      </w:pPr>
    </w:p>
    <w:p>
      <w:pPr>
        <w:jc w:val="both"/>
        <w:ind w:left="1620"/>
        <w:spacing w:after="0" w:line="264" w:lineRule="auto"/>
        <w:rPr>
          <w:rFonts w:ascii="Arial" w:cs="Arial" w:eastAsia="Arial" w:hAnsi="Arial"/>
          <w:sz w:val="16"/>
          <w:szCs w:val="16"/>
          <w:color w:val="auto"/>
        </w:rPr>
      </w:pPr>
      <w:r>
        <w:rPr>
          <w:rFonts w:ascii="Arial" w:cs="Arial" w:eastAsia="Arial" w:hAnsi="Arial"/>
          <w:sz w:val="18"/>
          <w:szCs w:val="18"/>
          <w:color w:val="auto"/>
        </w:rPr>
        <w:t>If the Company’s consolidated net leverage ratio is equal to or greater than 3.50 to 1.00 as of March 31, 2023 or any quarter ending thereafter, holders of Series B Preferred Stock will have the right to convert at a conversion price that equals 90% of the 30-day VWAP, during a 60-day conversion window.</w:t>
      </w:r>
    </w:p>
    <w:p>
      <w:pPr>
        <w:spacing w:after="0" w:line="181" w:lineRule="exact"/>
        <w:rPr>
          <w:rFonts w:ascii="Arial" w:cs="Arial" w:eastAsia="Arial" w:hAnsi="Arial"/>
          <w:sz w:val="16"/>
          <w:szCs w:val="16"/>
          <w:color w:val="auto"/>
        </w:rPr>
      </w:pPr>
    </w:p>
    <w:p>
      <w:pPr>
        <w:jc w:val="both"/>
        <w:ind w:left="1620"/>
        <w:spacing w:after="0" w:line="264" w:lineRule="auto"/>
        <w:rPr>
          <w:rFonts w:ascii="Arial" w:cs="Arial" w:eastAsia="Arial" w:hAnsi="Arial"/>
          <w:sz w:val="16"/>
          <w:szCs w:val="16"/>
          <w:color w:val="auto"/>
        </w:rPr>
      </w:pPr>
      <w:r>
        <w:rPr>
          <w:rFonts w:ascii="Arial" w:cs="Arial" w:eastAsia="Arial" w:hAnsi="Arial"/>
          <w:sz w:val="18"/>
          <w:szCs w:val="18"/>
          <w:color w:val="auto"/>
        </w:rPr>
        <w:t>Holders of the Series B Preferred Stock will also have the right to convert up to 25% of their shares of Series B Preferred Stock into Shares in the quarter following the completion of the Company’s fiscal year ending December 31, 2023, and each quarter ending thereafter at a conversion price that equals a 30-day VWAP, during a 60-day conversion window.</w:t>
      </w:r>
    </w:p>
    <w:p>
      <w:pPr>
        <w:spacing w:after="0" w:line="181" w:lineRule="exact"/>
        <w:rPr>
          <w:rFonts w:ascii="Arial" w:cs="Arial" w:eastAsia="Arial" w:hAnsi="Arial"/>
          <w:sz w:val="16"/>
          <w:szCs w:val="16"/>
          <w:color w:val="auto"/>
        </w:rPr>
      </w:pPr>
    </w:p>
    <w:p>
      <w:pPr>
        <w:jc w:val="both"/>
        <w:ind w:left="1620" w:hanging="315"/>
        <w:spacing w:after="0" w:line="257"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Liquidation Preference</w:t>
      </w:r>
      <w:r>
        <w:rPr>
          <w:rFonts w:ascii="Arial" w:cs="Arial" w:eastAsia="Arial" w:hAnsi="Arial"/>
          <w:sz w:val="18"/>
          <w:szCs w:val="18"/>
          <w:color w:val="auto"/>
        </w:rPr>
        <w:t>. The liquidation preference will be $1,000 per share of Series B Preferred Stock (the “Liquidation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a liquidation, holders of Series B Preferred Stock will receive the greater of (i) the Liquidation Preference, plus any dividends accrued and unpaid at the time of such liquidation, and (ii) the amount such holder of Series B Preferred Stock would have received upon conversion of its shares of Series B Preferred Stock into Shares using a conversion rate based on a fixed conversion price equal to $7.91.</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321" w:lineRule="exact"/>
        <w:rPr>
          <w:sz w:val="20"/>
          <w:szCs w:val="20"/>
          <w:color w:val="auto"/>
        </w:rPr>
      </w:pPr>
    </w:p>
    <w:p>
      <w:pPr>
        <w:jc w:val="both"/>
        <w:ind w:left="1620" w:hanging="315"/>
        <w:spacing w:after="0" w:line="269" w:lineRule="auto"/>
        <w:tabs>
          <w:tab w:leader="none" w:pos="162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Holders of the Series B Preferred Stock shall not have any voting rights, other than with respect to: (i) amendments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organizational documents that generally have an adverse effect on the Series B Preferred Stock as well as creation or issuance of senior or parity securities; (ii) issuance of additional Series B Preferred Stock after the closing of the Financing Transaction; (iii) incurrence by the Company and its subsidiaries of indebtedness other than any indebtedness that would be permitted to be incurred under the Company’s current credit agreement, excluding (A) indebtedness incurred in connection with refinancing the Company’s existing indebtedness outstanding, subject to certain limitations, and (B) indebtedness the net proceeds of which are contemporaneously used to redeem all outstanding shares of Series B Preferred Stock; and (iv) the sale of assets outside the ordinary course of business of the Company, unless (A) such assets are sold for fair market value, (B) 85% of the consideration received in connection with the asset sale is in the form of cash or cash equivalents and (C) the Company uses the net cash proceeds from such asset sale to permanently repay its indebtedness, and any net cash proceeds in excess of $25 million are used to redeem shares of Series B Preferred Stock and/or pay Series B Dividends.</w:t>
      </w:r>
    </w:p>
    <w:p>
      <w:pPr>
        <w:spacing w:after="0" w:line="183"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In connection with the closing under the Purchase Agreement, the Investors will be granted certain customary registration rights with respect to their shares of Common Stock, including those underlying the Series B Preferred Stock and Warrants, shares of Series B Preferred Stock and the Warrants pursuant to the terms of a registration rights agreement (the “Registration Rights Agreement”). The Registration Rights Agreement will contain other customary terms and conditions, including mutual indemnifications by the Company and each Investor.</w:t>
      </w:r>
    </w:p>
    <w:p>
      <w:pPr>
        <w:spacing w:after="0" w:line="17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Warrants will be exercisable, in full or in part, at any time prior to the seventh anniversary of their issuance, at an exercise price of $12.00 per share, subject to customary anti-dilution adjustments in the event of future below market issuances, stock splits, stock dividends, combinations or similar events set forth in the Warrants. The Warrant may be exercised for cash or on a cashless basis, based on an exercise price equal to the closing sale price on the immediately preceding trading day. In connection with a change of control transaction, any unexercised Warrants will be, under certain circumstances, deemed to have been exercised on a cashless basis. Warrant holders are entitled to participate in any dividend or other distribution by the Company to holders of shares of its Common Stock, on an as-exercised basis.</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connection with the Financing Transaction, also on December 5, 2019, the Company and the Reporting Persons entered into a letter agreement (the “Letter Agreement”) pursuant to which the Company and Reporting Persons have agreed that the Reporting Persons are exempted from their 9.9% standstill obligation set forth in the Cooperation Agreement dated as of February 25, 2019, between the Company and the Reporting Persons. The Letter Agreement also provides that entry into the Financing Transaction does not otherwise breach any terms set forth in the Cooperation Agreement. The foregoing summary of the Letter Agreement is qualified in its entirety by the full text of the Letter Agreement, a copy of which is filed hereto as Exhibit 99.2 and is incorporated herein by reference.</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Notwithstanding the Letter Agreement, the Reporting Persons are subject to certain other ownership limitations, including not acquiring more than 9.9% of the Shares outstanding after giving effect to the issuance of Shares upon conversion of the Series B Preferred Stock or exercise of the Warrants.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629337106</w:t>
      </w: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5(a)-(c) are hereby amended and restated in their entirety as follows: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aggregate percentage of Shares reported owned by each person named herein is based upon 42,314,888 Shares outstanding as of December 2, 2019, as disclosed in the Purchase Agreement filed as Exhibit 99.2 hereto.</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I</w:t>
      </w:r>
    </w:p>
    <w:p>
      <w:pPr>
        <w:spacing w:after="0" w:line="225" w:lineRule="exact"/>
        <w:rPr>
          <w:rFonts w:ascii="Arial" w:cs="Arial" w:eastAsia="Arial" w:hAnsi="Arial"/>
          <w:sz w:val="18"/>
          <w:szCs w:val="18"/>
          <w:color w:val="auto"/>
        </w:rPr>
      </w:pPr>
    </w:p>
    <w:p>
      <w:pPr>
        <w:ind w:left="1300" w:right="190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December 6, 2019, Legion Partners I beneficially owned directly 2,951,495 Shares. Percentage: Approximately 6.98%</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2,951,495</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2,951,495</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II</w:t>
      </w:r>
    </w:p>
    <w:p>
      <w:pPr>
        <w:spacing w:after="0" w:line="225" w:lineRule="exact"/>
        <w:rPr>
          <w:rFonts w:ascii="Arial" w:cs="Arial" w:eastAsia="Arial" w:hAnsi="Arial"/>
          <w:sz w:val="18"/>
          <w:szCs w:val="18"/>
          <w:color w:val="auto"/>
        </w:rPr>
      </w:pPr>
    </w:p>
    <w:p>
      <w:pPr>
        <w:ind w:left="1300" w:right="198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December 6, 2019, Legion Partners II beneficially owned directly 163,119 Shares. Percentage: Less than 1%</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163,119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163,119</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transactions in the securities of the Issuer by Legion Partners II during the past sixty days are set forth in Schedule A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Legion Partners XI</w:t>
      </w:r>
    </w:p>
    <w:p>
      <w:pPr>
        <w:spacing w:after="0" w:line="225" w:lineRule="exact"/>
        <w:rPr>
          <w:rFonts w:ascii="Arial" w:cs="Arial" w:eastAsia="Arial" w:hAnsi="Arial"/>
          <w:sz w:val="18"/>
          <w:szCs w:val="18"/>
          <w:color w:val="auto"/>
        </w:rPr>
      </w:pPr>
    </w:p>
    <w:p>
      <w:pPr>
        <w:ind w:left="1300" w:right="1920" w:hanging="644"/>
        <w:spacing w:after="0" w:line="501"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December 6, 2019, Legion Partners XI beneficially owned directly 770,703 Shares. Percentage: Approximately 1.82%</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770,703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770,703</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Legion Partners XI has not entered into any transactions in the securities of the Issuer during the past sixty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Legion Partners, LLC</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the general partner of each of Legion Partners I, Legion Partners II and Legion Partners XI, Legion Partners, LLC may be deemed the beneficial owner of the (i) 2,951,495 Shares beneficially owned directly by Legion Partners I, (ii) 163,119 Shares beneficially owned directly by Legion Partners II and (iii) 770,703 Shares beneficially owned directly by Legion Partners XI.</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9.18%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3,885,317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3,885,317</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Legion Partners, LLC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Legion Partners Asset Management</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As the investment advisor of each of Legion Partners I, Legion Partners II and Legion Partners XI, Legion Partners Asset Management may be deemed the beneficial owner of the (i) 2,951,495 Shares beneficially owned directly by Legion Partners I, (ii) 163,119 Shares beneficially owned directly by Legion Partners II and (iii) 770,703 Shares beneficially owned directly by Legion Partners XI.</w:t>
      </w:r>
    </w:p>
    <w:p>
      <w:pPr>
        <w:spacing w:after="0" w:line="165"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9.18%</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vote or direct vote: 3,885,317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3,885,317</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Legion Partners Asset Management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Legion Partners Holdings</w:t>
      </w:r>
    </w:p>
    <w:p>
      <w:pPr>
        <w:spacing w:after="0" w:line="225"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As of the close of business on December 6, 2019, Legion Partners Holdings beneficially owned directly 300 Shares. In addition, as the sole member of Legion Partners Asset Management and the sole member of Legion Partners, LLC, Legion Partners Holdings may be deemed the beneficial owner of the (i) 2,951,495 Shares beneficially owned directly by Legion Partners I, (ii) 163,119 Shares beneficially owned directly by Legion Partners II and (iii) 770,703 Shares beneficially owned directly by Legion Partners XI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9.18%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vote or direct vote: 3,885,617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3,885,617</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Legion Partners Holdings has not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Messrs. Kiper and White</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of Messrs. Kiper and White, as a managing director of Legion Partners Asset Management and a managing member of Legion Partners Holdings, may be deemed the beneficial owner of the (i) 2,951,495 Shares beneficially owned directly by Legion Partners I, (ii) 163,119 Shares beneficially owned directly by Legion Partners II, (iii) 770,703 Shares beneficially owned directly by Legion Partners XI and (iv) 300 Shares beneficially owned directly by Legion Partners Holdings.</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9.18%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3,885,617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3,885,617</w:t>
      </w:r>
    </w:p>
    <w:p>
      <w:pPr>
        <w:spacing w:after="0" w:line="21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Mr. Kiper nor Mr. White has entered into any transactions in the securities of the Issuer during the past sixty days. The transactions in the securities of the Issuer by Legion Partners I and Legion Partners II during the past sixty days are set forth in Schedule A and are incorporated herein by reference.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filing of this Schedule 13D shall not be deemed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On December 5, 2019, the Reporting Persons and the Issuer entered into the Letter Agreement as defined and described in Item 4 above, which is incorporated herein by reference.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Also on December 5, 2019, the Reporting Persons and the Issuer entered into the Securities Purchase Agreement as defined and described in Item 4 above, which is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exhibits:</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99.1 Securities Purchase Agreement, dated December 5, 2019, by and among the Reporting Persons, the other purchasers identified therein and the Issuer.</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Letter Agreement, dated December 5, 2019, by and among the Reporting Persons and the Issuer.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After reasonable inquiry and to the best of his knowledge and belief, each of the undersigned certifies that the information set forth in this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statement is true, complete and correct.</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color w:val="auto"/>
              </w:rPr>
              <w:t>Dated: December 9,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2"/>
              </w:rPr>
              <w:t>Legion Partners, L.P. 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0"/>
              </w:rPr>
              <w:t>Legion Partners, L.P. II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7"/>
              </w:rPr>
              <w:t>Legion Partners, LLC</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540"/>
        </w:trPr>
        <w:tc>
          <w:tcPr>
            <w:tcW w:w="66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16</w:t>
            </w: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3100"/>
        <w:spacing w:after="0"/>
        <w:rPr>
          <w:sz w:val="20"/>
          <w:szCs w:val="20"/>
          <w:color w:val="auto"/>
        </w:rPr>
      </w:pPr>
      <w:r>
        <w:rPr>
          <w:rFonts w:ascii="Arial" w:cs="Arial" w:eastAsia="Arial" w:hAnsi="Arial"/>
          <w:sz w:val="18"/>
          <w:szCs w:val="18"/>
          <w:color w:val="auto"/>
        </w:rPr>
        <w:t>Legion Partners Holdings, LLC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Christopher S. Kiper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Raymond White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629337106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SCHEDULE A</w:t>
            </w:r>
          </w:p>
        </w:tc>
        <w:tc>
          <w:tcPr>
            <w:tcW w:w="274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53"/>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20" w:type="dxa"/>
            <w:vAlign w:val="bottom"/>
            <w:gridSpan w:val="10"/>
          </w:tcPr>
          <w:p>
            <w:pPr>
              <w:jc w:val="center"/>
              <w:ind w:right="240"/>
              <w:spacing w:after="0"/>
              <w:rPr>
                <w:sz w:val="20"/>
                <w:szCs w:val="20"/>
                <w:color w:val="auto"/>
              </w:rPr>
            </w:pPr>
            <w:r>
              <w:rPr>
                <w:rFonts w:ascii="Arial" w:cs="Arial" w:eastAsia="Arial" w:hAnsi="Arial"/>
                <w:sz w:val="18"/>
                <w:szCs w:val="18"/>
                <w:b w:val="1"/>
                <w:bCs w:val="1"/>
                <w:color w:val="auto"/>
                <w:w w:val="89"/>
              </w:rPr>
              <w:t>Transactions in the Securities of the Issuer During the Past Sixty Days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Nature of Transaction</w:t>
            </w:r>
          </w:p>
        </w:tc>
        <w:tc>
          <w:tcPr>
            <w:tcW w:w="1360" w:type="dxa"/>
            <w:vAlign w:val="bottom"/>
          </w:tcPr>
          <w:p>
            <w:pPr>
              <w:spacing w:after="0"/>
              <w:rPr>
                <w:sz w:val="24"/>
                <w:szCs w:val="24"/>
                <w:color w:val="auto"/>
              </w:rPr>
            </w:pPr>
          </w:p>
        </w:tc>
        <w:tc>
          <w:tcPr>
            <w:tcW w:w="1160" w:type="dxa"/>
            <w:vAlign w:val="bottom"/>
            <w:gridSpan w:val="3"/>
          </w:tcPr>
          <w:p>
            <w:pPr>
              <w:jc w:val="center"/>
              <w:ind w:right="450"/>
              <w:spacing w:after="0"/>
              <w:rPr>
                <w:sz w:val="20"/>
                <w:szCs w:val="20"/>
                <w:color w:val="auto"/>
              </w:rPr>
            </w:pPr>
            <w:r>
              <w:rPr>
                <w:rFonts w:ascii="Arial" w:cs="Arial" w:eastAsia="Arial" w:hAnsi="Arial"/>
                <w:sz w:val="18"/>
                <w:szCs w:val="18"/>
                <w:color w:val="auto"/>
                <w:w w:val="92"/>
              </w:rPr>
              <w:t>Date of</w:t>
            </w:r>
          </w:p>
        </w:tc>
        <w:tc>
          <w:tcPr>
            <w:tcW w:w="3900" w:type="dxa"/>
            <w:vAlign w:val="bottom"/>
            <w:gridSpan w:val="6"/>
          </w:tcPr>
          <w:p>
            <w:pPr>
              <w:ind w:left="840"/>
              <w:spacing w:after="0"/>
              <w:rPr>
                <w:sz w:val="20"/>
                <w:szCs w:val="20"/>
                <w:color w:val="auto"/>
              </w:rPr>
            </w:pPr>
            <w:r>
              <w:rPr>
                <w:rFonts w:ascii="Arial" w:cs="Arial" w:eastAsia="Arial" w:hAnsi="Arial"/>
                <w:sz w:val="18"/>
                <w:szCs w:val="18"/>
                <w:color w:val="auto"/>
              </w:rPr>
              <w:t>Amount of Securities Purchased</w:t>
            </w:r>
          </w:p>
        </w:tc>
        <w:tc>
          <w:tcPr>
            <w:tcW w:w="238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 xml:space="preserve">Price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w:t>
            </w:r>
          </w:p>
        </w:tc>
      </w:tr>
      <w:tr>
        <w:trPr>
          <w:trHeight w:val="196"/>
        </w:trPr>
        <w:tc>
          <w:tcPr>
            <w:tcW w:w="6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gridSpan w:val="3"/>
          </w:tcPr>
          <w:p>
            <w:pPr>
              <w:jc w:val="center"/>
              <w:ind w:right="430"/>
              <w:spacing w:after="0" w:line="196" w:lineRule="exact"/>
              <w:rPr>
                <w:sz w:val="20"/>
                <w:szCs w:val="20"/>
                <w:color w:val="auto"/>
              </w:rPr>
            </w:pPr>
            <w:r>
              <w:rPr>
                <w:rFonts w:ascii="Arial" w:cs="Arial" w:eastAsia="Arial" w:hAnsi="Arial"/>
                <w:sz w:val="18"/>
                <w:szCs w:val="18"/>
                <w:color w:val="auto"/>
                <w:w w:val="84"/>
              </w:rPr>
              <w:t>Purchase</w:t>
            </w: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gridSpan w:val="7"/>
          </w:tcPr>
          <w:p>
            <w:pPr>
              <w:jc w:val="center"/>
              <w:ind w:right="2220"/>
              <w:spacing w:after="0"/>
              <w:rPr>
                <w:sz w:val="20"/>
                <w:szCs w:val="20"/>
                <w:color w:val="auto"/>
              </w:rPr>
            </w:pPr>
            <w:r>
              <w:rPr>
                <w:rFonts w:ascii="Arial" w:cs="Arial" w:eastAsia="Arial" w:hAnsi="Arial"/>
                <w:sz w:val="18"/>
                <w:szCs w:val="18"/>
                <w:b w:val="1"/>
                <w:bCs w:val="1"/>
                <w:color w:val="auto"/>
                <w:w w:val="97"/>
              </w:rPr>
              <w:t>LEGION PARTNERS, L.P. I</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2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20" w:type="dxa"/>
            <w:vAlign w:val="bottom"/>
            <w:gridSpan w:val="4"/>
            <w:shd w:val="clear" w:color="auto" w:fill="CCEEFF"/>
          </w:tcPr>
          <w:p>
            <w:pPr>
              <w:jc w:val="center"/>
              <w:ind w:left="730"/>
              <w:spacing w:after="0"/>
              <w:rPr>
                <w:sz w:val="20"/>
                <w:szCs w:val="20"/>
                <w:color w:val="auto"/>
              </w:rPr>
            </w:pPr>
            <w:r>
              <w:rPr>
                <w:rFonts w:ascii="Arial" w:cs="Arial" w:eastAsia="Arial" w:hAnsi="Arial"/>
                <w:sz w:val="18"/>
                <w:szCs w:val="18"/>
                <w:color w:val="auto"/>
                <w:w w:val="90"/>
              </w:rPr>
              <w:t>10/24/2019</w:t>
            </w:r>
          </w:p>
        </w:tc>
        <w:tc>
          <w:tcPr>
            <w:tcW w:w="3160" w:type="dxa"/>
            <w:vAlign w:val="bottom"/>
            <w:gridSpan w:val="5"/>
            <w:shd w:val="clear" w:color="auto" w:fill="CCEEFF"/>
          </w:tcPr>
          <w:p>
            <w:pPr>
              <w:jc w:val="center"/>
              <w:ind w:left="750"/>
              <w:spacing w:after="0"/>
              <w:rPr>
                <w:sz w:val="20"/>
                <w:szCs w:val="20"/>
                <w:color w:val="auto"/>
              </w:rPr>
            </w:pPr>
            <w:r>
              <w:rPr>
                <w:rFonts w:ascii="Arial" w:cs="Arial" w:eastAsia="Arial" w:hAnsi="Arial"/>
                <w:sz w:val="18"/>
                <w:szCs w:val="18"/>
                <w:color w:val="auto"/>
                <w:w w:val="88"/>
              </w:rPr>
              <w:t>5,147</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6.2295</w:t>
            </w:r>
          </w:p>
        </w:tc>
        <w:tc>
          <w:tcPr>
            <w:tcW w:w="1120" w:type="dxa"/>
            <w:vAlign w:val="bottom"/>
            <w:shd w:val="clear" w:color="auto" w:fill="CCEEFF"/>
          </w:tcPr>
          <w:p>
            <w:pPr>
              <w:spacing w:after="0"/>
              <w:rPr>
                <w:sz w:val="18"/>
                <w:szCs w:val="18"/>
                <w:color w:val="auto"/>
              </w:rPr>
            </w:pPr>
          </w:p>
        </w:tc>
      </w:tr>
      <w:tr>
        <w:trPr>
          <w:trHeight w:val="608"/>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60" w:type="dxa"/>
            <w:vAlign w:val="bottom"/>
            <w:gridSpan w:val="9"/>
          </w:tcPr>
          <w:p>
            <w:pPr>
              <w:jc w:val="center"/>
              <w:ind w:right="1600"/>
              <w:spacing w:after="0"/>
              <w:rPr>
                <w:sz w:val="20"/>
                <w:szCs w:val="20"/>
                <w:color w:val="auto"/>
              </w:rPr>
            </w:pPr>
            <w:r>
              <w:rPr>
                <w:rFonts w:ascii="Arial" w:cs="Arial" w:eastAsia="Arial" w:hAnsi="Arial"/>
                <w:sz w:val="18"/>
                <w:szCs w:val="18"/>
                <w:b w:val="1"/>
                <w:bCs w:val="1"/>
                <w:color w:val="auto"/>
                <w:w w:val="99"/>
              </w:rPr>
              <w:t>LEGION PARTNERS, L.P. II</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6"/>
        </w:trPr>
        <w:tc>
          <w:tcPr>
            <w:tcW w:w="2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20" w:type="dxa"/>
            <w:vAlign w:val="bottom"/>
            <w:gridSpan w:val="4"/>
            <w:shd w:val="clear" w:color="auto" w:fill="CCEEFF"/>
          </w:tcPr>
          <w:p>
            <w:pPr>
              <w:jc w:val="center"/>
              <w:ind w:left="730"/>
              <w:spacing w:after="0"/>
              <w:rPr>
                <w:sz w:val="20"/>
                <w:szCs w:val="20"/>
                <w:color w:val="auto"/>
              </w:rPr>
            </w:pPr>
            <w:r>
              <w:rPr>
                <w:rFonts w:ascii="Arial" w:cs="Arial" w:eastAsia="Arial" w:hAnsi="Arial"/>
                <w:sz w:val="18"/>
                <w:szCs w:val="18"/>
                <w:color w:val="auto"/>
                <w:w w:val="90"/>
              </w:rPr>
              <w:t>10/24/2019</w:t>
            </w:r>
          </w:p>
        </w:tc>
        <w:tc>
          <w:tcPr>
            <w:tcW w:w="3160" w:type="dxa"/>
            <w:vAlign w:val="bottom"/>
            <w:gridSpan w:val="5"/>
            <w:shd w:val="clear" w:color="auto" w:fill="CCEEFF"/>
          </w:tcPr>
          <w:p>
            <w:pPr>
              <w:jc w:val="center"/>
              <w:ind w:left="770"/>
              <w:spacing w:after="0"/>
              <w:rPr>
                <w:sz w:val="20"/>
                <w:szCs w:val="20"/>
                <w:color w:val="auto"/>
              </w:rPr>
            </w:pPr>
            <w:r>
              <w:rPr>
                <w:rFonts w:ascii="Arial" w:cs="Arial" w:eastAsia="Arial" w:hAnsi="Arial"/>
                <w:sz w:val="18"/>
                <w:szCs w:val="18"/>
                <w:color w:val="auto"/>
                <w:w w:val="89"/>
              </w:rPr>
              <w:t>53</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0"/>
              </w:rPr>
              <w:t>6.2295</w:t>
            </w:r>
          </w:p>
        </w:tc>
        <w:tc>
          <w:tcPr>
            <w:tcW w:w="1120" w:type="dxa"/>
            <w:vAlign w:val="bottom"/>
            <w:shd w:val="clear" w:color="auto" w:fill="CCEEFF"/>
          </w:tcPr>
          <w:p>
            <w:pPr>
              <w:spacing w:after="0"/>
              <w:rPr>
                <w:sz w:val="18"/>
                <w:szCs w:val="18"/>
                <w:color w:val="auto"/>
              </w:rPr>
            </w:pPr>
          </w:p>
        </w:tc>
      </w:tr>
      <w:tr>
        <w:trPr>
          <w:trHeight w:val="230"/>
        </w:trPr>
        <w:tc>
          <w:tcPr>
            <w:tcW w:w="262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520" w:type="dxa"/>
            <w:vAlign w:val="bottom"/>
            <w:gridSpan w:val="4"/>
          </w:tcPr>
          <w:p>
            <w:pPr>
              <w:jc w:val="center"/>
              <w:ind w:left="730"/>
              <w:spacing w:after="0"/>
              <w:rPr>
                <w:sz w:val="20"/>
                <w:szCs w:val="20"/>
                <w:color w:val="auto"/>
              </w:rPr>
            </w:pPr>
            <w:r>
              <w:rPr>
                <w:rFonts w:ascii="Arial" w:cs="Arial" w:eastAsia="Arial" w:hAnsi="Arial"/>
                <w:sz w:val="18"/>
                <w:szCs w:val="18"/>
                <w:color w:val="auto"/>
                <w:w w:val="90"/>
              </w:rPr>
              <w:t>10/30/2019</w:t>
            </w:r>
          </w:p>
        </w:tc>
        <w:tc>
          <w:tcPr>
            <w:tcW w:w="3160" w:type="dxa"/>
            <w:vAlign w:val="bottom"/>
            <w:gridSpan w:val="5"/>
          </w:tcPr>
          <w:p>
            <w:pPr>
              <w:jc w:val="center"/>
              <w:ind w:left="750"/>
              <w:spacing w:after="0"/>
              <w:rPr>
                <w:sz w:val="20"/>
                <w:szCs w:val="20"/>
                <w:color w:val="auto"/>
              </w:rPr>
            </w:pPr>
            <w:r>
              <w:rPr>
                <w:rFonts w:ascii="Arial" w:cs="Arial" w:eastAsia="Arial" w:hAnsi="Arial"/>
                <w:sz w:val="18"/>
                <w:szCs w:val="18"/>
                <w:color w:val="auto"/>
                <w:w w:val="88"/>
              </w:rPr>
              <w:t>4,524</w:t>
            </w:r>
          </w:p>
        </w:tc>
        <w:tc>
          <w:tcPr>
            <w:tcW w:w="740" w:type="dxa"/>
            <w:vAlign w:val="bottom"/>
          </w:tcPr>
          <w:p>
            <w:pPr>
              <w:spacing w:after="0"/>
              <w:rPr>
                <w:sz w:val="20"/>
                <w:szCs w:val="20"/>
                <w:color w:val="auto"/>
              </w:rPr>
            </w:pPr>
          </w:p>
        </w:tc>
        <w:tc>
          <w:tcPr>
            <w:tcW w:w="12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6.5971</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226"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December 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Legion Partners Asset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9401 Wilshire Boulevard, Suite 705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Beverly Hills, California 90212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Christopher S. Kiper</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 Cooperation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Kiper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Reference is hereby made to: (i) that certain Cooperation Agreement dated as of February 25, 2019 (the “Cooperation Agreement”) by and among NN, Inc., a Delaware corporation (the “Company”), and Legion Partners Asset Management, LLC, a Delaware limited liability company (together with its Affiliates “Legion Partners”), and each of the other persons listed on the signature page to the Cooperation Agreement; and (ii) that certain Securities Purchase Agreement between the Company and the Purchasers party thereto, dated on or around the date hereto (the “Purchase Agreement”). Capitalized terms used herein and not otherwise defined in this letter agreement (the “Letter Agreement”) shall have the meanings given to such terms in the Purchase Agreement.</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Legion Partners desires to purchase from the Company and the Company desires to issue and sell to Legion Partners and certain other purchasers, such number of Purchased Preferred Stock and Purchased Warrants as set forth on Schedule A of the Purchase Agreement. Pursuant to Section 4(a)(iii) of the Cooperation Agreement, Legion Partners is not permitted to acquire any additional securities of the Company, except for shares of Common Stock that, when aggregated with Legion Partners’ existing beneficial ownership, does not exceed 9.9% of the Company’s outstanding shares of Common Stock. Notwithstanding the foregoing, the Company and Legion Partners hereby agree to delete in its entirety Section 4(a)(iii) of the Cooperation Agreement; provided that, certain ownership limitation in accordance with the definition of “Beneficial Ownership Limitation” in the Certificate of Designation and in the Warrant, respectively, shall become, pursuant to the terms thereof, applicable to Legion Partners upon the issuance of the shares of Series B Convertible Preferred Stock and the Warrant to Legion Partners. In addition, the Company hereby confirms that Legion Partners’ purchase of the Purchased Securities and entry into the Transaction Documents shall not otherwise be deemed a breach of any provision set forth in the Cooperation Agreement.</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to the extent expressly modified by this Letter Agreement, all of the terms, covenants and other provisions of the Cooperation Agreement shall continue to be in full force and effect in accordance with their respective terms. In the event of any conflict or inconsistency between the terms of this Letter Agreement and the terms of the Cooperation Agreement, the terms of this Letter Agreement will control. From and after the date of this Letter Agreement, all references to the Cooperation Agreement (whether in the Cooperation Agreement, in this Letter Agreement or otherwise) shall refer to the Cooperation Agreement as modified by this Letter Agreement. This Letter Agreement may be amended only by an agreement in writing executed by the Company and Legion Partners.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7360" w:type="dxa"/>
            <w:vAlign w:val="bottom"/>
            <w:gridSpan w:val="2"/>
          </w:tcPr>
          <w:p>
            <w:pPr>
              <w:ind w:left="5920"/>
              <w:spacing w:after="0"/>
              <w:rPr>
                <w:sz w:val="20"/>
                <w:szCs w:val="20"/>
                <w:color w:val="auto"/>
              </w:rPr>
            </w:pPr>
            <w:r>
              <w:rPr>
                <w:rFonts w:ascii="Arial" w:cs="Arial" w:eastAsia="Arial" w:hAnsi="Arial"/>
                <w:sz w:val="18"/>
                <w:szCs w:val="18"/>
                <w:color w:val="auto"/>
              </w:rPr>
              <w:t>Sincerely,</w:t>
            </w: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60" w:type="dxa"/>
            <w:vAlign w:val="bottom"/>
            <w:gridSpan w:val="2"/>
          </w:tcPr>
          <w:p>
            <w:pPr>
              <w:ind w:left="5920"/>
              <w:spacing w:after="0"/>
              <w:rPr>
                <w:sz w:val="20"/>
                <w:szCs w:val="20"/>
                <w:color w:val="auto"/>
              </w:rPr>
            </w:pPr>
            <w:r>
              <w:rPr>
                <w:rFonts w:ascii="Arial" w:cs="Arial" w:eastAsia="Arial" w:hAnsi="Arial"/>
                <w:sz w:val="18"/>
                <w:szCs w:val="18"/>
                <w:b w:val="1"/>
                <w:bCs w:val="1"/>
                <w:color w:val="auto"/>
              </w:rPr>
              <w:t>NN, INC.</w:t>
            </w:r>
          </w:p>
        </w:tc>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20" w:type="dxa"/>
            <w:vAlign w:val="bottom"/>
          </w:tcPr>
          <w:p>
            <w:pPr>
              <w:ind w:left="592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A. Veltman</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60" w:type="dxa"/>
            <w:vAlign w:val="bottom"/>
          </w:tcPr>
          <w:p>
            <w:pPr>
              <w:ind w:left="280"/>
              <w:spacing w:after="0" w:line="195" w:lineRule="exact"/>
              <w:rPr>
                <w:sz w:val="20"/>
                <w:szCs w:val="20"/>
                <w:color w:val="auto"/>
              </w:rPr>
            </w:pPr>
            <w:r>
              <w:rPr>
                <w:rFonts w:ascii="Arial" w:cs="Arial" w:eastAsia="Arial" w:hAnsi="Arial"/>
                <w:sz w:val="18"/>
                <w:szCs w:val="18"/>
                <w:color w:val="auto"/>
              </w:rPr>
              <w:t>Warren A. Veltman</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280"/>
              <w:spacing w:after="0"/>
              <w:rPr>
                <w:sz w:val="20"/>
                <w:szCs w:val="20"/>
                <w:color w:val="auto"/>
              </w:rPr>
            </w:pPr>
            <w:r>
              <w:rPr>
                <w:rFonts w:ascii="Arial" w:cs="Arial" w:eastAsia="Arial" w:hAnsi="Arial"/>
                <w:sz w:val="18"/>
                <w:szCs w:val="18"/>
                <w:color w:val="auto"/>
              </w:rPr>
              <w:t>President and CEO</w:t>
            </w:r>
          </w:p>
        </w:tc>
        <w:tc>
          <w:tcPr>
            <w:tcW w:w="100" w:type="dxa"/>
            <w:vAlign w:val="bottom"/>
          </w:tcPr>
          <w:p>
            <w:pPr>
              <w:spacing w:after="0"/>
              <w:rPr>
                <w:sz w:val="20"/>
                <w:szCs w:val="20"/>
                <w:color w:val="auto"/>
              </w:rPr>
            </w:pPr>
          </w:p>
        </w:tc>
      </w:tr>
      <w:tr>
        <w:trPr>
          <w:trHeight w:val="567"/>
        </w:trPr>
        <w:tc>
          <w:tcPr>
            <w:tcW w:w="6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LEGION PARTNERS, L.P. I</w:t>
      </w:r>
    </w:p>
    <w:p>
      <w:pPr>
        <w:spacing w:after="0" w:line="2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Legion Partners Asset Management, LLC</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8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LEGION PARTNERS, L.P. II</w:t>
      </w:r>
    </w:p>
    <w:p>
      <w:pPr>
        <w:spacing w:after="0" w:line="2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Legion Partners Asset Management, LLC</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8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LEGION PARTNERS SPECIAL OPPORTUNITIES, L.P. XI</w:t>
      </w:r>
    </w:p>
    <w:p>
      <w:pPr>
        <w:spacing w:after="0" w:line="2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Legion Partners Asset Management, LLC</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Investment Advisor</w:t>
      </w: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8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LEGION PARTNERS, LLC</w:t>
      </w:r>
    </w:p>
    <w:p>
      <w:pPr>
        <w:spacing w:after="0" w:line="2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Legion Partners Holdings, LLC</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ind w:left="1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5460" w:type="dxa"/>
            <w:vAlign w:val="bottom"/>
          </w:tcPr>
          <w:p>
            <w:pPr>
              <w:spacing w:after="0"/>
              <w:rPr>
                <w:sz w:val="20"/>
                <w:szCs w:val="20"/>
                <w:color w:val="auto"/>
              </w:rPr>
            </w:pPr>
          </w:p>
        </w:tc>
      </w:tr>
      <w:tr>
        <w:trPr>
          <w:trHeight w:val="195"/>
        </w:trPr>
        <w:tc>
          <w:tcPr>
            <w:tcW w:w="8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80"/>
              <w:spacing w:after="0" w:line="195" w:lineRule="exact"/>
              <w:rPr>
                <w:sz w:val="20"/>
                <w:szCs w:val="20"/>
                <w:color w:val="auto"/>
              </w:rPr>
            </w:pPr>
            <w:r>
              <w:rPr>
                <w:rFonts w:ascii="Arial" w:cs="Arial" w:eastAsia="Arial" w:hAnsi="Arial"/>
                <w:sz w:val="18"/>
                <w:szCs w:val="18"/>
                <w:color w:val="auto"/>
              </w:rPr>
              <w:t>Christopher S. Kiper</w:t>
            </w:r>
          </w:p>
        </w:tc>
        <w:tc>
          <w:tcPr>
            <w:tcW w:w="546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80"/>
              <w:spacing w:after="0"/>
              <w:rPr>
                <w:sz w:val="20"/>
                <w:szCs w:val="20"/>
                <w:color w:val="auto"/>
              </w:rPr>
            </w:pPr>
            <w:r>
              <w:rPr>
                <w:rFonts w:ascii="Arial" w:cs="Arial" w:eastAsia="Arial" w:hAnsi="Arial"/>
                <w:sz w:val="18"/>
                <w:szCs w:val="18"/>
                <w:color w:val="auto"/>
              </w:rPr>
              <w:t>Managing Director</w:t>
            </w:r>
          </w:p>
        </w:tc>
        <w:tc>
          <w:tcPr>
            <w:tcW w:w="5460" w:type="dxa"/>
            <w:vAlign w:val="bottom"/>
          </w:tcPr>
          <w:p>
            <w:pPr>
              <w:spacing w:after="0"/>
              <w:rPr>
                <w:sz w:val="20"/>
                <w:szCs w:val="20"/>
                <w:color w:val="auto"/>
              </w:rPr>
            </w:pPr>
          </w:p>
        </w:tc>
      </w:tr>
      <w:tr>
        <w:trPr>
          <w:trHeight w:val="783"/>
        </w:trPr>
        <w:tc>
          <w:tcPr>
            <w:tcW w:w="8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auto"/>
        </w:rPr>
        <w:t>LEGION PARTNERS ASSET MANAGEMENT, LLC</w:t>
      </w:r>
    </w:p>
    <w:p>
      <w:pPr>
        <w:spacing w:after="0" w:line="200" w:lineRule="exact"/>
        <w:rPr>
          <w:sz w:val="20"/>
          <w:szCs w:val="20"/>
          <w:color w:val="auto"/>
        </w:rPr>
      </w:pP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8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80"/>
              <w:spacing w:after="0"/>
              <w:rPr>
                <w:sz w:val="20"/>
                <w:szCs w:val="20"/>
                <w:color w:val="auto"/>
              </w:rPr>
            </w:pPr>
            <w:r>
              <w:rPr>
                <w:rFonts w:ascii="Arial" w:cs="Arial" w:eastAsia="Arial" w:hAnsi="Arial"/>
                <w:sz w:val="18"/>
                <w:szCs w:val="18"/>
                <w:color w:val="auto"/>
              </w:rPr>
              <w:t>Managing Director</w:t>
            </w:r>
          </w:p>
        </w:tc>
      </w:tr>
      <w:tr>
        <w:trPr>
          <w:trHeight w:val="648"/>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LEGION PARTNERS HOLDINGS, LLC</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70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Pr>
          <w:p>
            <w:pPr>
              <w:ind w:left="28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8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Christopher S. Kiper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3507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Raymond White</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14605</wp:posOffset>
            </wp:positionV>
            <wp:extent cx="35077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Cc: Steve Wolosky and Elizabeth Gonzalez-Sussman, Olshan Frome Wolosky LLP</w:t>
      </w:r>
    </w:p>
    <w:sectPr>
      <w:pgSz w:w="11900" w:h="16838" w:orient="portrait"/>
      <w:cols w:equalWidth="0" w:num="1">
        <w:col w:w="10219"/>
      </w:cols>
      <w:pgMar w:left="2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decimal"/>
      <w:start w:val="14"/>
    </w:lvl>
  </w:abstractNum>
  <w:abstractNum w:abstractNumId="3">
    <w:nsid w:val="515F007C"/>
    <w:multiLevelType w:val="hybridMultilevel"/>
    <w:lvl w:ilvl="0">
      <w:lvlJc w:val="left"/>
      <w:lvlText w:val="%1"/>
      <w:numFmt w:val="decimal"/>
      <w:start w:val="14"/>
    </w:lvl>
  </w:abstractNum>
  <w:abstractNum w:abstractNumId="4">
    <w:nsid w:val="5BD062C2"/>
    <w:multiLevelType w:val="hybridMultilevel"/>
    <w:lvl w:ilvl="0">
      <w:lvlJc w:val="left"/>
      <w:lvlText w:val="%1"/>
      <w:numFmt w:val="decimal"/>
      <w:start w:val="14"/>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66EF438D"/>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11">
    <w:nsid w:val="140E0F76"/>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12">
    <w:nsid w:val="3352255A"/>
    <w:multiLevelType w:val="hybridMultilevel"/>
    <w:lvl w:ilvl="0">
      <w:lvlJc w:val="left"/>
      <w:lvlText w:val="%1."/>
      <w:numFmt w:val="upperLetter"/>
      <w:start w:val="7"/>
    </w:lvl>
    <w:lvl w:ilvl="1">
      <w:lvlJc w:val="left"/>
      <w:lvlText w:val="(%2)"/>
      <w:numFmt w:val="lowerLetter"/>
      <w:start w:val="1"/>
    </w:lvl>
    <w:lvl w:ilvl="2">
      <w:lvlJc w:val="left"/>
      <w:lvlText w:val="%3."/>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2019-12-09T16:54:35Z</dcterms:created>
  <dcterms:modified xsi:type="dcterms:W3CDTF">2019-12-09T16:54:35Z</dcterms:modified>
</cp:coreProperties>
</file>