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9)*</w:t>
      </w:r>
    </w:p>
    <w:p>
      <w:pPr>
        <w:spacing w:after="0" w:line="3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NN,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COM</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629337106</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2021</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311"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7"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817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8177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PRIMECAP Management Company</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95-3868081</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5960" w:hanging="380"/>
        <w:spacing w:after="0" w:line="312"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CITIZENSHIP OR PLACE OF ORGANIZATION </w:t>
      </w:r>
      <w:r>
        <w:rPr>
          <w:rFonts w:ascii="Arial" w:cs="Arial" w:eastAsia="Arial" w:hAnsi="Arial"/>
          <w:sz w:val="17"/>
          <w:szCs w:val="17"/>
          <w:color w:val="auto"/>
        </w:rPr>
        <w:t>177 E. Colorado Blvd., 11th Floor, Pasadena, CA 91105</w:t>
      </w:r>
    </w:p>
    <w:tbl>
      <w:tblPr>
        <w:tblLayout w:type="fixed"/>
        <w:tblInd w:w="0" w:type="dxa"/>
        <w:tblCellMar>
          <w:top w:w="0" w:type="dxa"/>
          <w:left w:w="0" w:type="dxa"/>
          <w:bottom w:w="0" w:type="dxa"/>
          <w:right w:w="0" w:type="dxa"/>
        </w:tblCellMar>
      </w:tblPr>
      <w:tr>
        <w:trPr>
          <w:trHeight w:val="272"/>
        </w:trPr>
        <w:tc>
          <w:tcPr>
            <w:tcW w:w="1640" w:type="dxa"/>
            <w:vAlign w:val="bottom"/>
            <w:tcBorders>
              <w:top w:val="single" w:sz="8" w:color="auto"/>
              <w:right w:val="single" w:sz="8" w:color="auto"/>
            </w:tcBorders>
          </w:tcPr>
          <w:p>
            <w:pPr>
              <w:spacing w:after="0"/>
              <w:rPr>
                <w:sz w:val="23"/>
                <w:szCs w:val="23"/>
                <w:color w:val="auto"/>
              </w:rPr>
            </w:pP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2,623,200</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2,768,600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2,768,600</w:t>
      </w:r>
    </w:p>
    <w:p>
      <w:pPr>
        <w:spacing w:after="0" w:line="94" w:lineRule="exact"/>
        <w:rPr>
          <w:sz w:val="20"/>
          <w:szCs w:val="20"/>
          <w:color w:val="auto"/>
        </w:rPr>
      </w:pPr>
    </w:p>
    <w:p>
      <w:pPr>
        <w:ind w:left="620" w:right="25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6.43%</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w:t>
      </w:r>
    </w:p>
    <w:p>
      <w:pPr>
        <w:sectPr>
          <w:pgSz w:w="11900" w:h="16838" w:orient="portrait"/>
          <w:cols w:equalWidth="0" w:num="1">
            <w:col w:w="10640"/>
          </w:cols>
          <w:pgMar w:left="320" w:top="931" w:right="939" w:bottom="1440" w:gutter="0" w:footer="0" w:header="0"/>
        </w:sectPr>
      </w:pPr>
    </w:p>
    <w:bookmarkStart w:id="2" w:name="page3"/>
    <w:bookmarkEnd w:id="2"/>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629337106</w:t>
      </w:r>
    </w:p>
    <w:p>
      <w:pPr>
        <w:spacing w:after="0" w:line="200" w:lineRule="exact"/>
        <w:rPr>
          <w:sz w:val="20"/>
          <w:szCs w:val="20"/>
          <w:color w:val="auto"/>
        </w:rPr>
      </w:pPr>
    </w:p>
    <w:p>
      <w:pPr>
        <w:spacing w:after="0" w:line="336" w:lineRule="exact"/>
        <w:rPr>
          <w:sz w:val="20"/>
          <w:szCs w:val="20"/>
          <w:color w:val="auto"/>
        </w:rPr>
      </w:pPr>
    </w:p>
    <w:p>
      <w:pPr>
        <w:jc w:val="center"/>
        <w:ind w:right="7740"/>
        <w:spacing w:after="0"/>
        <w:tabs>
          <w:tab w:leader="none" w:pos="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NN,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6210 Ardrey Kell Road, Charlotte, NC 28277</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PRIMECAP Management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177 E. Colorado Blvd., 11th Floor, Pasadena, CA 91105</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jc w:val="center"/>
        <w:ind w:right="7900"/>
        <w:spacing w:after="0"/>
        <w:rPr>
          <w:sz w:val="20"/>
          <w:szCs w:val="20"/>
          <w:color w:val="auto"/>
        </w:rPr>
      </w:pPr>
      <w:r>
        <w:rPr>
          <w:rFonts w:ascii="Arial" w:cs="Arial" w:eastAsia="Arial" w:hAnsi="Arial"/>
          <w:sz w:val="18"/>
          <w:szCs w:val="18"/>
          <w:color w:val="auto"/>
        </w:rPr>
        <w:t>COM</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629337106</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7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2,768,600</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6.43%</w:t>
      </w:r>
    </w:p>
    <w:p>
      <w:pPr>
        <w:spacing w:after="0" w:line="140" w:lineRule="exact"/>
        <w:rPr>
          <w:sz w:val="20"/>
          <w:szCs w:val="20"/>
          <w:color w:val="auto"/>
        </w:rPr>
      </w:pPr>
    </w:p>
    <w:p>
      <w:pPr>
        <w:ind w:left="1260" w:hanging="237"/>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5980" w:hanging="7"/>
        <w:spacing w:after="0" w:line="406" w:lineRule="auto"/>
        <w:tabs>
          <w:tab w:leader="none" w:pos="1555"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2,623,200</w:t>
      </w:r>
    </w:p>
    <w:p>
      <w:pPr>
        <w:spacing w:after="0" w:line="1" w:lineRule="exact"/>
        <w:rPr>
          <w:rFonts w:ascii="Arial" w:cs="Arial" w:eastAsia="Arial" w:hAnsi="Arial"/>
          <w:sz w:val="18"/>
          <w:szCs w:val="18"/>
          <w:color w:val="auto"/>
        </w:rPr>
      </w:pPr>
    </w:p>
    <w:p>
      <w:pPr>
        <w:ind w:left="1600" w:hanging="267"/>
        <w:spacing w:after="0"/>
        <w:tabs>
          <w:tab w:leader="none" w:pos="1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44"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44" w:lineRule="exact"/>
        <w:rPr>
          <w:rFonts w:ascii="Arial" w:cs="Arial" w:eastAsia="Arial" w:hAnsi="Arial"/>
          <w:sz w:val="18"/>
          <w:szCs w:val="18"/>
          <w:color w:val="auto"/>
        </w:rPr>
      </w:pPr>
    </w:p>
    <w:p>
      <w:pPr>
        <w:ind w:left="1340" w:right="5160" w:hanging="7"/>
        <w:spacing w:after="0" w:line="406" w:lineRule="auto"/>
        <w:tabs>
          <w:tab w:leader="none" w:pos="1655"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2,768,600</w:t>
      </w:r>
    </w:p>
    <w:p>
      <w:pPr>
        <w:spacing w:after="0" w:line="1" w:lineRule="exact"/>
        <w:rPr>
          <w:rFonts w:ascii="Arial" w:cs="Arial" w:eastAsia="Arial" w:hAnsi="Arial"/>
          <w:sz w:val="18"/>
          <w:szCs w:val="18"/>
          <w:color w:val="auto"/>
        </w:rPr>
      </w:pPr>
    </w:p>
    <w:p>
      <w:pPr>
        <w:ind w:left="1640" w:hanging="307"/>
        <w:spacing w:after="0"/>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ectPr>
          <w:pgSz w:w="11900" w:h="16838" w:orient="portrait"/>
          <w:cols w:equalWidth="0" w:num="1">
            <w:col w:w="10360"/>
          </w:cols>
          <w:pgMar w:left="400" w:top="931" w:right="1139" w:bottom="0" w:gutter="0" w:footer="0" w:header="0"/>
        </w:sectPr>
      </w:pPr>
    </w:p>
    <w:bookmarkStart w:id="3" w:name="page4"/>
    <w:bookmarkEnd w:id="3"/>
    <w:p>
      <w:pPr>
        <w:ind w:left="1340"/>
        <w:spacing w:after="0"/>
        <w:rPr>
          <w:sz w:val="20"/>
          <w:szCs w:val="20"/>
          <w:color w:val="auto"/>
        </w:rPr>
      </w:pPr>
      <w:r>
        <w:rPr>
          <w:rFonts w:ascii="Arial" w:cs="Arial" w:eastAsia="Arial" w:hAnsi="Arial"/>
          <w:sz w:val="18"/>
          <w:szCs w:val="18"/>
          <w:color w:val="auto"/>
        </w:rPr>
        <w:t>0</w:t>
      </w:r>
    </w:p>
    <w:p>
      <w:pPr>
        <w:spacing w:after="0" w:line="14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spacing w:after="0" w:line="259" w:lineRule="auto"/>
        <w:rPr>
          <w:sz w:val="20"/>
          <w:szCs w:val="20"/>
          <w:color w:val="auto"/>
        </w:rPr>
      </w:pPr>
      <w:r>
        <w:rPr>
          <w:rFonts w:ascii="Arial" w:cs="Arial" w:eastAsia="Arial" w:hAnsi="Arial"/>
          <w:sz w:val="18"/>
          <w:szCs w:val="18"/>
          <w:color w:val="auto"/>
        </w:rPr>
        <w:t>Various Persons have the right to receive, or the power to direct the receipt of, dividends from, or proceeds from the sale of, with respect to the securities as to which this Schedule is filed. No one Person here has an interest more than five present of this class of securities except as follows: PRIMECAP Odyssey Aggressive Growth Fund has an interest of more than five percent of the total outstanding common stock of NN, Inc.</w:t>
      </w:r>
    </w:p>
    <w:p>
      <w:pPr>
        <w:spacing w:after="0" w:line="183"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125" w:right="105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629337106</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February 10 2022</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PRIMECAP Management Company</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Jennifer Ottosen</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Jennifer Ottosen</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CCO</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lvl w:ilvl="1">
      <w:lvlJc w:val="left"/>
      <w:lvlText w:val="(%2)"/>
      <w:numFmt w:val="lowerLetter"/>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2022-02-10T16:41:11Z</dcterms:created>
  <dcterms:modified xsi:type="dcterms:W3CDTF">2022-02-10T16:41:11Z</dcterms:modified>
</cp:coreProperties>
</file>