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ind w:left="4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26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9780"/>
          </w:cols>
          <w:pgMar w:left="700" w:top="517" w:right="1419" w:bottom="1440" w:gutter="0" w:footer="0" w:header="0"/>
        </w:sectPr>
      </w:pPr>
    </w:p>
    <w:p>
      <w:pPr>
        <w:spacing w:after="0" w:line="246" w:lineRule="exact"/>
        <w:rPr>
          <w:sz w:val="24"/>
          <w:szCs w:val="24"/>
          <w:color w:val="auto"/>
        </w:rPr>
      </w:pPr>
    </w:p>
    <w:p>
      <w:pPr>
        <w:ind w:left="1660"/>
        <w:spacing w:after="0"/>
        <w:rPr>
          <w:sz w:val="20"/>
          <w:szCs w:val="20"/>
          <w:color w:val="auto"/>
        </w:rPr>
      </w:pPr>
      <w:r>
        <w:rPr>
          <w:rFonts w:ascii="Arial" w:cs="Arial" w:eastAsia="Arial" w:hAnsi="Arial"/>
          <w:sz w:val="15"/>
          <w:szCs w:val="15"/>
          <w:i w:val="1"/>
          <w:iCs w:val="1"/>
          <w:color w:val="auto"/>
        </w:rPr>
        <w:t>(Check One)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477" w:lineRule="exact"/>
        <w:rPr>
          <w:sz w:val="24"/>
          <w:szCs w:val="24"/>
          <w:color w:val="auto"/>
        </w:rPr>
      </w:pPr>
    </w:p>
    <w:p>
      <w:pPr>
        <w:sectPr>
          <w:pgSz w:w="11900" w:h="16838" w:orient="portrait"/>
          <w:cols w:equalWidth="0" w:num="4">
            <w:col w:w="2560" w:space="320"/>
            <w:col w:w="2500" w:space="20"/>
            <w:col w:w="1440" w:space="100"/>
            <w:col w:w="2840"/>
          </w:cols>
          <w:pgMar w:left="700" w:top="517" w:right="1419" w:bottom="1440" w:gutter="0" w:footer="0" w:header="0"/>
          <w:type w:val="continuous"/>
        </w:sectPr>
      </w:pPr>
    </w:p>
    <w:p>
      <w:pPr>
        <w:ind w:left="2880"/>
        <w:spacing w:after="0"/>
        <w:tabs>
          <w:tab w:leader="none" w:pos="440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5"/>
          <w:szCs w:val="15"/>
          <w:u w:val="single" w:color="auto"/>
          <w:color w:val="auto"/>
        </w:rPr>
        <w:t>December 31, 2017</w:t>
      </w:r>
    </w:p>
    <w:p>
      <w:pPr>
        <w:spacing w:after="0" w:line="225" w:lineRule="exact"/>
        <w:rPr>
          <w:sz w:val="24"/>
          <w:szCs w:val="24"/>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3120" w:hanging="250"/>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09"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-10160</wp:posOffset>
            </wp:positionV>
            <wp:extent cx="2571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46" w:lineRule="exact"/>
        <w:rPr>
          <w:sz w:val="24"/>
          <w:szCs w:val="24"/>
          <w:color w:val="auto"/>
        </w:rPr>
      </w:pPr>
    </w:p>
    <w:p>
      <w:pPr>
        <w:jc w:val="center"/>
        <w:ind w:right="-85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-130175</wp:posOffset>
            </wp:positionV>
            <wp:extent cx="725487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300355"/>
                    </a:xfrm>
                    <a:prstGeom prst="rect">
                      <a:avLst/>
                    </a:prstGeom>
                    <a:noFill/>
                  </pic:spPr>
                </pic:pic>
              </a:graphicData>
            </a:graphic>
          </wp:anchor>
        </w:drawing>
      </w:r>
    </w:p>
    <w:p>
      <w:pPr>
        <w:spacing w:after="0" w:line="3" w:lineRule="exact"/>
        <w:rPr>
          <w:sz w:val="24"/>
          <w:szCs w:val="24"/>
          <w:color w:val="auto"/>
        </w:rPr>
      </w:pPr>
    </w:p>
    <w:p>
      <w:pPr>
        <w:jc w:val="center"/>
        <w:ind w:right="-859"/>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ectPr>
          <w:pgSz w:w="11900" w:h="16838" w:orient="portrait"/>
          <w:cols w:equalWidth="0" w:num="1">
            <w:col w:w="9780"/>
          </w:cols>
          <w:pgMar w:left="700" w:top="517" w:right="14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PART I — REGISTRANT INFORMATION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(Full Name of Registrant)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if Applicable)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w:t>
      </w:r>
      <w:r>
        <w:rPr>
          <w:rFonts w:ascii="Arial" w:cs="Arial" w:eastAsia="Arial" w:hAnsi="Arial"/>
          <w:sz w:val="14"/>
          <w:szCs w:val="14"/>
          <w:b w:val="1"/>
          <w:bCs w:val="1"/>
          <w:i w:val="1"/>
          <w:iCs w:val="1"/>
          <w:color w:val="auto"/>
        </w:rPr>
        <w:t>Street and Number</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0"/>
          <w:szCs w:val="20"/>
          <w:color w:val="auto"/>
        </w:rPr>
      </w:pPr>
    </w:p>
    <w:p>
      <w:pPr>
        <w:ind w:left="880" w:hanging="332"/>
        <w:spacing w:after="0"/>
        <w:tabs>
          <w:tab w:leader="none" w:pos="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46" w:lineRule="exact"/>
        <w:rPr>
          <w:rFonts w:ascii="Arial" w:cs="Arial" w:eastAsia="Arial" w:hAnsi="Arial"/>
          <w:sz w:val="16"/>
          <w:szCs w:val="16"/>
          <w:color w:val="auto"/>
        </w:rPr>
      </w:pPr>
    </w:p>
    <w:p>
      <w:pPr>
        <w:ind w:left="880" w:right="200" w:hanging="728"/>
        <w:spacing w:after="0" w:line="201" w:lineRule="auto"/>
        <w:tabs>
          <w:tab w:leader="none" w:pos="8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20" w:lineRule="exact"/>
        <w:rPr>
          <w:rFonts w:ascii="MS PGothic" w:cs="MS PGothic" w:eastAsia="MS PGothic" w:hAnsi="MS PGothic"/>
          <w:sz w:val="36"/>
          <w:szCs w:val="36"/>
          <w:color w:val="auto"/>
          <w:vertAlign w:val="subscript"/>
        </w:rPr>
      </w:pPr>
    </w:p>
    <w:p>
      <w:pPr>
        <w:ind w:left="880" w:hanging="33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-979170</wp:posOffset>
            </wp:positionV>
            <wp:extent cx="8890" cy="995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995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NN, Inc. (the “Company”) was unable, without unreasonable effort or expense, to file its Annual Report on Form 10-K for the year ended December 31, 2017 (“Form 10-K”) by the March 16, 2018 filing due date applicable to accelerated filers because the Company requires additional time to complete its review procedures, primarily with respect to its accounting for income taxes and financial reporting.</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previously reported in the Company’s Annual Report on Form 10-K for the year ended December 31, 2016, and in its 2017 quarterly reporting on Form 10-Q, the Company reported a material weakness in internal control over financial reporting in that it did not maintain an effective control environment due to a lack of a sufficient complement of personnel with an appropriate level of knowledge, experience and training commensurate with our financial reporting requirements. This material weakness in the control environment contributed to material weaknesses with respect to i) the accounting for income taxes regarding the completeness, accuracy, valuation and presentation and disclosure of deferred income tax accounts, income tax provision and related disclosures and ii) the accounting for business combinations, including (a) allocating goodwill to our international businesses and (b) deferred income taxes recorded in connection with business combinations These material weaknesses resulted in the identification of errors in our previously reported 2017 interim condensed consolidated financial statements as well as in the years ended December 31, 2016 and 2015. The Company has determined that the identified errors are not material and expects to correct these errors by revising its previously issued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 — OTHER INFORMATION</w:t>
      </w:r>
    </w:p>
    <w:p>
      <w:pPr>
        <w:spacing w:after="0" w:line="25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0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Matthew S. Heiter</w:t>
            </w:r>
          </w:p>
        </w:tc>
        <w:tc>
          <w:tcPr>
            <w:tcW w:w="2340" w:type="dxa"/>
            <w:vAlign w:val="bottom"/>
          </w:tcPr>
          <w:p>
            <w:pPr>
              <w:jc w:val="right"/>
              <w:ind w:right="839"/>
              <w:spacing w:after="0"/>
              <w:rPr>
                <w:sz w:val="20"/>
                <w:szCs w:val="20"/>
                <w:color w:val="auto"/>
              </w:rPr>
            </w:pPr>
            <w:r>
              <w:rPr>
                <w:rFonts w:ascii="Arial" w:cs="Arial" w:eastAsia="Arial" w:hAnsi="Arial"/>
                <w:sz w:val="18"/>
                <w:szCs w:val="18"/>
                <w:b w:val="1"/>
                <w:bCs w:val="1"/>
                <w:color w:val="auto"/>
              </w:rPr>
              <w:t>423</w:t>
            </w:r>
          </w:p>
        </w:tc>
        <w:tc>
          <w:tcPr>
            <w:tcW w:w="840" w:type="dxa"/>
            <w:vAlign w:val="bottom"/>
          </w:tcPr>
          <w:p>
            <w:pPr>
              <w:spacing w:after="0"/>
              <w:rPr>
                <w:sz w:val="20"/>
                <w:szCs w:val="20"/>
                <w:color w:val="auto"/>
              </w:rPr>
            </w:pPr>
          </w:p>
        </w:tc>
        <w:tc>
          <w:tcPr>
            <w:tcW w:w="3260" w:type="dxa"/>
            <w:vAlign w:val="bottom"/>
          </w:tcPr>
          <w:p>
            <w:pPr>
              <w:jc w:val="right"/>
              <w:ind w:right="1159"/>
              <w:spacing w:after="0"/>
              <w:rPr>
                <w:sz w:val="20"/>
                <w:szCs w:val="20"/>
                <w:color w:val="auto"/>
              </w:rPr>
            </w:pPr>
            <w:r>
              <w:rPr>
                <w:rFonts w:ascii="Arial" w:cs="Arial" w:eastAsia="Arial" w:hAnsi="Arial"/>
                <w:sz w:val="18"/>
                <w:szCs w:val="18"/>
                <w:b w:val="1"/>
                <w:bCs w:val="1"/>
                <w:color w:val="auto"/>
              </w:rPr>
              <w:t>434-8381</w:t>
            </w:r>
          </w:p>
        </w:tc>
      </w:tr>
      <w:tr>
        <w:trPr>
          <w:trHeight w:val="180"/>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w:t>
            </w:r>
          </w:p>
        </w:tc>
        <w:tc>
          <w:tcPr>
            <w:tcW w:w="520" w:type="dxa"/>
            <w:vAlign w:val="bottom"/>
          </w:tcPr>
          <w:p>
            <w:pPr>
              <w:spacing w:after="0"/>
              <w:rPr>
                <w:sz w:val="15"/>
                <w:szCs w:val="15"/>
                <w:color w:val="auto"/>
              </w:rPr>
            </w:pPr>
          </w:p>
        </w:tc>
        <w:tc>
          <w:tcPr>
            <w:tcW w:w="2340" w:type="dxa"/>
            <w:vAlign w:val="bottom"/>
            <w:tcBorders>
              <w:top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5"/>
              </w:rPr>
              <w:t>(Area Code)</w:t>
            </w:r>
          </w:p>
        </w:tc>
        <w:tc>
          <w:tcPr>
            <w:tcW w:w="840" w:type="dxa"/>
            <w:vAlign w:val="bottom"/>
          </w:tcPr>
          <w:p>
            <w:pPr>
              <w:spacing w:after="0"/>
              <w:rPr>
                <w:sz w:val="15"/>
                <w:szCs w:val="15"/>
                <w:color w:val="auto"/>
              </w:rPr>
            </w:pPr>
          </w:p>
        </w:tc>
        <w:tc>
          <w:tcPr>
            <w:tcW w:w="326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3"/>
              </w:rPr>
              <w:t>(Telephone Number)</w:t>
            </w:r>
          </w:p>
        </w:tc>
      </w:tr>
    </w:tbl>
    <w:p>
      <w:pPr>
        <w:spacing w:after="0" w:line="6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w:t>
      </w:r>
    </w:p>
    <w:p>
      <w:pPr>
        <w:spacing w:after="0" w:line="46" w:lineRule="exact"/>
        <w:rPr>
          <w:sz w:val="20"/>
          <w:szCs w:val="20"/>
          <w:color w:val="auto"/>
        </w:rPr>
      </w:pPr>
    </w:p>
    <w:p>
      <w:pPr>
        <w:ind w:left="460" w:right="120"/>
        <w:spacing w:after="0" w:line="226" w:lineRule="exact"/>
        <w:rPr>
          <w:sz w:val="20"/>
          <w:szCs w:val="20"/>
          <w:color w:val="auto"/>
        </w:rPr>
      </w:pPr>
      <w:r>
        <w:rPr>
          <w:rFonts w:ascii="Arial" w:cs="Arial" w:eastAsia="Arial" w:hAnsi="Arial"/>
          <w:sz w:val="18"/>
          <w:szCs w:val="18"/>
          <w:color w:val="auto"/>
        </w:rPr>
        <w:t xml:space="preserve">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0" w:lineRule="exact"/>
        <w:rPr>
          <w:sz w:val="20"/>
          <w:szCs w:val="20"/>
          <w:color w:val="auto"/>
        </w:rPr>
      </w:pPr>
    </w:p>
    <w:p>
      <w:pPr>
        <w:ind w:left="460"/>
        <w:spacing w:after="0" w:line="207" w:lineRule="exact"/>
        <w:tabs>
          <w:tab w:leader="none" w:pos="5960"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1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August 17, 2017, the Company completed the sale of its precision bearing components business for approximately $388.5 million. The Company expects to record a significant after-tax gain on sale but is unable to provide a reasonable estimate as the Company needs additional time to reconcile the accounts to appropriately derive the gain on the sale. In addition, the Company redeemed its 10.25% senior notes due 2020 (the “Senior Notes”) on April 3, 2017 for $281.6 million, and on November 24, 2017, the Company amended its existing credit facility to reduce the interest rate by 50 basis points (collectively, the “Financing Transactions”). In connection with the Financing Transactions, the Company expects to report a loss on debt extinguishment of approximately $42.1 million. The Company also expects to report a benefit for income taxes related to the Tax Cuts and Jobs Act enacted on December 22, 2017 of approximately $51.9 million. As a result of the foregoing, the Company expects to report a significant change in results of operation for the year ended December 31, 2017 from the results of operations for the year ended December 31, 2016. However, for the reasons described in part III, the Company needs additional time to complete its financial reporting process and thus is unable to provide a reasonable estimate of the changes in results of operations for the year ended December 31, 2017 from the results of operations for the year ended December 31,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notification includes forward-looking statements within the meaning of Section 27A of the Securities Act of 1933 and Section 21E of the Securities Exchange Act of 1934, as amended. The words “expects” and “intends” and similar terms and phrases are used in this notification to identify forward-looking statements, including statements regarding the estimated timing for the filing of the Form 10-K. Risks, uncertainties and assumptions that could affect the Company’s forward-looking statements include, among other things, the time needed for the Company to finalize and file its Form 10-K. Unless required by law, the Company expressly disclaims any obligation to update publicly any forward-looking statements,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400" w:type="dxa"/>
            <w:vAlign w:val="bottom"/>
            <w:gridSpan w:val="3"/>
          </w:tcPr>
          <w:p>
            <w:pPr>
              <w:jc w:val="center"/>
              <w:ind w:right="2910"/>
              <w:spacing w:after="0"/>
              <w:rPr>
                <w:sz w:val="20"/>
                <w:szCs w:val="20"/>
                <w:color w:val="auto"/>
              </w:rPr>
            </w:pPr>
            <w:r>
              <w:rPr>
                <w:rFonts w:ascii="Arial" w:cs="Arial" w:eastAsia="Arial" w:hAnsi="Arial"/>
                <w:sz w:val="18"/>
                <w:szCs w:val="18"/>
                <w:b w:val="1"/>
                <w:bCs w:val="1"/>
                <w:color w:val="auto"/>
                <w:w w:val="95"/>
              </w:rPr>
              <w:t>NN, Inc.</w:t>
            </w:r>
          </w:p>
        </w:tc>
      </w:tr>
      <w:tr>
        <w:trPr>
          <w:trHeight w:val="186"/>
        </w:trPr>
        <w:tc>
          <w:tcPr>
            <w:tcW w:w="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400" w:type="dxa"/>
            <w:vAlign w:val="bottom"/>
            <w:gridSpan w:val="3"/>
          </w:tcPr>
          <w:p>
            <w:pPr>
              <w:jc w:val="center"/>
              <w:ind w:right="2930"/>
              <w:spacing w:after="0"/>
              <w:rPr>
                <w:sz w:val="20"/>
                <w:szCs w:val="20"/>
                <w:color w:val="auto"/>
              </w:rPr>
            </w:pPr>
            <w:r>
              <w:rPr>
                <w:rFonts w:ascii="Arial" w:cs="Arial" w:eastAsia="Arial" w:hAnsi="Arial"/>
                <w:sz w:val="14"/>
                <w:szCs w:val="14"/>
                <w:b w:val="1"/>
                <w:bCs w:val="1"/>
                <w:color w:val="auto"/>
                <w:w w:val="93"/>
              </w:rPr>
              <w:t>(Name of Registrant as Specified in Charter)</w:t>
            </w:r>
          </w:p>
        </w:tc>
      </w:tr>
      <w:tr>
        <w:trPr>
          <w:trHeight w:val="417"/>
        </w:trPr>
        <w:tc>
          <w:tcPr>
            <w:tcW w:w="11420" w:type="dxa"/>
            <w:vAlign w:val="bottom"/>
            <w:gridSpan w:val="5"/>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459"/>
        </w:trPr>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March 19, 2018</w:t>
            </w:r>
          </w:p>
        </w:tc>
        <w:tc>
          <w:tcPr>
            <w:tcW w:w="2480" w:type="dxa"/>
            <w:vAlign w:val="bottom"/>
          </w:tcPr>
          <w:p>
            <w:pPr>
              <w:spacing w:after="0"/>
              <w:rPr>
                <w:sz w:val="24"/>
                <w:szCs w:val="24"/>
                <w:color w:val="auto"/>
              </w:rPr>
            </w:pPr>
          </w:p>
        </w:tc>
        <w:tc>
          <w:tcPr>
            <w:tcW w:w="5920" w:type="dxa"/>
            <w:vAlign w:val="bottom"/>
            <w:gridSpan w:val="2"/>
          </w:tcPr>
          <w:p>
            <w:pPr>
              <w:ind w:left="540"/>
              <w:spacing w:after="0"/>
              <w:rPr>
                <w:sz w:val="20"/>
                <w:szCs w:val="20"/>
                <w:color w:val="auto"/>
              </w:rPr>
            </w:pPr>
            <w:r>
              <w:rPr>
                <w:rFonts w:ascii="Arial" w:cs="Arial" w:eastAsia="Arial" w:hAnsi="Arial"/>
                <w:sz w:val="18"/>
                <w:szCs w:val="18"/>
                <w:color w:val="auto"/>
              </w:rPr>
              <w:t>By   /s/ Matthew S. Heiter</w:t>
            </w:r>
          </w:p>
        </w:tc>
      </w:tr>
      <w:tr>
        <w:trPr>
          <w:trHeight w:val="195"/>
        </w:trPr>
        <w:tc>
          <w:tcPr>
            <w:tcW w:w="400" w:type="dxa"/>
            <w:vAlign w:val="bottom"/>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Senior Vice President and General Counsel</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right="22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2019-12-06T02:19:18Z</dcterms:created>
  <dcterms:modified xsi:type="dcterms:W3CDTF">2019-12-06T02:19:18Z</dcterms:modified>
</cp:coreProperties>
</file>