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94"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10"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235"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21"/>
          <w:szCs w:val="21"/>
          <w:color w:val="auto"/>
          <w:vertAlign w:val="subscript"/>
        </w:rPr>
        <w:t>☐</w:t>
      </w:r>
    </w:p>
    <w:p>
      <w:pPr>
        <w:spacing w:after="0" w:line="1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46"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On October 30, 2024, NN, Inc. (the “Company”) issued a press release announcing the Company’s financial results for the quarter ended September 30, 2024. The full text of the press release is furnished as Exhibit 99.1 to this Current Report on Form 8-K (the "Current Report").</w:t>
      </w:r>
    </w:p>
    <w:p>
      <w:pPr>
        <w:spacing w:after="0" w:line="39"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On October 30, 2024, the Company posted a supplemental presentation to its website, https://investors.nninc.com/, which will be presented during its quarterly investor conference call on October 31, 2024, at 9:00 a.m. ET. The supplemental presentation is included as Exhibit 99.2 to this Current Report.</w:t>
      </w:r>
    </w:p>
    <w:p>
      <w:pPr>
        <w:spacing w:after="0" w:line="39"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Description of Exhibit</w:t>
            </w:r>
          </w:p>
        </w:tc>
        <w:tc>
          <w:tcPr>
            <w:tcW w:w="98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220" w:type="dxa"/>
            <w:vAlign w:val="bottom"/>
          </w:tcPr>
          <w:p>
            <w:pPr>
              <w:spacing w:after="0"/>
              <w:rPr>
                <w:sz w:val="13"/>
                <w:szCs w:val="13"/>
                <w:color w:val="auto"/>
              </w:rPr>
            </w:pPr>
          </w:p>
        </w:tc>
        <w:tc>
          <w:tcPr>
            <w:tcW w:w="2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Press Release issued by NN, Inc., dated October 30, 2024</w:t>
            </w:r>
          </w:p>
        </w:tc>
        <w:tc>
          <w:tcPr>
            <w:tcW w:w="7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220" w:type="dxa"/>
            <w:vAlign w:val="bottom"/>
          </w:tcPr>
          <w:p>
            <w:pPr>
              <w:spacing w:after="0"/>
              <w:rPr>
                <w:sz w:val="11"/>
                <w:szCs w:val="11"/>
                <w:color w:val="auto"/>
              </w:rPr>
            </w:pPr>
          </w:p>
        </w:tc>
        <w:tc>
          <w:tcPr>
            <w:tcW w:w="220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8"/>
              </w:rPr>
              <w:t>Investor Presentation, dated October 31, 2024</w:t>
            </w:r>
          </w:p>
        </w:tc>
        <w:tc>
          <w:tcPr>
            <w:tcW w:w="85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60" w:type="dxa"/>
            <w:vAlign w:val="bottom"/>
            <w:gridSpan w:val="4"/>
          </w:tcPr>
          <w:p>
            <w:pPr>
              <w:jc w:val="center"/>
              <w:ind w:left="3"/>
              <w:spacing w:after="0"/>
              <w:rPr>
                <w:sz w:val="20"/>
                <w:szCs w:val="20"/>
                <w:color w:val="auto"/>
              </w:rPr>
            </w:pPr>
            <w:r>
              <w:rPr>
                <w:rFonts w:ascii="Times New Roman" w:cs="Times New Roman" w:eastAsia="Times New Roman" w:hAnsi="Times New Roman"/>
                <w:sz w:val="12"/>
                <w:szCs w:val="12"/>
                <w:color w:val="auto"/>
                <w:w w:val="99"/>
              </w:rPr>
              <w:t>104</w:t>
            </w:r>
          </w:p>
        </w:tc>
        <w:tc>
          <w:tcPr>
            <w:tcW w:w="220" w:type="dxa"/>
            <w:vAlign w:val="bottom"/>
          </w:tcPr>
          <w:p>
            <w:pPr>
              <w:spacing w:after="0"/>
              <w:rPr>
                <w:sz w:val="15"/>
                <w:szCs w:val="15"/>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080"/>
        </w:trPr>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October 30, 2024</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464820</wp:posOffset>
            </wp:positionV>
            <wp:extent cx="1097280" cy="81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1724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664845</wp:posOffset>
            </wp:positionV>
            <wp:extent cx="12858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2"/>
          <w:szCs w:val="12"/>
          <w:color w:val="auto"/>
        </w:rPr>
        <w:t>NN, Inc.</w:t>
      </w:r>
    </w:p>
    <w:p>
      <w:pPr>
        <w:spacing w:after="0" w:line="235" w:lineRule="auto"/>
        <w:rPr>
          <w:sz w:val="20"/>
          <w:szCs w:val="20"/>
          <w:color w:val="auto"/>
        </w:rPr>
      </w:pPr>
      <w:r>
        <w:rPr>
          <w:rFonts w:ascii="Calibri" w:cs="Calibri" w:eastAsia="Calibri" w:hAnsi="Calibri"/>
          <w:sz w:val="12"/>
          <w:szCs w:val="12"/>
          <w:color w:val="auto"/>
        </w:rPr>
        <w:t>6210 Ardrey Kell Road, Suite 120</w:t>
      </w:r>
    </w:p>
    <w:p>
      <w:pPr>
        <w:spacing w:after="0" w:line="236" w:lineRule="auto"/>
        <w:rPr>
          <w:sz w:val="20"/>
          <w:szCs w:val="20"/>
          <w:color w:val="auto"/>
        </w:rPr>
      </w:pPr>
      <w:r>
        <w:rPr>
          <w:rFonts w:ascii="Calibri" w:cs="Calibri" w:eastAsia="Calibri" w:hAnsi="Calibri"/>
          <w:sz w:val="12"/>
          <w:szCs w:val="12"/>
          <w:color w:val="auto"/>
        </w:rPr>
        <w:t>Charlote, NC 28277</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FOR IMMEDIATE RELEASE</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b w:val="1"/>
          <w:bCs w:val="1"/>
          <w:color w:val="auto"/>
        </w:rPr>
        <w:t>NN, INC. REPORTS THIRD QUARTER 2024 RESULTS</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Transformaton agenda moving at a faster pace, with footprint changes and operatng expense reductons;</w:t>
      </w:r>
    </w:p>
    <w:p>
      <w:pPr>
        <w:jc w:val="center"/>
        <w:spacing w:after="0" w:line="217" w:lineRule="auto"/>
        <w:rPr>
          <w:sz w:val="20"/>
          <w:szCs w:val="20"/>
          <w:color w:val="auto"/>
        </w:rPr>
      </w:pPr>
      <w:r>
        <w:rPr>
          <w:rFonts w:ascii="Calibri" w:cs="Calibri" w:eastAsia="Calibri" w:hAnsi="Calibri"/>
          <w:sz w:val="13"/>
          <w:szCs w:val="13"/>
          <w:i w:val="1"/>
          <w:iCs w:val="1"/>
          <w:color w:val="auto"/>
        </w:rPr>
        <w:t>new business wins contnue at a strong rate, expect 2025 year-over-year sales growth</w:t>
      </w:r>
    </w:p>
    <w:p>
      <w:pPr>
        <w:spacing w:after="0" w:line="161" w:lineRule="exact"/>
        <w:rPr>
          <w:sz w:val="20"/>
          <w:szCs w:val="20"/>
          <w:color w:val="auto"/>
        </w:rPr>
      </w:pPr>
    </w:p>
    <w:p>
      <w:pPr>
        <w:spacing w:after="0" w:line="255" w:lineRule="auto"/>
        <w:rPr>
          <w:sz w:val="20"/>
          <w:szCs w:val="20"/>
          <w:color w:val="auto"/>
        </w:rPr>
      </w:pPr>
      <w:r>
        <w:rPr>
          <w:rFonts w:ascii="Calibri" w:cs="Calibri" w:eastAsia="Calibri" w:hAnsi="Calibri"/>
          <w:sz w:val="13"/>
          <w:szCs w:val="13"/>
          <w:b w:val="1"/>
          <w:bCs w:val="1"/>
          <w:color w:val="auto"/>
        </w:rPr>
        <w:t xml:space="preserve">CHARLOTTE, N.C., October 30, 2024 </w:t>
      </w:r>
      <w:r>
        <w:rPr>
          <w:rFonts w:ascii="Calibri" w:cs="Calibri" w:eastAsia="Calibri" w:hAnsi="Calibri"/>
          <w:sz w:val="13"/>
          <w:szCs w:val="13"/>
          <w:color w:val="auto"/>
        </w:rPr>
        <w:t>– NN, Inc. (NASDAQ: NNBR), a global diversifed industrial company that engineers and manufactures high-precision components and assemblies, today reported its</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fnancial results for the third quarter ended September 30, 2024.</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Highlights</w:t>
      </w:r>
    </w:p>
    <w:p>
      <w:pPr>
        <w:spacing w:after="0" w:line="3" w:lineRule="exact"/>
        <w:rPr>
          <w:sz w:val="20"/>
          <w:szCs w:val="20"/>
          <w:color w:val="auto"/>
        </w:rPr>
      </w:pPr>
    </w:p>
    <w:p>
      <w:pPr>
        <w:ind w:left="420" w:hanging="212"/>
        <w:spacing w:after="0"/>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New business wins in the quarter were $15 million, bringing year-to-date and trailing-21-month totals to $49 million and $113 million, respectvely; on pace with full-year guidance;</w:t>
      </w:r>
    </w:p>
    <w:p>
      <w:pPr>
        <w:spacing w:after="0" w:line="5" w:lineRule="exact"/>
        <w:rPr>
          <w:rFonts w:ascii="Calibri" w:cs="Calibri" w:eastAsia="Calibri" w:hAnsi="Calibri"/>
          <w:sz w:val="13"/>
          <w:szCs w:val="13"/>
          <w:color w:val="auto"/>
        </w:rPr>
      </w:pPr>
    </w:p>
    <w:p>
      <w:pPr>
        <w:ind w:left="420" w:right="200" w:hanging="212"/>
        <w:spacing w:after="0" w:line="242" w:lineRule="auto"/>
        <w:tabs>
          <w:tab w:leader="none" w:pos="415"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Contnuing to lower the cost structure of our North American Mobile Solutons footprint to achieve a minimum 10% adjusted EBITDA margin rate through footprint optmizaton and overhead cost reducton;</w:t>
      </w:r>
    </w:p>
    <w:p>
      <w:pPr>
        <w:spacing w:after="0" w:line="2" w:lineRule="exact"/>
        <w:rPr>
          <w:rFonts w:ascii="Calibri" w:cs="Calibri" w:eastAsia="Calibri" w:hAnsi="Calibri"/>
          <w:sz w:val="13"/>
          <w:szCs w:val="13"/>
          <w:color w:val="auto"/>
        </w:rPr>
      </w:pPr>
    </w:p>
    <w:p>
      <w:pPr>
        <w:ind w:left="420" w:hanging="212"/>
        <w:spacing w:after="0"/>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China sales growth contnues on track with top global ter-1 customers; up 19% versus prior year period;</w:t>
      </w:r>
    </w:p>
    <w:p>
      <w:pPr>
        <w:ind w:left="420" w:hanging="212"/>
        <w:spacing w:after="0" w:line="231"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Implemented operatonal and cost reducton plans in Q3’24, including a ~$2 million annualized cost-out program, with additonal cost-out initatves in Q4’24 and frst half of 2025;</w:t>
      </w:r>
    </w:p>
    <w:p>
      <w:pPr>
        <w:spacing w:after="0" w:line="12" w:lineRule="exact"/>
        <w:rPr>
          <w:rFonts w:ascii="Calibri" w:cs="Calibri" w:eastAsia="Calibri" w:hAnsi="Calibri"/>
          <w:sz w:val="13"/>
          <w:szCs w:val="13"/>
          <w:color w:val="auto"/>
        </w:rPr>
      </w:pPr>
    </w:p>
    <w:p>
      <w:pPr>
        <w:ind w:left="420" w:hanging="212"/>
        <w:spacing w:after="0"/>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Leverage rato declined to 2.97x, as cash proceeds from the sale of Lubbock plant were deployed towards debt reducton;</w:t>
      </w:r>
    </w:p>
    <w:p>
      <w:pPr>
        <w:spacing w:after="0" w:line="3" w:lineRule="exact"/>
        <w:rPr>
          <w:rFonts w:ascii="Calibri" w:cs="Calibri" w:eastAsia="Calibri" w:hAnsi="Calibri"/>
          <w:sz w:val="13"/>
          <w:szCs w:val="13"/>
          <w:color w:val="auto"/>
        </w:rPr>
      </w:pPr>
    </w:p>
    <w:p>
      <w:pPr>
        <w:ind w:left="420" w:hanging="212"/>
        <w:spacing w:after="0"/>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Strategic refnancing process contnues, evaluatng future growth capital needs driven by successful new business wins program;</w:t>
      </w:r>
    </w:p>
    <w:p>
      <w:pPr>
        <w:spacing w:after="0" w:line="3" w:lineRule="exact"/>
        <w:rPr>
          <w:rFonts w:ascii="Calibri" w:cs="Calibri" w:eastAsia="Calibri" w:hAnsi="Calibri"/>
          <w:sz w:val="13"/>
          <w:szCs w:val="13"/>
          <w:color w:val="auto"/>
        </w:rPr>
      </w:pPr>
    </w:p>
    <w:p>
      <w:pPr>
        <w:ind w:left="420" w:hanging="212"/>
        <w:spacing w:after="0"/>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End markets are opportunity-rich with current focus on increasing new business wins in Stamping and Medical markets.</w:t>
      </w:r>
    </w:p>
    <w:p>
      <w:pPr>
        <w:spacing w:after="0" w:line="158" w:lineRule="exact"/>
        <w:rPr>
          <w:sz w:val="20"/>
          <w:szCs w:val="20"/>
          <w:color w:val="auto"/>
        </w:rPr>
      </w:pPr>
    </w:p>
    <w:p>
      <w:pPr>
        <w:jc w:val="both"/>
        <w:spacing w:after="0" w:line="224" w:lineRule="auto"/>
        <w:rPr>
          <w:sz w:val="20"/>
          <w:szCs w:val="20"/>
          <w:color w:val="auto"/>
        </w:rPr>
      </w:pPr>
      <w:r>
        <w:rPr>
          <w:rFonts w:ascii="Calibri" w:cs="Calibri" w:eastAsia="Calibri" w:hAnsi="Calibri"/>
          <w:sz w:val="13"/>
          <w:szCs w:val="13"/>
          <w:color w:val="auto"/>
        </w:rPr>
        <w:t>“We achieved a faster pace in our enterprise transformaton across cost-out and growth programs within our current capital structure,” said Harold Bevis, President and Chief Executve Ofcer of NN, Inc. “Our contnued focus and executon across the pillars of our transformaton initatves delivered another quarter of results broadly across our business, evidenced by advances in operatonal efciency, structural cost reductons, and commercial growth through our new business win program.”</w:t>
      </w:r>
    </w:p>
    <w:p>
      <w:pPr>
        <w:spacing w:after="0" w:line="150" w:lineRule="exact"/>
        <w:rPr>
          <w:sz w:val="20"/>
          <w:szCs w:val="20"/>
          <w:color w:val="auto"/>
        </w:rPr>
      </w:pPr>
    </w:p>
    <w:p>
      <w:pPr>
        <w:jc w:val="both"/>
        <w:ind w:right="20"/>
        <w:spacing w:after="0" w:line="219" w:lineRule="auto"/>
        <w:rPr>
          <w:sz w:val="20"/>
          <w:szCs w:val="20"/>
          <w:color w:val="auto"/>
        </w:rPr>
      </w:pPr>
      <w:r>
        <w:rPr>
          <w:rFonts w:ascii="Calibri" w:cs="Calibri" w:eastAsia="Calibri" w:hAnsi="Calibri"/>
          <w:sz w:val="13"/>
          <w:szCs w:val="13"/>
          <w:color w:val="auto"/>
        </w:rPr>
        <w:t>“During the quarter, we remained focused on improving our proftability and launched a new round of successful cost reducton measures, which we believe will carry a meaningful impact to growing and sustaining the earnings power of our business, partcularly as we begin to capture the embedded future top-line growth from the inital success of our new business program. Additonally, as was previously announced, we completed the sale of our non-core plastcs products plant, which allows us to focus on our core competencies and further corrects our balance sheet.”</w:t>
      </w:r>
    </w:p>
    <w:p>
      <w:pPr>
        <w:spacing w:after="0" w:line="302"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1</w:t>
      </w:r>
    </w:p>
    <w:p>
      <w:pPr>
        <w:sectPr>
          <w:pgSz w:w="11900" w:h="16838" w:orient="portrait"/>
          <w:cols w:equalWidth="0" w:num="1">
            <w:col w:w="11300"/>
          </w:cols>
          <w:pgMar w:left="300" w:top="128" w:right="299" w:bottom="1440" w:gutter="0" w:footer="0" w:header="0"/>
        </w:sectPr>
      </w:pPr>
    </w:p>
    <w:bookmarkStart w:id="4" w:name="page5"/>
    <w:bookmarkEnd w:id="4"/>
    <w:p>
      <w:pPr>
        <w:jc w:val="both"/>
        <w:spacing w:after="0" w:line="218" w:lineRule="auto"/>
        <w:rPr>
          <w:sz w:val="20"/>
          <w:szCs w:val="20"/>
          <w:color w:val="auto"/>
        </w:rPr>
      </w:pPr>
      <w:r>
        <w:rPr>
          <w:rFonts w:ascii="Calibri" w:cs="Calibri" w:eastAsia="Calibri" w:hAnsi="Calibri"/>
          <w:sz w:val="13"/>
          <w:szCs w:val="13"/>
          <w:color w:val="auto"/>
        </w:rPr>
        <w:t>Mr. Bevis concluded, “NN is working to correct its business model and adjust the revenue and margin mix, primarily in Mobile. We are underway with installing equipment to support global demand for high-end next generaton steering and braking components, producing our highest value products and capabilites. Additonally, as part of our focus on strategically realigning volumes in our group of underperforming plants, we announced the closure of our Dowagiac plant, refectng our contnued capacity shif towards lower cost geographies, partcularly in China. We expect these optmizaton actons to support our adjusted EBITDA run rate and margin performance moving forward. As we look to the fourth quarter and fscal 2025, we will judiciously invest our cash fows into electrical, medical, and other high return projects, and are excited about the opportunity set in front of us. We are encouraged with the pace and results of our transformaton.”</w:t>
      </w:r>
    </w:p>
    <w:p>
      <w:pPr>
        <w:spacing w:after="0" w:line="277"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Third Quarter GAAP Results</w:t>
      </w:r>
    </w:p>
    <w:p>
      <w:pPr>
        <w:spacing w:after="0" w:line="32" w:lineRule="exact"/>
        <w:rPr>
          <w:sz w:val="20"/>
          <w:szCs w:val="20"/>
          <w:color w:val="auto"/>
        </w:rPr>
      </w:pPr>
    </w:p>
    <w:p>
      <w:pPr>
        <w:ind w:right="260"/>
        <w:spacing w:after="0" w:line="234" w:lineRule="auto"/>
        <w:rPr>
          <w:sz w:val="20"/>
          <w:szCs w:val="20"/>
          <w:color w:val="auto"/>
        </w:rPr>
      </w:pPr>
      <w:r>
        <w:rPr>
          <w:rFonts w:ascii="Calibri" w:cs="Calibri" w:eastAsia="Calibri" w:hAnsi="Calibri"/>
          <w:sz w:val="13"/>
          <w:szCs w:val="13"/>
          <w:color w:val="auto"/>
        </w:rPr>
        <w:t>Net sales were $113.6 million, a decrease of 8.7% compared to the third quarter of 2023 net sales of $124.4 million, which was primarily due to the sale of our Lubbock operatons, ratonalized volume at plants undergoing turnarounds, a customer setlement received in 2023, and unfavorable foreign exchange efects of $1.1 million. Excluding these items, net sales decreased 0.5%.</w:t>
      </w:r>
    </w:p>
    <w:p>
      <w:pPr>
        <w:spacing w:after="0" w:line="157" w:lineRule="exact"/>
        <w:rPr>
          <w:sz w:val="20"/>
          <w:szCs w:val="20"/>
          <w:color w:val="auto"/>
        </w:rPr>
      </w:pPr>
    </w:p>
    <w:p>
      <w:pPr>
        <w:spacing w:after="0"/>
        <w:rPr>
          <w:sz w:val="20"/>
          <w:szCs w:val="20"/>
          <w:color w:val="auto"/>
        </w:rPr>
      </w:pPr>
      <w:r>
        <w:rPr>
          <w:rFonts w:ascii="Calibri" w:cs="Calibri" w:eastAsia="Calibri" w:hAnsi="Calibri"/>
          <w:sz w:val="13"/>
          <w:szCs w:val="13"/>
          <w:color w:val="auto"/>
        </w:rPr>
        <w:t>Loss from operatons was $3.8 million compared to a loss from operatons of $2.7 million in the third quarter of 2023. The increased loss from operatons was primarily due to lower sales volume.</w:t>
      </w:r>
    </w:p>
    <w:p>
      <w:pPr>
        <w:spacing w:after="0" w:line="131" w:lineRule="exact"/>
        <w:rPr>
          <w:sz w:val="20"/>
          <w:szCs w:val="20"/>
          <w:color w:val="auto"/>
        </w:rPr>
      </w:pPr>
    </w:p>
    <w:p>
      <w:pPr>
        <w:jc w:val="both"/>
        <w:ind w:right="20"/>
        <w:spacing w:after="0" w:line="242" w:lineRule="auto"/>
        <w:rPr>
          <w:sz w:val="20"/>
          <w:szCs w:val="20"/>
          <w:color w:val="auto"/>
        </w:rPr>
      </w:pPr>
      <w:r>
        <w:rPr>
          <w:rFonts w:ascii="Calibri" w:cs="Calibri" w:eastAsia="Calibri" w:hAnsi="Calibri"/>
          <w:sz w:val="13"/>
          <w:szCs w:val="13"/>
          <w:color w:val="auto"/>
        </w:rPr>
        <w:t>Income from operatons for Power Solutons was $2.5 million compared to income from operatons of $3.9 million for the same period in 2023. Loss from operatons for Mobile Solutons was $1.4 million compared to loss from operatons of $1.3 million for the same period in 2023.</w:t>
      </w:r>
    </w:p>
    <w:p>
      <w:pPr>
        <w:spacing w:after="0" w:line="128" w:lineRule="exact"/>
        <w:rPr>
          <w:sz w:val="20"/>
          <w:szCs w:val="20"/>
          <w:color w:val="auto"/>
        </w:rPr>
      </w:pPr>
    </w:p>
    <w:p>
      <w:pPr>
        <w:spacing w:after="0"/>
        <w:rPr>
          <w:sz w:val="20"/>
          <w:szCs w:val="20"/>
          <w:color w:val="auto"/>
        </w:rPr>
      </w:pPr>
      <w:r>
        <w:rPr>
          <w:rFonts w:ascii="Calibri" w:cs="Calibri" w:eastAsia="Calibri" w:hAnsi="Calibri"/>
          <w:sz w:val="13"/>
          <w:szCs w:val="13"/>
          <w:color w:val="auto"/>
        </w:rPr>
        <w:t>Net loss was $2.6 million compared to net loss of $5.1 million for the same period in 2023.</w:t>
      </w:r>
    </w:p>
    <w:p>
      <w:pPr>
        <w:spacing w:after="0" w:line="111"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Third Quarter Adjusted Results</w:t>
      </w:r>
    </w:p>
    <w:p>
      <w:pPr>
        <w:spacing w:after="0" w:line="50" w:lineRule="exact"/>
        <w:rPr>
          <w:sz w:val="20"/>
          <w:szCs w:val="20"/>
          <w:color w:val="auto"/>
        </w:rPr>
      </w:pPr>
    </w:p>
    <w:p>
      <w:pPr>
        <w:jc w:val="both"/>
        <w:spacing w:after="0" w:line="243" w:lineRule="auto"/>
        <w:rPr>
          <w:sz w:val="20"/>
          <w:szCs w:val="20"/>
          <w:color w:val="auto"/>
        </w:rPr>
      </w:pPr>
      <w:r>
        <w:rPr>
          <w:rFonts w:ascii="Calibri" w:cs="Calibri" w:eastAsia="Calibri" w:hAnsi="Calibri"/>
          <w:sz w:val="13"/>
          <w:szCs w:val="13"/>
          <w:color w:val="auto"/>
        </w:rPr>
        <w:t>Adjusted income from operatons for the third quarter of 2024 was $1.3 million compared to adjusted income from operatons of $3.7 million for the same period in 2023. Adjusted EBITDA was $11.6 million, or 10.2% of sales, compared to $14.5 million, or 11.6% of sales, for the same period in 2023. The prior year adjusted EBITDA benefted by $2.5 million from a customer setlement, a favorable precious metals adjustment, and results of now divested Lubbock operatons, partally ofset by ratonalized business of $0.9 million. Excluding these items, adjusted EBITDA declined $1.3 million.</w:t>
      </w:r>
    </w:p>
    <w:p>
      <w:pPr>
        <w:spacing w:after="0" w:line="130" w:lineRule="exact"/>
        <w:rPr>
          <w:sz w:val="20"/>
          <w:szCs w:val="20"/>
          <w:color w:val="auto"/>
        </w:rPr>
      </w:pPr>
    </w:p>
    <w:p>
      <w:pPr>
        <w:jc w:val="both"/>
        <w:ind w:right="20"/>
        <w:spacing w:after="0" w:line="242" w:lineRule="auto"/>
        <w:rPr>
          <w:sz w:val="20"/>
          <w:szCs w:val="20"/>
          <w:color w:val="auto"/>
        </w:rPr>
      </w:pPr>
      <w:r>
        <w:rPr>
          <w:rFonts w:ascii="Calibri" w:cs="Calibri" w:eastAsia="Calibri" w:hAnsi="Calibri"/>
          <w:sz w:val="13"/>
          <w:szCs w:val="13"/>
          <w:color w:val="auto"/>
        </w:rPr>
        <w:t>Adjusted net loss was $2.5 million, or $0.05 per diluted share, compared to adjusted net income of $0.1 million, or $0.01 per diluted share, for the same period in 2023. Free cash fow was a generaton of cash of $0.3 million compared to a generaton of cash of $11.3 million for the same period in 2023.</w:t>
      </w:r>
    </w:p>
    <w:p>
      <w:pPr>
        <w:spacing w:after="0" w:line="119"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Power Solutons</w:t>
      </w:r>
    </w:p>
    <w:p>
      <w:pPr>
        <w:ind w:right="440"/>
        <w:spacing w:after="0" w:line="224" w:lineRule="auto"/>
        <w:rPr>
          <w:sz w:val="20"/>
          <w:szCs w:val="20"/>
          <w:color w:val="auto"/>
        </w:rPr>
      </w:pPr>
      <w:r>
        <w:rPr>
          <w:rFonts w:ascii="Calibri" w:cs="Calibri" w:eastAsia="Calibri" w:hAnsi="Calibri"/>
          <w:sz w:val="13"/>
          <w:szCs w:val="13"/>
          <w:color w:val="auto"/>
        </w:rPr>
        <w:t>Net sales for the third quarter of 2024 were $42.9 million compared to $45.5 million in the same period in 2023. Prior year sales were $39.9 million, excluding the recently sold Lubbock operatons, an increase of $3 million. The increase in sales when removing the impact from Lubbock was primarily due to higher precious metals pass-through pricing and pricing.</w:t>
      </w:r>
    </w:p>
    <w:p>
      <w:pPr>
        <w:spacing w:after="0" w:line="159" w:lineRule="exact"/>
        <w:rPr>
          <w:sz w:val="20"/>
          <w:szCs w:val="20"/>
          <w:color w:val="auto"/>
        </w:rPr>
      </w:pPr>
    </w:p>
    <w:p>
      <w:pPr>
        <w:ind w:right="100"/>
        <w:spacing w:after="0" w:line="255" w:lineRule="auto"/>
        <w:rPr>
          <w:sz w:val="20"/>
          <w:szCs w:val="20"/>
          <w:color w:val="auto"/>
        </w:rPr>
      </w:pPr>
      <w:r>
        <w:rPr>
          <w:rFonts w:ascii="Calibri" w:cs="Calibri" w:eastAsia="Calibri" w:hAnsi="Calibri"/>
          <w:sz w:val="13"/>
          <w:szCs w:val="13"/>
          <w:color w:val="auto"/>
        </w:rPr>
        <w:t>Adjusted income from operatons was $5.2 million compared to adjusted income from operatons of $7.1 million in the third quarter of 2023. The decrease in adjusted income from operatons was primarily due to the lower revenue resultng from the sale of the Lubbock operatons and unfavorable product mix.</w:t>
      </w:r>
    </w:p>
    <w:p>
      <w:pPr>
        <w:spacing w:after="0" w:line="111"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Mobile Solutons</w:t>
      </w:r>
    </w:p>
    <w:p>
      <w:pPr>
        <w:spacing w:after="0" w:line="41" w:lineRule="exact"/>
        <w:rPr>
          <w:sz w:val="20"/>
          <w:szCs w:val="20"/>
          <w:color w:val="auto"/>
        </w:rPr>
      </w:pPr>
    </w:p>
    <w:p>
      <w:pPr>
        <w:ind w:right="40"/>
        <w:spacing w:after="0" w:line="227" w:lineRule="auto"/>
        <w:rPr>
          <w:sz w:val="20"/>
          <w:szCs w:val="20"/>
          <w:color w:val="auto"/>
        </w:rPr>
      </w:pPr>
      <w:r>
        <w:rPr>
          <w:rFonts w:ascii="Calibri" w:cs="Calibri" w:eastAsia="Calibri" w:hAnsi="Calibri"/>
          <w:sz w:val="13"/>
          <w:szCs w:val="13"/>
          <w:color w:val="auto"/>
        </w:rPr>
        <w:t>Net sales for the third quarter of 2024 were $70.7 million compared to $79.0 million in the third quarter of 2023, a decrease of 10.5%. The decrease in sales was primarily due to ratonalized volume at plants undergoing turnarounds, contractual reducton in customer pass-through material pricing, a customer setlement received in 2023, and unfavorable foreign exchange efects of $1.0 million.</w:t>
      </w:r>
    </w:p>
    <w:p>
      <w:pPr>
        <w:spacing w:after="0" w:line="159" w:lineRule="exact"/>
        <w:rPr>
          <w:sz w:val="20"/>
          <w:szCs w:val="20"/>
          <w:color w:val="auto"/>
        </w:rPr>
      </w:pPr>
    </w:p>
    <w:p>
      <w:pPr>
        <w:ind w:right="100"/>
        <w:spacing w:after="0" w:line="227" w:lineRule="auto"/>
        <w:rPr>
          <w:sz w:val="20"/>
          <w:szCs w:val="20"/>
          <w:color w:val="auto"/>
        </w:rPr>
      </w:pPr>
      <w:r>
        <w:rPr>
          <w:rFonts w:ascii="Calibri" w:cs="Calibri" w:eastAsia="Calibri" w:hAnsi="Calibri"/>
          <w:sz w:val="13"/>
          <w:szCs w:val="13"/>
          <w:color w:val="auto"/>
        </w:rPr>
        <w:t>Adjusted income from operatons was $0.9 million compared to adjusted income from operatons of $1.6 million in the third quarter of 2023. The decrease in adjusted income from operatons was primarily due to lower revenue, partally ofset by lower depreciaton expense.</w:t>
      </w:r>
    </w:p>
    <w:p>
      <w:pPr>
        <w:spacing w:after="0" w:line="14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2</w:t>
      </w:r>
    </w:p>
    <w:p>
      <w:pPr>
        <w:sectPr>
          <w:pgSz w:w="11900" w:h="16838" w:orient="portrait"/>
          <w:cols w:equalWidth="0" w:num="1">
            <w:col w:w="11300"/>
          </w:cols>
          <w:pgMar w:left="300" w:top="960" w:right="299" w:bottom="1440" w:gutter="0" w:footer="0" w:header="0"/>
        </w:sectPr>
      </w:pPr>
    </w:p>
    <w:bookmarkStart w:id="5" w:name="page6"/>
    <w:bookmarkEnd w:id="5"/>
    <w:p>
      <w:pPr>
        <w:spacing w:after="0"/>
        <w:rPr>
          <w:sz w:val="20"/>
          <w:szCs w:val="20"/>
          <w:color w:val="auto"/>
        </w:rPr>
      </w:pPr>
      <w:r>
        <w:rPr>
          <w:rFonts w:ascii="Calibri" w:cs="Calibri" w:eastAsia="Calibri" w:hAnsi="Calibri"/>
          <w:sz w:val="13"/>
          <w:szCs w:val="13"/>
          <w:b w:val="1"/>
          <w:bCs w:val="1"/>
          <w:u w:val="single" w:color="auto"/>
          <w:color w:val="auto"/>
        </w:rPr>
        <w:t>2024 Outlook</w:t>
      </w:r>
    </w:p>
    <w:p>
      <w:pPr>
        <w:spacing w:after="0" w:line="48"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Calibri" w:cs="Calibri" w:eastAsia="Calibri" w:hAnsi="Calibri"/>
          <w:sz w:val="13"/>
          <w:szCs w:val="13"/>
          <w:color w:val="auto"/>
        </w:rPr>
        <w:t>Revenue in the range of $465 million to $485 million;</w:t>
      </w:r>
    </w:p>
    <w:p>
      <w:pPr>
        <w:spacing w:after="0" w:line="21"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Calibri" w:cs="Calibri" w:eastAsia="Calibri" w:hAnsi="Calibri"/>
          <w:sz w:val="13"/>
          <w:szCs w:val="13"/>
          <w:color w:val="auto"/>
        </w:rPr>
        <w:t>Adjusted EBITDA in the range of $47 million to $51 million;</w:t>
      </w:r>
    </w:p>
    <w:p>
      <w:pPr>
        <w:spacing w:after="0" w:line="10" w:lineRule="exact"/>
        <w:rPr>
          <w:rFonts w:ascii="Arial" w:cs="Arial" w:eastAsia="Arial" w:hAnsi="Arial"/>
          <w:sz w:val="13"/>
          <w:szCs w:val="13"/>
          <w:color w:val="auto"/>
        </w:rPr>
      </w:pPr>
    </w:p>
    <w:p>
      <w:pPr>
        <w:ind w:left="420" w:hanging="212"/>
        <w:spacing w:after="0" w:line="229" w:lineRule="auto"/>
        <w:tabs>
          <w:tab w:leader="none" w:pos="420" w:val="left"/>
        </w:tabs>
        <w:numPr>
          <w:ilvl w:val="0"/>
          <w:numId w:val="4"/>
        </w:numPr>
        <w:rPr>
          <w:rFonts w:ascii="Arial" w:cs="Arial" w:eastAsia="Arial" w:hAnsi="Arial"/>
          <w:sz w:val="13"/>
          <w:szCs w:val="13"/>
          <w:color w:val="auto"/>
        </w:rPr>
      </w:pPr>
      <w:r>
        <w:rPr>
          <w:rFonts w:ascii="Calibri" w:cs="Calibri" w:eastAsia="Calibri" w:hAnsi="Calibri"/>
          <w:sz w:val="13"/>
          <w:szCs w:val="13"/>
          <w:color w:val="auto"/>
        </w:rPr>
        <w:t>Free cash fow in the range of $8 million to $12 million; and</w:t>
      </w:r>
    </w:p>
    <w:p>
      <w:pPr>
        <w:spacing w:after="0" w:line="30"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Calibri" w:cs="Calibri" w:eastAsia="Calibri" w:hAnsi="Calibri"/>
          <w:sz w:val="13"/>
          <w:szCs w:val="13"/>
          <w:color w:val="auto"/>
        </w:rPr>
        <w:t>New business wins in the range of $55 million to $70 million.</w:t>
      </w:r>
    </w:p>
    <w:p>
      <w:pPr>
        <w:spacing w:after="0" w:line="158" w:lineRule="exact"/>
        <w:rPr>
          <w:sz w:val="20"/>
          <w:szCs w:val="20"/>
          <w:color w:val="auto"/>
        </w:rPr>
      </w:pPr>
    </w:p>
    <w:p>
      <w:pPr>
        <w:spacing w:after="0" w:line="227" w:lineRule="auto"/>
        <w:rPr>
          <w:sz w:val="20"/>
          <w:szCs w:val="20"/>
          <w:color w:val="auto"/>
        </w:rPr>
      </w:pPr>
      <w:r>
        <w:rPr>
          <w:rFonts w:ascii="Calibri" w:cs="Calibri" w:eastAsia="Calibri" w:hAnsi="Calibri"/>
          <w:sz w:val="13"/>
          <w:szCs w:val="13"/>
          <w:color w:val="auto"/>
        </w:rPr>
        <w:t>Chris Bohnert, Senior Vice President and Chief Financial Ofcer, commented, “We expect to perform within our guidance ranges, subject to market demand. Importantly, our operatonal transformaton remains on track, and we are maintaining our outlook for new business wins to contnue at a strong rate.”</w:t>
      </w:r>
    </w:p>
    <w:p>
      <w:pPr>
        <w:spacing w:after="0" w:line="141" w:lineRule="exact"/>
        <w:rPr>
          <w:sz w:val="20"/>
          <w:szCs w:val="20"/>
          <w:color w:val="auto"/>
        </w:rPr>
      </w:pPr>
    </w:p>
    <w:p>
      <w:pPr>
        <w:ind w:right="20"/>
        <w:spacing w:after="0" w:line="227" w:lineRule="auto"/>
        <w:rPr>
          <w:sz w:val="20"/>
          <w:szCs w:val="20"/>
          <w:color w:val="auto"/>
        </w:rPr>
      </w:pPr>
      <w:r>
        <w:rPr>
          <w:rFonts w:ascii="Calibri" w:cs="Calibri" w:eastAsia="Calibri" w:hAnsi="Calibri"/>
          <w:sz w:val="13"/>
          <w:szCs w:val="13"/>
          <w:color w:val="auto"/>
        </w:rPr>
        <w:t>Mr. Bohnert concluded, “The refnancing of our ABL and Term Loan is stll in process and remains a top priority. We contnue to refne based on the needs of our long-term growth capital requirements and cost reducton plans.”</w:t>
      </w:r>
    </w:p>
    <w:p>
      <w:pPr>
        <w:spacing w:after="0" w:line="139"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3</w:t>
      </w:r>
    </w:p>
    <w:p>
      <w:pPr>
        <w:sectPr>
          <w:pgSz w:w="11900" w:h="16838" w:orient="portrait"/>
          <w:cols w:equalWidth="0" w:num="1">
            <w:col w:w="11300"/>
          </w:cols>
          <w:pgMar w:left="300" w:top="670" w:right="299" w:bottom="1440" w:gutter="0" w:footer="0" w:header="0"/>
        </w:sectPr>
      </w:pPr>
    </w:p>
    <w:bookmarkStart w:id="6" w:name="page7"/>
    <w:bookmarkEnd w:id="6"/>
    <w:p>
      <w:pPr>
        <w:ind w:left="8"/>
        <w:spacing w:after="0"/>
        <w:rPr>
          <w:sz w:val="20"/>
          <w:szCs w:val="20"/>
          <w:color w:val="auto"/>
        </w:rPr>
      </w:pPr>
      <w:r>
        <w:rPr>
          <w:rFonts w:ascii="Calibri" w:cs="Calibri" w:eastAsia="Calibri" w:hAnsi="Calibri"/>
          <w:sz w:val="13"/>
          <w:szCs w:val="13"/>
          <w:b w:val="1"/>
          <w:bCs w:val="1"/>
          <w:u w:val="single" w:color="auto"/>
          <w:color w:val="auto"/>
        </w:rPr>
        <w:t>Conference Call</w:t>
      </w:r>
    </w:p>
    <w:p>
      <w:pPr>
        <w:spacing w:after="0" w:line="50" w:lineRule="exact"/>
        <w:rPr>
          <w:sz w:val="20"/>
          <w:szCs w:val="20"/>
          <w:color w:val="auto"/>
        </w:rPr>
      </w:pPr>
    </w:p>
    <w:p>
      <w:pPr>
        <w:jc w:val="both"/>
        <w:ind w:left="8" w:hanging="8"/>
        <w:spacing w:after="0" w:line="244" w:lineRule="auto"/>
        <w:tabs>
          <w:tab w:leader="none" w:pos="224"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will discuss its results during its quarterly investor conference call on October 31, 2024, at 9 a.m. ET. The call and supplemental presentaton may be accessed via NN's website, www.nninc.com. The conference call can also be accessed by dialing 1-877-255-4315 or 1-412-317-6579. For those who are unavailable to listen to the live broadcast, a replay will be available shortly afer the call untl October 31, 2025.</w:t>
      </w:r>
    </w:p>
    <w:p>
      <w:pPr>
        <w:spacing w:after="0" w:line="289" w:lineRule="exact"/>
        <w:rPr>
          <w:sz w:val="20"/>
          <w:szCs w:val="20"/>
          <w:color w:val="auto"/>
        </w:rPr>
      </w:pPr>
    </w:p>
    <w:p>
      <w:pPr>
        <w:jc w:val="both"/>
        <w:ind w:left="8" w:hanging="8"/>
        <w:spacing w:after="0" w:line="250" w:lineRule="auto"/>
        <w:tabs>
          <w:tab w:leader="none" w:pos="2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discloses in this press release the non-GAAP fnancial measures of adjusted income (loss) from operatons, adjusted EBITDA, adjusted net income (loss), adjusted net income (loss) per diluted common share, and free cash fow. Each of these non-GAAP fnancial measures provides supplementary informaton about the impacts of restructuring and integraton expense, acquisiton and transiton expenses, foreign exchange impacts on inter-company loans, amortzaton of intangibles and deferred fnancing costs, and other non-operatng impacts on our business.</w:t>
      </w:r>
    </w:p>
    <w:p>
      <w:pPr>
        <w:spacing w:after="0" w:line="116" w:lineRule="exact"/>
        <w:rPr>
          <w:sz w:val="20"/>
          <w:szCs w:val="20"/>
          <w:color w:val="auto"/>
        </w:rPr>
      </w:pPr>
    </w:p>
    <w:p>
      <w:pPr>
        <w:jc w:val="both"/>
        <w:ind w:left="8"/>
        <w:spacing w:after="0" w:line="250" w:lineRule="auto"/>
        <w:rPr>
          <w:sz w:val="20"/>
          <w:szCs w:val="20"/>
          <w:color w:val="auto"/>
        </w:rPr>
      </w:pPr>
      <w:r>
        <w:rPr>
          <w:rFonts w:ascii="Calibri" w:cs="Calibri" w:eastAsia="Calibri" w:hAnsi="Calibri"/>
          <w:sz w:val="13"/>
          <w:szCs w:val="13"/>
          <w:color w:val="auto"/>
        </w:rPr>
        <w:t>The fnancial tables found later in this press release include a reconciliaton of adjusted income (loss) from operatons, adjusted operatng margin, adjusted EBITDA, adjusted EBITDA margin, adjusted net income (loss), adjusted net income (loss) per diluted share, free cash fow to the U.S. GAAP fnancial measures of income (loss) from operatons, net income (loss), net income (loss) per diluted common share, and cash provided (used) by operatng actvites.</w:t>
      </w:r>
    </w:p>
    <w:p>
      <w:pPr>
        <w:spacing w:after="0" w:line="267" w:lineRule="exact"/>
        <w:rPr>
          <w:sz w:val="20"/>
          <w:szCs w:val="20"/>
          <w:color w:val="auto"/>
        </w:rPr>
      </w:pPr>
    </w:p>
    <w:p>
      <w:pPr>
        <w:ind w:left="11228"/>
        <w:spacing w:after="0"/>
        <w:rPr>
          <w:sz w:val="20"/>
          <w:szCs w:val="20"/>
          <w:color w:val="auto"/>
        </w:rPr>
      </w:pPr>
      <w:r>
        <w:rPr>
          <w:rFonts w:ascii="Calibri" w:cs="Calibri" w:eastAsia="Calibri" w:hAnsi="Calibri"/>
          <w:sz w:val="13"/>
          <w:szCs w:val="13"/>
          <w:color w:val="auto"/>
        </w:rPr>
        <w:t>4</w:t>
      </w:r>
    </w:p>
    <w:p>
      <w:pPr>
        <w:sectPr>
          <w:pgSz w:w="11900" w:h="16838" w:orient="portrait"/>
          <w:cols w:equalWidth="0" w:num="1">
            <w:col w:w="11308"/>
          </w:cols>
          <w:pgMar w:left="292" w:top="670" w:right="299"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b w:val="1"/>
          <w:bCs w:val="1"/>
          <w:u w:val="single" w:color="auto"/>
          <w:color w:val="auto"/>
        </w:rPr>
        <w:t>About NN, Inc</w:t>
      </w:r>
      <w:r>
        <w:rPr>
          <w:rFonts w:ascii="Calibri" w:cs="Calibri" w:eastAsia="Calibri" w:hAnsi="Calibri"/>
          <w:sz w:val="13"/>
          <w:szCs w:val="13"/>
          <w:b w:val="1"/>
          <w:bCs w:val="1"/>
          <w:color w:val="auto"/>
          <w:highlight w:val="white"/>
        </w:rPr>
        <w:t>.</w:t>
      </w:r>
    </w:p>
    <w:p>
      <w:pPr>
        <w:spacing w:after="0" w:line="50" w:lineRule="exact"/>
        <w:rPr>
          <w:sz w:val="20"/>
          <w:szCs w:val="20"/>
          <w:color w:val="auto"/>
        </w:rPr>
      </w:pPr>
    </w:p>
    <w:p>
      <w:pPr>
        <w:jc w:val="both"/>
        <w:spacing w:after="0" w:line="243" w:lineRule="auto"/>
        <w:rPr>
          <w:sz w:val="20"/>
          <w:szCs w:val="20"/>
          <w:color w:val="auto"/>
        </w:rPr>
      </w:pPr>
      <w:r>
        <w:rPr>
          <w:rFonts w:ascii="Calibri" w:cs="Calibri" w:eastAsia="Calibri" w:hAnsi="Calibri"/>
          <w:sz w:val="13"/>
          <w:szCs w:val="13"/>
          <w:color w:val="auto"/>
        </w:rPr>
        <w:t>NN, Inc., a global diversifed industrial company, combines advanced engineering and producton capabilites with in-depth materials science expertse to design and manufacture high-precision components and assemblies for a variety of markets on a global basis. Headquartered in Charlote, North Carolina, NN has facilites in North America, Europe, South America, and Asia. For more informaton about the company and its products, please visit www.nninc.com.</w:t>
      </w:r>
    </w:p>
    <w:p>
      <w:pPr>
        <w:spacing w:after="0" w:line="138" w:lineRule="exact"/>
        <w:rPr>
          <w:sz w:val="20"/>
          <w:szCs w:val="20"/>
          <w:color w:val="auto"/>
        </w:rPr>
      </w:pPr>
    </w:p>
    <w:p>
      <w:pPr>
        <w:jc w:val="both"/>
        <w:spacing w:after="0" w:line="234" w:lineRule="auto"/>
        <w:rPr>
          <w:sz w:val="20"/>
          <w:szCs w:val="20"/>
          <w:color w:val="auto"/>
        </w:rPr>
      </w:pPr>
      <w:r>
        <w:rPr>
          <w:rFonts w:ascii="Calibri" w:cs="Calibri" w:eastAsia="Calibri" w:hAnsi="Calibri"/>
          <w:sz w:val="10"/>
          <w:szCs w:val="10"/>
          <w:i w:val="1"/>
          <w:iCs w:val="1"/>
          <w:color w:val="auto"/>
        </w:rPr>
        <w:t>Except for specifc historical informaton, many of the maters discussed in this press release may express or imply projectons of revenues or expenditures, statements of plans and objectves or future operatons or statements of future economic performance. These statements may discuss goals, intentons and expectatons as to future trends, plans, events, results of operatons or fnancial conditon, or state other informaton relatng to NN, Inc. (the “Company”) based on current beliefs of management as well as assumptons made by, and informaton currently available to, management. Forward-looking statements generally will be accompanied by words such as “antcipate,” “believe,” “could,” “estmate,” “expect,” “forecast,” “guidance,” “intend,” “may,” “possible,” “potental,” “predict,” “project” or other similar words, phrases or expressions. Forward-looking statements involve a number of risks and uncertaintes that are outside of management’s control and that may cause actual results to be materially diferent from such forward-looking statements. Such factors include, among others, general economic conditons and economic conditons in the industrial sector; the impacts of pandemics, epidemics, disease outbreaks and other public health crises on our fnancial conditon, business operatons and liquidity; compettve infuences; risks that current customers will commence or increase captve producton; risks of capacity underutlizaton; quality issues; material changes in the costs and availability of raw materials; economic, social, politcal and geopolitcal instability, military confict, currency fuctuaton, and other risks of doing business outside of the United States; infatonary pressures and changes in the cost or availability of materials, supply chain shortages and disruptons, the availability of labor and labor disruptons along the supply chain; our dependence on certain major customers, some of whom are not partes to long-term agreements (and/or are terminable on short notce); the impact of acquisitons and divesttures, as well as expansion of end markets and product oferings; our ability to hire or retain key personnel; the level of our indebtedness; the restrictons contained in our debt agreements; our ability to obtain fnancing at favorable rates, if at all, and to refnance existng debt as it matures; our ability to secure, maintain or enforce patents or other appropriate protectons for our intellectual property; new laws and governmental regulatons; the impact of climate change on our operatons; and cyber liability or potental liability for breaches of our or our service providers’ informaton technology systems or business operatons disruptons. The foregoing factors should not be construed as exhaustve and should be read in conjuncton with the sectons enttled “Risk Factors” and “Management’s Discussion and Analysis of Financial Conditon and Results of Operatons” included in the Company’s flings made with the Securites and Exchange Commission. Any forward-looking statement speaks only as of the date of this press release, and the Company undertakes no obligaton to publicly update or review any forward-looking statement, whether as a result of new informaton, future developments or otherwise, except as required by law. New risks and uncertaintes may emerge from tme to tme, and it is not possible for the Company to predict their occurrence or how they will afect the Company. The Company qualifes all forward-looking statements by these cautonary statements.</w:t>
      </w:r>
    </w:p>
    <w:p>
      <w:pPr>
        <w:spacing w:after="0" w:line="172" w:lineRule="exact"/>
        <w:rPr>
          <w:sz w:val="20"/>
          <w:szCs w:val="20"/>
          <w:color w:val="auto"/>
        </w:rPr>
      </w:pPr>
    </w:p>
    <w:p>
      <w:pPr>
        <w:ind w:right="60"/>
        <w:spacing w:after="0" w:line="233" w:lineRule="auto"/>
        <w:rPr>
          <w:sz w:val="20"/>
          <w:szCs w:val="20"/>
          <w:color w:val="auto"/>
        </w:rPr>
      </w:pPr>
      <w:r>
        <w:rPr>
          <w:rFonts w:ascii="Calibri" w:cs="Calibri" w:eastAsia="Calibri" w:hAnsi="Calibri"/>
          <w:sz w:val="10"/>
          <w:szCs w:val="10"/>
          <w:i w:val="1"/>
          <w:iCs w:val="1"/>
          <w:color w:val="auto"/>
        </w:rPr>
        <w:t>With respect to any non-GAAP fnancial measures included in the following document, the accompanying informaton required by SEC Regulaton G can be found in the back of this document or in the “Investors” secton of the Company’s web site, www.nninc.com, under the heading “News &amp; Events” and subheading “Presentatons.”</w:t>
      </w:r>
    </w:p>
    <w:p>
      <w:pPr>
        <w:spacing w:after="0" w:line="149"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&amp; Media Contacts:</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Joe Caminit or Stephen Poe</w:t>
      </w:r>
    </w:p>
    <w:p>
      <w:pPr>
        <w:spacing w:after="0" w:line="231" w:lineRule="auto"/>
        <w:rPr>
          <w:sz w:val="20"/>
          <w:szCs w:val="20"/>
          <w:color w:val="auto"/>
        </w:rPr>
      </w:pPr>
      <w:r>
        <w:rPr>
          <w:rFonts w:ascii="Calibri" w:cs="Calibri" w:eastAsia="Calibri" w:hAnsi="Calibri"/>
          <w:sz w:val="13"/>
          <w:szCs w:val="13"/>
          <w:color w:val="auto"/>
        </w:rPr>
        <w:t>NNBR@alpha-ir.com</w:t>
      </w:r>
    </w:p>
    <w:p>
      <w:pPr>
        <w:spacing w:after="0" w:line="4" w:lineRule="exact"/>
        <w:rPr>
          <w:sz w:val="20"/>
          <w:szCs w:val="20"/>
          <w:color w:val="auto"/>
        </w:rPr>
      </w:pPr>
    </w:p>
    <w:p>
      <w:pPr>
        <w:spacing w:after="0"/>
        <w:rPr>
          <w:sz w:val="20"/>
          <w:szCs w:val="20"/>
          <w:color w:val="auto"/>
        </w:rPr>
      </w:pPr>
      <w:r>
        <w:rPr>
          <w:rFonts w:ascii="Calibri" w:cs="Calibri" w:eastAsia="Calibri" w:hAnsi="Calibri"/>
          <w:sz w:val="13"/>
          <w:szCs w:val="13"/>
          <w:color w:val="auto"/>
        </w:rPr>
        <w:t>312-445-2870</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Financial Tables Follow</w:t>
      </w:r>
    </w:p>
    <w:p>
      <w:pPr>
        <w:spacing w:after="0" w:line="138"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5</w:t>
      </w:r>
    </w:p>
    <w:p>
      <w:pPr>
        <w:sectPr>
          <w:pgSz w:w="11900" w:h="16838" w:orient="portrait"/>
          <w:cols w:equalWidth="0" w:num="1">
            <w:col w:w="11300"/>
          </w:cols>
          <w:pgMar w:left="300" w:top="670"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Income (Loss)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20" w:type="dxa"/>
            <w:vAlign w:val="bottom"/>
          </w:tcPr>
          <w:p>
            <w:pPr>
              <w:spacing w:after="0"/>
              <w:rPr>
                <w:sz w:val="10"/>
                <w:szCs w:val="10"/>
                <w:color w:val="auto"/>
              </w:rPr>
            </w:pPr>
          </w:p>
        </w:tc>
      </w:tr>
      <w:tr>
        <w:trPr>
          <w:trHeight w:val="125"/>
        </w:trPr>
        <w:tc>
          <w:tcPr>
            <w:tcW w:w="60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0"/>
                <w:szCs w:val="10"/>
                <w:color w:val="auto"/>
              </w:rPr>
            </w:pPr>
          </w:p>
        </w:tc>
      </w:tr>
      <w:tr>
        <w:trPr>
          <w:trHeight w:val="127"/>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113,587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124,443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357,777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376,737</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97,131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104,543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299,474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320,648</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10,257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11,693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37,116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35,833</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10,844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11,577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35,152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34,643</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(3,285)</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w:t>
            </w:r>
          </w:p>
        </w:tc>
      </w:tr>
      <w:tr>
        <w:trPr>
          <w:trHeight w:val="142"/>
        </w:trPr>
        <w:tc>
          <w:tcPr>
            <w:tcW w:w="6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(13,861)</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5,404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5,739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16,643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15,484</w:t>
            </w:r>
          </w:p>
        </w:tc>
      </w:tr>
      <w:tr>
        <w:trPr>
          <w:trHeight w:val="15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(5,315)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(4,623)</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1,970</w:t>
            </w:r>
          </w:p>
        </w:tc>
      </w:tr>
      <w:tr>
        <w:trPr>
          <w:trHeight w:val="14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benefit (provision) for income taxes and share of net income from joint venture</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(31,315)</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Benefit (provision) for income taxes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245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2,185</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1,713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6,597</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3,087</w:t>
            </w:r>
          </w:p>
        </w:tc>
      </w:tr>
      <w:tr>
        <w:trPr>
          <w:trHeight w:val="158"/>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(5,057)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(17,297)</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(29,609)</w:t>
            </w:r>
          </w:p>
        </w:tc>
      </w:tr>
      <w:tr>
        <w:trPr>
          <w:trHeight w:val="135"/>
        </w:trPr>
        <w:tc>
          <w:tcPr>
            <w:tcW w:w="6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3"/>
        </w:trPr>
        <w:tc>
          <w:tcPr>
            <w:tcW w:w="6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currency transaction gain (loss)</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3,970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(3,606)</w:t>
            </w:r>
          </w:p>
        </w:tc>
      </w:tr>
      <w:tr>
        <w:trPr>
          <w:trHeight w:val="15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6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Change in fair value, net of tax</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r>
      <w:tr>
        <w:trPr>
          <w:trHeight w:val="153"/>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Reclassification adjustments included in net loss, net of tax</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w:t>
            </w:r>
          </w:p>
        </w:tc>
      </w:tr>
      <w:tr>
        <w:trPr>
          <w:trHeight w:val="142"/>
        </w:trPr>
        <w:tc>
          <w:tcPr>
            <w:tcW w:w="60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3,861</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(3,521)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(2,770)</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(5,202)</w:t>
            </w:r>
          </w:p>
        </w:tc>
      </w:tr>
      <w:tr>
        <w:trPr>
          <w:trHeight w:val="162"/>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1,304</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(20,067)</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(34,811)</w:t>
            </w:r>
          </w:p>
        </w:tc>
      </w:tr>
      <w:tr>
        <w:trPr>
          <w:trHeight w:val="131"/>
        </w:trPr>
        <w:tc>
          <w:tcPr>
            <w:tcW w:w="602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Basic and diluted net loss per common share:</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(0.84)</w:t>
            </w:r>
          </w:p>
        </w:tc>
      </w:tr>
      <w:tr>
        <w:trPr>
          <w:trHeight w:val="155"/>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Shares used to calculate basic and diluted net loss per share</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48,997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47,539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48,522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46,410</w:t>
            </w:r>
          </w:p>
        </w:tc>
      </w:tr>
      <w:tr>
        <w:trPr>
          <w:trHeight w:val="372"/>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3"/>
                <w:szCs w:val="13"/>
                <w:color w:val="auto"/>
              </w:rPr>
              <w:t>6</w:t>
            </w:r>
          </w:p>
        </w:tc>
      </w:tr>
    </w:tbl>
    <w:p>
      <w:pPr>
        <w:sectPr>
          <w:pgSz w:w="11900" w:h="16838" w:orient="portrait"/>
          <w:cols w:equalWidth="0" w:num="1">
            <w:col w:w="11300"/>
          </w:cols>
          <w:pgMar w:left="300" w:top="674" w:right="299" w:bottom="1440" w:gutter="0" w:footer="0" w:header="0"/>
        </w:sectPr>
      </w:pPr>
    </w:p>
    <w:bookmarkStart w:id="9" w:name="page10"/>
    <w:bookmarkEnd w:id="9"/>
    <w:p>
      <w:pPr>
        <w:ind w:left="54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220" w:type="dxa"/>
            <w:vAlign w:val="bottom"/>
          </w:tcPr>
          <w:p>
            <w:pPr>
              <w:spacing w:after="0"/>
              <w:rPr>
                <w:sz w:val="10"/>
                <w:szCs w:val="1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20" w:type="dxa"/>
            <w:vAlign w:val="bottom"/>
          </w:tcPr>
          <w:p>
            <w:pPr>
              <w:spacing w:after="0"/>
              <w:rPr>
                <w:sz w:val="10"/>
                <w:szCs w:val="10"/>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8660" w:type="dxa"/>
            <w:vAlign w:val="bottom"/>
            <w:tcBorders>
              <w:bottom w:val="single" w:sz="8" w:color="BFE4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BFE4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37"/>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12,449</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21,903</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64,447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65,545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69,600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71,563</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receivable</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12,956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11,885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Prepaid assets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4,095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2,464</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assets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10,357</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9,194</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173,904</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182,554</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172,947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185,812</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40,821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43,357</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47,816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58,724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Investment in joint venture</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39,843</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32,701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6,590</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7,003</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483,098</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510,885</w:t>
            </w:r>
          </w:p>
        </w:tc>
        <w:tc>
          <w:tcPr>
            <w:tcW w:w="0" w:type="dxa"/>
            <w:vAlign w:val="bottom"/>
          </w:tcPr>
          <w:p>
            <w:pPr>
              <w:spacing w:after="0"/>
              <w:rPr>
                <w:sz w:val="1"/>
                <w:szCs w:val="1"/>
                <w:color w:val="auto"/>
              </w:rPr>
            </w:pPr>
          </w:p>
        </w:tc>
      </w:tr>
      <w:tr>
        <w:trPr>
          <w:trHeight w:val="135"/>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Preferred Stock, and Stockholders’ Equity</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44,983</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45,480</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salaries, wages and benefits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15,027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15,464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Income tax payable</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546</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524</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Short-term debt and current maturities of long-term debt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8,085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3,910</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5,805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5,735</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14,126</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10,506</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88,572</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81,619</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4,988</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Long-term debt, net of current maturities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135,548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149,369</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44,001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47,281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14,154</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24,827</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287,235</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308,084</w:t>
            </w:r>
          </w:p>
        </w:tc>
        <w:tc>
          <w:tcPr>
            <w:tcW w:w="0" w:type="dxa"/>
            <w:vAlign w:val="bottom"/>
          </w:tcPr>
          <w:p>
            <w:pPr>
              <w:spacing w:after="0"/>
              <w:rPr>
                <w:sz w:val="1"/>
                <w:szCs w:val="1"/>
                <w:color w:val="auto"/>
              </w:rPr>
            </w:pPr>
          </w:p>
        </w:tc>
      </w:tr>
      <w:tr>
        <w:trPr>
          <w:trHeight w:val="133"/>
        </w:trPr>
        <w:tc>
          <w:tcPr>
            <w:tcW w:w="8660" w:type="dxa"/>
            <w:vAlign w:val="bottom"/>
            <w:shd w:val="clear" w:color="auto" w:fill="BFE4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Series D perpetual preferred stock</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89,289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77,799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459,245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457,632</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(312,645)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(295,348)</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(40,525)</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(37,755)</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106,574</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125,002</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 preferred stock, and stockholders’ equity</w:t>
            </w: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483,098</w:t>
            </w:r>
          </w:p>
        </w:tc>
        <w:tc>
          <w:tcPr>
            <w:tcW w:w="80" w:type="dxa"/>
            <w:vAlign w:val="bottom"/>
            <w:tcBorders>
              <w:bottom w:val="single" w:sz="8" w:color="BFE4FF"/>
            </w:tcBorders>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510,885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7</w:t>
      </w:r>
    </w:p>
    <w:p>
      <w:pPr>
        <w:sectPr>
          <w:pgSz w:w="11900" w:h="16838" w:orient="portrait"/>
          <w:cols w:equalWidth="0" w:num="1">
            <w:col w:w="11300"/>
          </w:cols>
          <w:pgMar w:left="300" w:top="674"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00" w:type="dxa"/>
            <w:vAlign w:val="bottom"/>
          </w:tcPr>
          <w:p>
            <w:pPr>
              <w:spacing w:after="0"/>
              <w:rPr>
                <w:sz w:val="10"/>
                <w:szCs w:val="10"/>
                <w:color w:val="auto"/>
              </w:rPr>
            </w:pPr>
          </w:p>
        </w:tc>
      </w:tr>
      <w:tr>
        <w:trPr>
          <w:trHeight w:val="125"/>
        </w:trPr>
        <w:tc>
          <w:tcPr>
            <w:tcW w:w="84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0"/>
                <w:szCs w:val="10"/>
                <w:color w:val="auto"/>
              </w:rPr>
            </w:pPr>
          </w:p>
        </w:tc>
      </w:tr>
      <w:tr>
        <w:trPr>
          <w:trHeight w:val="12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(17,297)</w:t>
            </w:r>
          </w:p>
        </w:tc>
        <w:tc>
          <w:tcPr>
            <w:tcW w:w="12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(29,609)</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35,152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34,643</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Paid-in-kind interest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derivative loss, net of cash settlements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3,139</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 of net income from joint venture, net of cash dividends received</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Gain on sale of business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(7,154)</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2,058</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(1,531)</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Inventories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9,692</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Other operating assets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(8,223)</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Income taxes receivable and payable, net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5,240</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operating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2,739</w:t>
            </w:r>
          </w:p>
        </w:tc>
        <w:tc>
          <w:tcPr>
            <w:tcW w:w="12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5,747</w:t>
            </w:r>
          </w:p>
        </w:tc>
      </w:tr>
      <w:tr>
        <w:trPr>
          <w:trHeight w:val="142"/>
        </w:trPr>
        <w:tc>
          <w:tcPr>
            <w:tcW w:w="8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4,389</w:t>
            </w: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23,890</w:t>
            </w:r>
          </w:p>
        </w:tc>
      </w:tr>
      <w:tr>
        <w:trPr>
          <w:trHeight w:val="133"/>
        </w:trPr>
        <w:tc>
          <w:tcPr>
            <w:tcW w:w="8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(15,352)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(16,292)</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2,876</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Proceeds received from sale of business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17,000</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1,914</w:t>
            </w:r>
          </w:p>
        </w:tc>
        <w:tc>
          <w:tcPr>
            <w:tcW w:w="1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(13,416)</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52,000</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(75,320)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(55,522)</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debt issuance costs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sale-leaseback of land and buildings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financing obligations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short-term debt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3,648</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(2,262)</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(1,276)</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(15,633)</w:t>
            </w:r>
          </w:p>
        </w:tc>
        <w:tc>
          <w:tcPr>
            <w:tcW w:w="1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(1,205)</w:t>
            </w:r>
          </w:p>
        </w:tc>
      </w:tr>
      <w:tr>
        <w:trPr>
          <w:trHeight w:val="142"/>
        </w:trPr>
        <w:tc>
          <w:tcPr>
            <w:tcW w:w="8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Effect of exchange rate changes on cash flows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(9,454)</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8,982</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21,903</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12,808</w:t>
            </w:r>
          </w:p>
        </w:tc>
      </w:tr>
      <w:tr>
        <w:trPr>
          <w:trHeight w:val="158"/>
        </w:trPr>
        <w:tc>
          <w:tcPr>
            <w:tcW w:w="846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quarter</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12,449</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21,790</w:t>
            </w:r>
          </w:p>
        </w:tc>
      </w:tr>
    </w:tbl>
    <w:p>
      <w:pPr>
        <w:spacing w:after="0" w:line="35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8</w:t>
      </w:r>
    </w:p>
    <w:p>
      <w:pPr>
        <w:sectPr>
          <w:pgSz w:w="11900" w:h="16838" w:orient="portrait"/>
          <w:cols w:equalWidth="0" w:num="1">
            <w:col w:w="11300"/>
          </w:cols>
          <w:pgMar w:left="300" w:top="674"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0"/>
          </w:cols>
          <w:pgMar w:left="300" w:top="674" w:right="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NN, Inc.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34899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loss from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34899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8990" cy="914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7"/>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(3,750)</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(2,739)</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903</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874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1,893</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3,405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3,563</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1,285</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3,652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2.9 %</w:t>
            </w:r>
          </w:p>
        </w:tc>
      </w:tr>
      <w:tr>
        <w:trPr>
          <w:trHeight w:val="198"/>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113,587</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124,443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r>
      <w:tr>
        <w:trPr>
          <w:trHeight w:val="171"/>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Mobile Solutions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loss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(1,283)</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120" w:type="dxa"/>
            <w:vAlign w:val="bottom"/>
          </w:tcPr>
          <w:p>
            <w:pPr>
              <w:spacing w:after="0"/>
              <w:rPr>
                <w:sz w:val="15"/>
                <w:szCs w:val="15"/>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462</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1,569</w:t>
            </w: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r>
      <w:tr>
        <w:trPr>
          <w:trHeight w:val="15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1,586</w:t>
            </w:r>
          </w:p>
        </w:tc>
      </w:tr>
      <w:tr>
        <w:trPr>
          <w:trHeight w:val="126"/>
        </w:trPr>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2,185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1,713</w:t>
            </w:r>
          </w:p>
        </w:tc>
      </w:tr>
      <w:tr>
        <w:trPr>
          <w:trHeight w:val="185"/>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with JV (a)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3,038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3,299</w:t>
            </w:r>
          </w:p>
        </w:tc>
      </w:tr>
      <w:tr>
        <w:trPr>
          <w:trHeight w:val="126"/>
        </w:trPr>
        <w:tc>
          <w:tcPr>
            <w:tcW w:w="3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4.2 %</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70,678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78,961</w:t>
            </w:r>
          </w:p>
        </w:tc>
      </w:tr>
    </w:tbl>
    <w:p>
      <w:pPr>
        <w:spacing w:after="0" w:line="200"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income from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34899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8990" cy="971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334899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9"/>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2,505</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3,936</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122</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324</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2,567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2,725</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5,201</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7,107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0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15.6 %</w:t>
            </w:r>
          </w:p>
        </w:tc>
      </w:tr>
      <w:tr>
        <w:trPr>
          <w:trHeight w:val="198"/>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42,935</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45,484</w:t>
            </w:r>
          </w:p>
        </w:tc>
      </w:tr>
    </w:tbl>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w:t>
            </w:r>
          </w:p>
        </w:tc>
      </w:tr>
      <w:tr>
        <w:trPr>
          <w:trHeight w:val="178"/>
        </w:trPr>
        <w:tc>
          <w:tcPr>
            <w:tcW w:w="32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Elimination</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60"/>
        </w:trPr>
        <w:tc>
          <w:tcPr>
            <w:tcW w:w="3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w:t>
            </w:r>
          </w:p>
        </w:tc>
      </w:tr>
    </w:tbl>
    <w:p>
      <w:pPr>
        <w:spacing w:after="0" w:line="1180"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79"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9</w:t>
      </w:r>
    </w:p>
    <w:p>
      <w:pPr>
        <w:sectPr>
          <w:pgSz w:w="11900" w:h="16838" w:orient="portrait"/>
          <w:cols w:equalWidth="0" w:num="1">
            <w:col w:w="11300"/>
          </w:cols>
          <w:pgMar w:left="300" w:top="674" w:right="299" w:bottom="1440" w:gutter="0" w:footer="0" w:header="0"/>
          <w:type w:val="continuous"/>
        </w:sectPr>
      </w:pPr>
    </w:p>
    <w:bookmarkStart w:id="12" w:name="page13"/>
    <w:bookmarkEnd w:id="12"/>
    <w:tbl>
      <w:tblPr>
        <w:tblLayout w:type="fixed"/>
        <w:tblInd w:w="420" w:type="dxa"/>
        <w:tblCellMar>
          <w:top w:w="0" w:type="dxa"/>
          <w:left w:w="0" w:type="dxa"/>
          <w:bottom w:w="0" w:type="dxa"/>
          <w:right w:w="0" w:type="dxa"/>
        </w:tblCellMar>
      </w:tblPr>
      <w:tr>
        <w:trPr>
          <w:trHeight w:val="159"/>
        </w:trPr>
        <w:tc>
          <w:tcPr>
            <w:tcW w:w="6820" w:type="dxa"/>
            <w:vAlign w:val="bottom"/>
            <w:gridSpan w:val="4"/>
          </w:tcPr>
          <w:p>
            <w:pPr>
              <w:ind w:left="212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r>
      <w:tr>
        <w:trPr>
          <w:trHeight w:val="142"/>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(2,557)</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(5,057)</w:t>
            </w: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Benefit (provision) for income taxes</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903</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(245)</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5,404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5,739</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Change in fair value of preferred stock derivatives and warrants</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1,858</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(2,104)</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Gain on sale of business</w:t>
            </w:r>
          </w:p>
        </w:tc>
        <w:tc>
          <w:tcPr>
            <w:tcW w:w="280" w:type="dxa"/>
            <w:vAlign w:val="bottom"/>
          </w:tcPr>
          <w:p>
            <w:pPr>
              <w:spacing w:after="0"/>
              <w:rPr>
                <w:sz w:val="13"/>
                <w:szCs w:val="13"/>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(7,154)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10,844</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11,577</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Professional fees</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734</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903</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874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1,893</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Non-cash stock compensation</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812</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1,208</w:t>
            </w:r>
          </w:p>
        </w:tc>
      </w:tr>
      <w:tr>
        <w:trPr>
          <w:trHeight w:val="180"/>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Non-cash foreign exchange (gain) loss on inter-company loans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(164)</w:t>
            </w:r>
          </w:p>
        </w:tc>
        <w:tc>
          <w:tcPr>
            <w:tcW w:w="8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520</w:t>
            </w:r>
          </w:p>
        </w:tc>
      </w:tr>
      <w:tr>
        <w:trPr>
          <w:trHeight w:val="158"/>
        </w:trPr>
        <w:tc>
          <w:tcPr>
            <w:tcW w:w="54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EBITDA (b)</w:t>
            </w:r>
          </w:p>
        </w:tc>
        <w:tc>
          <w:tcPr>
            <w:tcW w:w="280" w:type="dxa"/>
            <w:vAlign w:val="bottom"/>
            <w:tcBorders>
              <w:bottom w:val="single" w:sz="8" w:color="auto"/>
            </w:tcBorders>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11,576</w:t>
            </w:r>
          </w:p>
        </w:tc>
        <w:tc>
          <w:tcPr>
            <w:tcW w:w="80" w:type="dxa"/>
            <w:vAlign w:val="bottom"/>
            <w:tcBorders>
              <w:bottom w:val="single" w:sz="8" w:color="BFE4FF"/>
            </w:tcBorders>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14,466</w:t>
            </w:r>
          </w:p>
        </w:tc>
      </w:tr>
      <w:tr>
        <w:trPr>
          <w:trHeight w:val="153"/>
        </w:trPr>
        <w:tc>
          <w:tcPr>
            <w:tcW w:w="5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EBITDA margin (3)</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10.2 %</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11.6 %</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113,587</w:t>
            </w:r>
          </w:p>
        </w:tc>
        <w:tc>
          <w:tcPr>
            <w:tcW w:w="8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124,443</w:t>
            </w:r>
          </w:p>
        </w:tc>
      </w:tr>
    </w:tbl>
    <w:p>
      <w:pPr>
        <w:spacing w:after="0" w:line="252" w:lineRule="exact"/>
        <w:rPr>
          <w:sz w:val="20"/>
          <w:szCs w:val="20"/>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35"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116"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10</w:t>
      </w:r>
    </w:p>
    <w:p>
      <w:pPr>
        <w:sectPr>
          <w:pgSz w:w="11900" w:h="16838" w:orient="portrait"/>
          <w:cols w:equalWidth="0" w:num="1">
            <w:col w:w="10160"/>
          </w:cols>
          <w:pgMar w:left="1440" w:top="674"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Net Income and GAAP Net Income (Loss) per Diluted Common Share to Non-GAAP Adjusted Net Income (Loss) per Diluted Common Share</w:t>
      </w:r>
    </w:p>
    <w:p>
      <w:pPr>
        <w:spacing w:after="0" w:line="33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(2,557)</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(5,057)</w:t>
            </w:r>
          </w:p>
        </w:tc>
      </w:tr>
      <w:tr>
        <w:trPr>
          <w:trHeight w:val="180"/>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903</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874</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1,893</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1,858</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(2,104)</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gain on sale of business</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4,018</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4,092</w:t>
            </w:r>
          </w:p>
        </w:tc>
      </w:tr>
      <w:tr>
        <w:trPr>
          <w:trHeight w:val="153"/>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Tax effect of adjustments reflected above (c)</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4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158"/>
        </w:trPr>
        <w:tc>
          <w:tcPr>
            <w:tcW w:w="65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(d)</w:t>
            </w:r>
          </w:p>
        </w:tc>
        <w:tc>
          <w:tcPr>
            <w:tcW w:w="280" w:type="dxa"/>
            <w:vAlign w:val="bottom"/>
            <w:tcBorders>
              <w:bottom w:val="single" w:sz="8" w:color="auto"/>
            </w:tcBorders>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(2,482)</w:t>
            </w:r>
          </w:p>
        </w:tc>
        <w:tc>
          <w:tcPr>
            <w:tcW w:w="140" w:type="dxa"/>
            <w:vAlign w:val="bottom"/>
            <w:tcBorders>
              <w:bottom w:val="single" w:sz="8" w:color="auto"/>
            </w:tcBorders>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117</w:t>
            </w:r>
          </w:p>
        </w:tc>
      </w:tr>
      <w:tr>
        <w:trPr>
          <w:trHeight w:val="315"/>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(per diluted common share)</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 per diluted common share</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(0.18)</w:t>
            </w:r>
          </w:p>
        </w:tc>
      </w:tr>
      <w:tr>
        <w:trPr>
          <w:trHeight w:val="180"/>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28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0.02</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280" w:type="dxa"/>
            <w:vAlign w:val="bottom"/>
            <w:shd w:val="clear" w:color="auto" w:fill="BFE4FF"/>
          </w:tcPr>
          <w:p>
            <w:pPr>
              <w:spacing w:after="0"/>
              <w:rPr>
                <w:sz w:val="13"/>
                <w:szCs w:val="1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change in gain on sale of business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0.09</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Preferred stock cumulative dividends and deemed dividends</w:t>
            </w:r>
          </w:p>
        </w:tc>
        <w:tc>
          <w:tcPr>
            <w:tcW w:w="280" w:type="dxa"/>
            <w:vAlign w:val="bottom"/>
            <w:tcBorders>
              <w:bottom w:val="single" w:sz="8" w:color="auto"/>
            </w:tcBorders>
            <w:shd w:val="clear" w:color="auto" w:fill="BFE4FF"/>
          </w:tcPr>
          <w:p>
            <w:pPr>
              <w:spacing w:after="0"/>
              <w:rPr>
                <w:sz w:val="13"/>
                <w:szCs w:val="13"/>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spacing w:after="0"/>
              <w:rPr>
                <w:sz w:val="13"/>
                <w:szCs w:val="13"/>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0.07</w:t>
            </w:r>
          </w:p>
        </w:tc>
      </w:tr>
      <w:tr>
        <w:trPr>
          <w:trHeight w:val="158"/>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per diluted common share (d)</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14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Shares used to calculate net earnings (loss) per share</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48,997</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47,539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11</w:t>
      </w:r>
    </w:p>
    <w:p>
      <w:pPr>
        <w:sectPr>
          <w:pgSz w:w="11900" w:h="16838" w:orient="portrait"/>
          <w:cols w:equalWidth="0" w:num="1">
            <w:col w:w="11020"/>
          </w:cols>
          <w:pgMar w:left="580" w:top="674" w:right="299" w:bottom="1440" w:gutter="0" w:footer="0" w:header="0"/>
        </w:sectPr>
      </w:pPr>
    </w:p>
    <w:bookmarkStart w:id="14" w:name="page15"/>
    <w:bookmarkEnd w:id="14"/>
    <w:tbl>
      <w:tblPr>
        <w:tblLayout w:type="fixed"/>
        <w:tblInd w:w="660" w:type="dxa"/>
        <w:tblCellMar>
          <w:top w:w="0" w:type="dxa"/>
          <w:left w:w="0" w:type="dxa"/>
          <w:bottom w:w="0" w:type="dxa"/>
          <w:right w:w="0" w:type="dxa"/>
        </w:tblCellMar>
      </w:tblPr>
      <w:tr>
        <w:trPr>
          <w:trHeight w:val="159"/>
        </w:trPr>
        <w:tc>
          <w:tcPr>
            <w:tcW w:w="2340" w:type="dxa"/>
            <w:vAlign w:val="bottom"/>
          </w:tcPr>
          <w:p>
            <w:pPr>
              <w:spacing w:after="0"/>
              <w:rPr>
                <w:sz w:val="13"/>
                <w:szCs w:val="13"/>
                <w:color w:val="auto"/>
              </w:rPr>
            </w:pPr>
          </w:p>
        </w:tc>
        <w:tc>
          <w:tcPr>
            <w:tcW w:w="3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Reconciliation of Operating Cash Flow to Free Cash Flow</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2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23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640" w:type="dxa"/>
            <w:vAlign w:val="bottom"/>
            <w:tcBorders>
              <w:bottom w:val="single" w:sz="8" w:color="BFE4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00" w:type="dxa"/>
            <w:vAlign w:val="bottom"/>
            <w:tcBorders>
              <w:bottom w:val="single" w:sz="8" w:color="BFE4FF"/>
            </w:tcBorders>
          </w:tcPr>
          <w:p>
            <w:pPr>
              <w:spacing w:after="0"/>
              <w:rPr>
                <w:sz w:val="12"/>
                <w:szCs w:val="12"/>
                <w:color w:val="auto"/>
              </w:rPr>
            </w:pPr>
          </w:p>
        </w:tc>
      </w:tr>
      <w:tr>
        <w:trPr>
          <w:trHeight w:val="142"/>
        </w:trPr>
        <w:tc>
          <w:tcPr>
            <w:tcW w:w="2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640" w:type="dxa"/>
            <w:vAlign w:val="bottom"/>
            <w:shd w:val="clear" w:color="auto" w:fill="BFE4FF"/>
          </w:tcPr>
          <w:p>
            <w:pPr>
              <w:spacing w:after="0"/>
              <w:rPr>
                <w:sz w:val="12"/>
                <w:szCs w:val="12"/>
                <w:color w:val="auto"/>
              </w:rPr>
            </w:pPr>
          </w:p>
        </w:tc>
        <w:tc>
          <w:tcPr>
            <w:tcW w:w="420" w:type="dxa"/>
            <w:vAlign w:val="bottom"/>
            <w:shd w:val="clear" w:color="auto" w:fill="BFE4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4,958</w:t>
            </w:r>
          </w:p>
        </w:tc>
        <w:tc>
          <w:tcPr>
            <w:tcW w:w="100" w:type="dxa"/>
            <w:vAlign w:val="bottom"/>
            <w:shd w:val="clear" w:color="auto" w:fill="BFE4FF"/>
          </w:tcPr>
          <w:p>
            <w:pPr>
              <w:spacing w:after="0"/>
              <w:rPr>
                <w:sz w:val="12"/>
                <w:szCs w:val="12"/>
                <w:color w:val="auto"/>
              </w:rPr>
            </w:pPr>
          </w:p>
        </w:tc>
        <w:tc>
          <w:tcPr>
            <w:tcW w:w="500" w:type="dxa"/>
            <w:vAlign w:val="bottom"/>
            <w:shd w:val="clear" w:color="auto" w:fill="BFE4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15,247</w:t>
            </w:r>
          </w:p>
        </w:tc>
        <w:tc>
          <w:tcPr>
            <w:tcW w:w="100" w:type="dxa"/>
            <w:vAlign w:val="bottom"/>
            <w:shd w:val="clear" w:color="auto" w:fill="BFE4FF"/>
          </w:tcPr>
          <w:p>
            <w:pPr>
              <w:spacing w:after="0"/>
              <w:rPr>
                <w:sz w:val="12"/>
                <w:szCs w:val="12"/>
                <w:color w:val="auto"/>
              </w:rPr>
            </w:pPr>
          </w:p>
        </w:tc>
      </w:tr>
      <w:tr>
        <w:trPr>
          <w:trHeight w:val="153"/>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2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(4,096)</w:t>
            </w:r>
          </w:p>
        </w:tc>
        <w:tc>
          <w:tcPr>
            <w:tcW w:w="100" w:type="dxa"/>
            <w:vAlign w:val="bottom"/>
          </w:tcPr>
          <w:p>
            <w:pPr>
              <w:spacing w:after="0"/>
              <w:rPr>
                <w:sz w:val="13"/>
                <w:szCs w:val="13"/>
                <w:color w:val="auto"/>
              </w:rPr>
            </w:pPr>
          </w:p>
        </w:tc>
      </w:tr>
      <w:tr>
        <w:trPr>
          <w:trHeight w:val="153"/>
        </w:trPr>
        <w:tc>
          <w:tcPr>
            <w:tcW w:w="5400" w:type="dxa"/>
            <w:vAlign w:val="bottom"/>
            <w:gridSpan w:val="3"/>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8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BFE4FF"/>
          </w:tcPr>
          <w:p>
            <w:pPr>
              <w:spacing w:after="0"/>
              <w:rPr>
                <w:sz w:val="13"/>
                <w:szCs w:val="13"/>
                <w:color w:val="auto"/>
              </w:rPr>
            </w:pPr>
          </w:p>
        </w:tc>
        <w:tc>
          <w:tcPr>
            <w:tcW w:w="500" w:type="dxa"/>
            <w:vAlign w:val="bottom"/>
            <w:shd w:val="clear" w:color="auto" w:fill="BFE4FF"/>
          </w:tcPr>
          <w:p>
            <w:pPr>
              <w:spacing w:after="0"/>
              <w:rPr>
                <w:sz w:val="13"/>
                <w:szCs w:val="13"/>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shd w:val="clear" w:color="auto" w:fill="BFE4FF"/>
          </w:tcPr>
          <w:p>
            <w:pPr>
              <w:spacing w:after="0"/>
              <w:rPr>
                <w:sz w:val="13"/>
                <w:szCs w:val="13"/>
                <w:color w:val="auto"/>
              </w:rPr>
            </w:pPr>
          </w:p>
        </w:tc>
      </w:tr>
      <w:tr>
        <w:trPr>
          <w:trHeight w:val="153"/>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Transaction costs incurred from sale of business</w:t>
            </w:r>
          </w:p>
        </w:tc>
        <w:tc>
          <w:tcPr>
            <w:tcW w:w="2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234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Free cash flow</w:t>
            </w:r>
          </w:p>
        </w:tc>
        <w:tc>
          <w:tcPr>
            <w:tcW w:w="2640" w:type="dxa"/>
            <w:vAlign w:val="bottom"/>
            <w:tcBorders>
              <w:top w:val="single" w:sz="8" w:color="BFE4FF"/>
              <w:bottom w:val="single" w:sz="8" w:color="BFE4FF"/>
            </w:tcBorders>
            <w:shd w:val="clear" w:color="auto" w:fill="BFE4FF"/>
          </w:tcPr>
          <w:p>
            <w:pPr>
              <w:spacing w:after="0"/>
              <w:rPr>
                <w:sz w:val="13"/>
                <w:szCs w:val="13"/>
                <w:color w:val="auto"/>
              </w:rPr>
            </w:pPr>
          </w:p>
        </w:tc>
        <w:tc>
          <w:tcPr>
            <w:tcW w:w="420" w:type="dxa"/>
            <w:vAlign w:val="bottom"/>
            <w:tcBorders>
              <w:top w:val="single" w:sz="8" w:color="auto"/>
              <w:bottom w:val="single" w:sz="8" w:color="auto"/>
            </w:tcBorders>
            <w:shd w:val="clear" w:color="auto" w:fill="BFE4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00" w:type="dxa"/>
            <w:vAlign w:val="bottom"/>
            <w:tcBorders>
              <w:top w:val="single" w:sz="8" w:color="BFE4FF"/>
              <w:bottom w:val="single" w:sz="8" w:color="BFE4FF"/>
            </w:tcBorders>
            <w:shd w:val="clear" w:color="auto" w:fill="BFE4FF"/>
          </w:tcPr>
          <w:p>
            <w:pPr>
              <w:spacing w:after="0"/>
              <w:rPr>
                <w:sz w:val="13"/>
                <w:szCs w:val="13"/>
                <w:color w:val="auto"/>
              </w:rPr>
            </w:pPr>
          </w:p>
        </w:tc>
        <w:tc>
          <w:tcPr>
            <w:tcW w:w="500" w:type="dxa"/>
            <w:vAlign w:val="bottom"/>
            <w:tcBorders>
              <w:top w:val="single" w:sz="8" w:color="auto"/>
              <w:bottom w:val="single" w:sz="8" w:color="auto"/>
            </w:tcBorders>
            <w:shd w:val="clear" w:color="auto" w:fill="BFE4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11,250</w:t>
            </w:r>
          </w:p>
        </w:tc>
        <w:tc>
          <w:tcPr>
            <w:tcW w:w="100" w:type="dxa"/>
            <w:vAlign w:val="bottom"/>
            <w:tcBorders>
              <w:top w:val="single" w:sz="8" w:color="BFE4FF"/>
              <w:bottom w:val="single" w:sz="8" w:color="BFE4FF"/>
            </w:tcBorders>
            <w:shd w:val="clear" w:color="auto" w:fill="BFE4FF"/>
          </w:tcPr>
          <w:p>
            <w:pPr>
              <w:spacing w:after="0"/>
              <w:rPr>
                <w:sz w:val="13"/>
                <w:szCs w:val="13"/>
                <w:color w:val="auto"/>
              </w:rPr>
            </w:pPr>
          </w:p>
        </w:tc>
      </w:tr>
    </w:tbl>
    <w:p>
      <w:pPr>
        <w:spacing w:after="0" w:line="305"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12</w:t>
      </w:r>
    </w:p>
    <w:p>
      <w:pPr>
        <w:sectPr>
          <w:pgSz w:w="11900" w:h="16838" w:orient="portrait"/>
          <w:cols w:equalWidth="0" w:num="1">
            <w:col w:w="10160"/>
          </w:cols>
          <w:pgMar w:left="1440" w:top="872" w:right="299" w:bottom="1440" w:gutter="0" w:footer="0" w:header="0"/>
        </w:sectPr>
      </w:pPr>
    </w:p>
    <w:bookmarkStart w:id="15" w:name="page16"/>
    <w:bookmarkEnd w:id="15"/>
    <w:p>
      <w:pPr>
        <w:ind w:left="8" w:right="100"/>
        <w:spacing w:after="0" w:line="238" w:lineRule="auto"/>
        <w:rPr>
          <w:sz w:val="20"/>
          <w:szCs w:val="20"/>
          <w:color w:val="auto"/>
        </w:rPr>
      </w:pPr>
      <w:r>
        <w:rPr>
          <w:rFonts w:ascii="Calibri" w:cs="Calibri" w:eastAsia="Calibri" w:hAnsi="Calibri"/>
          <w:sz w:val="11"/>
          <w:szCs w:val="11"/>
          <w:i w:val="1"/>
          <w:iCs w:val="1"/>
          <w:color w:val="auto"/>
        </w:rPr>
        <w:t>The Company discloses in this presentaton the non-GAAP fnancial measures of adjusted income (loss) from operatons, adjusted EBITDA, adjusted net income (loss), adjusted net income (loss) per diluted common share, and free cash fow. Each of these non-GAAP fnancial measures provides supplementary informaton about the impacts of acquisiton, divestture and integraton related expenses, foreign-exchange impacts on inter-company loans, reorganizatonal and impairment charges. The costs we incur in completng acquisitons, including the amortzaton of intangibles and deferred fnancing costs, and divesttures are excluded from these measures because their size and inconsistent frequency are unrelated to our commercial performance during the period, and we believe are not indicatve of our ongoing operatng costs. We exclude the impact of currency translaton from these measures because foreign exchange rates are not under management’s control and are subject to volatlity. Other non-operatng charges are excluded as the charges are not indicatve of our ongoing operatng cost. We believe the presentaton of adjusted income (loss) from operatons, adjusted EBITDA, adjusted net income (loss), adjusted net income (loss) per diluted common share, and free cash fow provides useful informaton in assessing our underlying business trends and facilitates comparison of our long-term performance over given periods.</w:t>
      </w:r>
    </w:p>
    <w:p>
      <w:pPr>
        <w:spacing w:after="0" w:line="137" w:lineRule="exact"/>
        <w:rPr>
          <w:sz w:val="20"/>
          <w:szCs w:val="20"/>
          <w:color w:val="auto"/>
        </w:rPr>
      </w:pPr>
    </w:p>
    <w:p>
      <w:pPr>
        <w:ind w:left="8" w:right="20"/>
        <w:spacing w:after="0" w:line="236" w:lineRule="auto"/>
        <w:rPr>
          <w:sz w:val="20"/>
          <w:szCs w:val="20"/>
          <w:color w:val="auto"/>
        </w:rPr>
      </w:pPr>
      <w:r>
        <w:rPr>
          <w:rFonts w:ascii="Calibri" w:cs="Calibri" w:eastAsia="Calibri" w:hAnsi="Calibri"/>
          <w:sz w:val="11"/>
          <w:szCs w:val="11"/>
          <w:i w:val="1"/>
          <w:iCs w:val="1"/>
          <w:color w:val="auto"/>
        </w:rPr>
        <w:t>The non-GAAP fnancial measures provided herein may not provide informaton that is directly comparable to that provided by other companies in the Company's industry, as other companies may calculate such fnancial results diferently. The Company's non-GAAP fnancial measures are not measurements of fnancial performance under GAAP and should not be considered as alternatves to actual income growth derived from income amounts presented in accordance with GAAP. The Company does not consider these non-GAAP fnancial measures to be a substtute for, or superior to, the informaton provided by GAAP fnancial results.</w:t>
      </w:r>
    </w:p>
    <w:p>
      <w:pPr>
        <w:spacing w:after="0" w:line="126" w:lineRule="exact"/>
        <w:rPr>
          <w:sz w:val="20"/>
          <w:szCs w:val="20"/>
          <w:color w:val="auto"/>
        </w:rPr>
      </w:pPr>
    </w:p>
    <w:p>
      <w:pPr>
        <w:ind w:left="8" w:right="80" w:hanging="8"/>
        <w:spacing w:after="0" w:line="237" w:lineRule="auto"/>
        <w:tabs>
          <w:tab w:leader="none" w:pos="153" w:val="left"/>
        </w:tabs>
        <w:numPr>
          <w:ilvl w:val="0"/>
          <w:numId w:val="9"/>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income (loss) from operatons represents GAAP income (loss) from operatons, adjusted to exclude the efects of restructuring and integraton expense; non-operatonal charges related to acquisiton and transiton expense, intangible amortzaton costs for fair value step-up in values related to acquisitons, non-cash impairment charges, and when applicable, our share of income from joint venture operatons.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income (loss) from operatons is not a measure of fnancial performance under GAAP and should not be considered as a measure of liquidity or as an alternatve to GAAP income (loss) from operatons.</w:t>
      </w:r>
    </w:p>
    <w:p>
      <w:pPr>
        <w:spacing w:after="0" w:line="126" w:lineRule="exact"/>
        <w:rPr>
          <w:rFonts w:ascii="Calibri" w:cs="Calibri" w:eastAsia="Calibri" w:hAnsi="Calibri"/>
          <w:sz w:val="11"/>
          <w:szCs w:val="11"/>
          <w:i w:val="1"/>
          <w:iCs w:val="1"/>
          <w:color w:val="auto"/>
        </w:rPr>
      </w:pPr>
    </w:p>
    <w:p>
      <w:pPr>
        <w:ind w:left="8" w:right="40" w:hanging="8"/>
        <w:spacing w:after="0" w:line="238" w:lineRule="auto"/>
        <w:tabs>
          <w:tab w:leader="none" w:pos="153" w:val="left"/>
        </w:tabs>
        <w:numPr>
          <w:ilvl w:val="0"/>
          <w:numId w:val="9"/>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EBITDA represents GAAP net income (loss), adjusted to include income taxes, interest expense, write-of of unamortzed debt issuance costs, interest rate swap payments and change in fair value that was recognized in earnings, change in fair value of preferred stock derivatves and warrants, depreciaton and amortzaton, charges related to acquisiton and transiton costs, non-cash stock compensaton expense, foreign exchange gain (loss) on inter-company loans, restructuring and integraton expense, costs related to divested businesses and litgaton setlements, income from discontnued operatons, and non-cash impairment charges, to the extent applicable.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EBITDA is not a measure of fnancial performance under GAAP and should not be considered as a measure of liquidity or as an alternatve to GAAP income (loss) from contnuing operatons.</w:t>
      </w:r>
    </w:p>
    <w:p>
      <w:pPr>
        <w:spacing w:after="0" w:line="135" w:lineRule="exact"/>
        <w:rPr>
          <w:rFonts w:ascii="Calibri" w:cs="Calibri" w:eastAsia="Calibri" w:hAnsi="Calibri"/>
          <w:sz w:val="11"/>
          <w:szCs w:val="11"/>
          <w:i w:val="1"/>
          <w:iCs w:val="1"/>
          <w:color w:val="auto"/>
        </w:rPr>
      </w:pPr>
    </w:p>
    <w:p>
      <w:pPr>
        <w:ind w:left="8" w:right="120" w:hanging="8"/>
        <w:spacing w:after="0" w:line="234" w:lineRule="auto"/>
        <w:tabs>
          <w:tab w:leader="none" w:pos="143" w:val="left"/>
        </w:tabs>
        <w:numPr>
          <w:ilvl w:val="0"/>
          <w:numId w:val="9"/>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This line item refects the aggregate tax efect of all non-tax adjustments refected in the respectve table. NN, Inc. estmates the tax efect of the adjustment items identfed in the reconciliaton schedule above by applying the applicable statutory rates by tax jurisdicton unless the nature of the item and/or the tax jurisdicton in which the item has been recorded requires applicaton of a specifc tax rate or tax treatment.</w:t>
      </w:r>
    </w:p>
    <w:p>
      <w:pPr>
        <w:spacing w:after="0" w:line="125" w:lineRule="exact"/>
        <w:rPr>
          <w:rFonts w:ascii="Calibri" w:cs="Calibri" w:eastAsia="Calibri" w:hAnsi="Calibri"/>
          <w:sz w:val="11"/>
          <w:szCs w:val="11"/>
          <w:i w:val="1"/>
          <w:iCs w:val="1"/>
          <w:color w:val="auto"/>
        </w:rPr>
      </w:pPr>
    </w:p>
    <w:p>
      <w:pPr>
        <w:ind w:left="8" w:right="20" w:hanging="8"/>
        <w:spacing w:after="0" w:line="238" w:lineRule="auto"/>
        <w:tabs>
          <w:tab w:leader="none" w:pos="153" w:val="left"/>
        </w:tabs>
        <w:numPr>
          <w:ilvl w:val="0"/>
          <w:numId w:val="9"/>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net income (loss) represents GAAP net income (loss) adjusted to exclude the tax-afected efects of charges related to acquisiton and transiton costs, foreign exchange gain (loss) on inter-company loans, restructuring and integraton charges, amortzaton of intangibles costs for fair value step-up in values related to acquisitons and amortzaton of deferred fnancing costs, non-cash impairment charges, write-of of unamortzed debt issuance costs, interest rate swap payments and change in fair value, change in fair value of preferred stock derivatves and warrants, costs related to divested businesses and litgaton setlements, income (loss) from discontnued operatons, and preferred stock cumulatve dividends and deemed dividends. We believe this presentaton is commonly used by investors and professional research analysts in the valuaton, comparison, ratng, and investment recommendatons of companies in the industrial industry. We use this informaton for comparatve purposes within the industry.</w:t>
      </w:r>
    </w:p>
    <w:p>
      <w:pPr>
        <w:spacing w:after="0" w:line="272"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13</w:t>
      </w:r>
    </w:p>
    <w:p>
      <w:pPr>
        <w:sectPr>
          <w:pgSz w:w="11900" w:h="16838" w:orient="portrait"/>
          <w:cols w:equalWidth="0" w:num="1">
            <w:col w:w="11308"/>
          </w:cols>
          <w:pgMar w:left="292" w:top="678" w:right="299" w:bottom="1440"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upperLetter"/>
      <w:start w:val="40"/>
    </w:lvl>
  </w:abstractNum>
  <w:abstractNum w:abstractNumId="5">
    <w:nsid w:val="79E2A9E3"/>
    <w:multiLevelType w:val="hybridMultilevel"/>
    <w:lvl w:ilvl="0">
      <w:lvlJc w:val="left"/>
      <w:lvlText w:val="%1"/>
      <w:numFmt w:val="upperLetter"/>
      <w:start w:val="40"/>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2024-10-31T05:16:22Z</dcterms:created>
  <dcterms:modified xsi:type="dcterms:W3CDTF">2024-10-31T05:16:22Z</dcterms:modified>
</cp:coreProperties>
</file>