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38" w:lineRule="auto"/>
        <w:rPr>
          <w:sz w:val="20"/>
          <w:szCs w:val="20"/>
          <w:color w:val="auto"/>
        </w:rPr>
      </w:pPr>
      <w:r>
        <w:rPr>
          <w:rFonts w:ascii="Courier New" w:cs="Courier New" w:eastAsia="Courier New" w:hAnsi="Courier New"/>
          <w:sz w:val="18"/>
          <w:szCs w:val="18"/>
          <w:color w:val="auto"/>
        </w:rPr>
        <w:t>Rule 13d-1(b)</w:t>
      </w: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KeyCorp</w:t>
      </w:r>
    </w:p>
    <w:p>
      <w:pPr>
        <w:spacing w:after="0" w:line="238" w:lineRule="auto"/>
        <w:rPr>
          <w:sz w:val="20"/>
          <w:szCs w:val="20"/>
          <w:color w:val="auto"/>
        </w:rPr>
      </w:pPr>
      <w:r>
        <w:rPr>
          <w:rFonts w:ascii="Courier New" w:cs="Courier New" w:eastAsia="Courier New" w:hAnsi="Courier New"/>
          <w:sz w:val="18"/>
          <w:szCs w:val="18"/>
          <w:color w:val="auto"/>
        </w:rPr>
        <w:t>I.R.S. Employer Identification No. 34-6542451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Ohio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 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ectPr>
          <w:pgSz w:w="11900" w:h="16838" w:orient="portrait"/>
          <w:cols w:equalWidth="0" w:num="1">
            <w:col w:w="10219"/>
          </w:cols>
          <w:pgMar w:left="240" w:top="94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line="238" w:lineRule="auto"/>
        <w:rPr>
          <w:sz w:val="20"/>
          <w:szCs w:val="20"/>
          <w:color w:val="auto"/>
        </w:rPr>
      </w:pPr>
      <w:r>
        <w:rPr>
          <w:rFonts w:ascii="Courier New" w:cs="Courier New" w:eastAsia="Courier New" w:hAnsi="Courier New"/>
          <w:sz w:val="18"/>
          <w:szCs w:val="18"/>
          <w:color w:val="auto"/>
        </w:rPr>
        <w:t>Building C, Suite 12</w:t>
      </w:r>
    </w:p>
    <w:p>
      <w:pPr>
        <w:spacing w:after="0"/>
        <w:tabs>
          <w:tab w:leader="none" w:pos="1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127 Public Square</w:t>
      </w:r>
    </w:p>
    <w:p>
      <w:pPr>
        <w:spacing w:after="0"/>
        <w:tabs>
          <w:tab w:leader="none" w:pos="1560" w:val="left"/>
        </w:tabs>
        <w:rPr>
          <w:sz w:val="20"/>
          <w:szCs w:val="20"/>
          <w:color w:val="auto"/>
        </w:rPr>
      </w:pPr>
      <w:r>
        <w:rPr>
          <w:rFonts w:ascii="Courier New" w:cs="Courier New" w:eastAsia="Courier New" w:hAnsi="Courier New"/>
          <w:sz w:val="18"/>
          <w:szCs w:val="18"/>
          <w:color w:val="auto"/>
        </w:rPr>
        <w:t>Cleveland, OH</w:t>
      </w:r>
      <w:r>
        <w:rPr>
          <w:sz w:val="20"/>
          <w:szCs w:val="20"/>
          <w:color w:val="auto"/>
        </w:rPr>
        <w:tab/>
      </w:r>
      <w:r>
        <w:rPr>
          <w:rFonts w:ascii="Courier New" w:cs="Courier New" w:eastAsia="Courier New" w:hAnsi="Courier New"/>
          <w:sz w:val="16"/>
          <w:szCs w:val="16"/>
          <w:color w:val="auto"/>
        </w:rPr>
        <w:t>44144-1306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State of Ohio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If this statement is filed pursuant to sections 240.13d-1(b) or 240.13d-2(b)</w:t>
      </w: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 X]</w:t>
      </w:r>
    </w:p>
    <w:p>
      <w:pPr>
        <w:spacing w:after="0" w:line="5"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tabs>
          <w:tab w:leader="none" w:pos="2940" w:val="left"/>
        </w:tabs>
        <w:rPr>
          <w:sz w:val="20"/>
          <w:szCs w:val="20"/>
          <w:color w:val="auto"/>
        </w:rPr>
      </w:pP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3,307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Percent of class:</w:t>
        <w:tab/>
        <w:t>0.02%</w:t>
      </w:r>
    </w:p>
    <w:p>
      <w:pPr>
        <w:sectPr>
          <w:pgSz w:w="11900" w:h="16838" w:orient="portrait"/>
          <w:cols w:equalWidth="0" w:num="1">
            <w:col w:w="10219"/>
          </w:cols>
          <w:pgMar w:left="240" w:top="136" w:right="1440" w:bottom="133"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4"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Sole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3,307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38"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 identity and the Item 3 classification of the relevant subsidiary.</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a parent holding company has filed this schedule pursuant to Rule 13d-1(c) or Rule 13d-1(d), attach an exhibit stating the identification of the relevant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KeyBank National Association</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(B) Banks as defined by Section 3 (A) (6) of the act</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McDonald Investments, Inc.</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Registered investment advisor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stating the identity of each member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38" w:lineRule="auto"/>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certification shall be included if the statement is filed pursuant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section 240.13d-1(c):</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10,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Diane L. Wozniak</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Diane L. Wozniak, Assistant Vice President</w:t>
      </w:r>
    </w:p>
    <w:p>
      <w:pPr>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2019-12-14T02:35:46Z</dcterms:created>
  <dcterms:modified xsi:type="dcterms:W3CDTF">2019-12-14T02:35:46Z</dcterms:modified>
</cp:coreProperties>
</file>