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UNITED STATES 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quarterly period ended March 31, 2005</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39"/>
          </w:cols>
          <w:pgMar w:left="220" w:top="225" w:right="1440" w:bottom="0" w:gutter="0" w:footer="0" w:header="0"/>
        </w:sectPr>
      </w:pPr>
    </w:p>
    <w:p>
      <w:pPr>
        <w:spacing w:after="0" w:line="173"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to</w:t>
      </w:r>
    </w:p>
    <w:p>
      <w:pPr>
        <w:spacing w:after="0" w:line="32" w:lineRule="exact"/>
        <w:rPr>
          <w:sz w:val="24"/>
          <w:szCs w:val="24"/>
          <w:color w:val="auto"/>
        </w:rPr>
      </w:pPr>
    </w:p>
    <w:p>
      <w:pPr>
        <w:sectPr>
          <w:pgSz w:w="11900" w:h="16838" w:orient="portrait"/>
          <w:cols w:equalWidth="0" w:num="2">
            <w:col w:w="4020" w:space="720"/>
            <w:col w:w="5499"/>
          </w:cols>
          <w:pgMar w:left="220" w:top="225" w:right="1440" w:bottom="0" w:gutter="0" w:footer="0" w:header="0"/>
          <w:type w:val="continuous"/>
        </w:sect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4640" w:space="360"/>
            <w:col w:w="5239"/>
          </w:cols>
          <w:pgMar w:left="220" w:top="225" w:right="1440" w:bottom="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Commission File Number 0-23486</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NN,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0" w:gutter="0" w:footer="0" w:header="0"/>
          <w:type w:val="continuous"/>
        </w:sectPr>
      </w:pPr>
    </w:p>
    <w:p>
      <w:pPr>
        <w:spacing w:after="0" w:line="340"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62-1096725</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1" w:lineRule="exact"/>
        <w:rPr>
          <w:sz w:val="24"/>
          <w:szCs w:val="24"/>
          <w:color w:val="auto"/>
        </w:rPr>
      </w:pPr>
    </w:p>
    <w:p>
      <w:pPr>
        <w:sectPr>
          <w:pgSz w:w="11900" w:h="16838" w:orient="portrait"/>
          <w:cols w:equalWidth="0" w:num="2">
            <w:col w:w="3400" w:space="720"/>
            <w:col w:w="6119"/>
          </w:cols>
          <w:pgMar w:left="220" w:top="225" w:right="1440" w:bottom="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2000 Waters Edge Drive</w:t>
      </w:r>
    </w:p>
    <w:p>
      <w:pPr>
        <w:ind w:left="2640"/>
        <w:spacing w:after="0" w:line="237" w:lineRule="auto"/>
        <w:rPr>
          <w:sz w:val="20"/>
          <w:szCs w:val="20"/>
          <w:color w:val="auto"/>
        </w:rPr>
      </w:pPr>
      <w:r>
        <w:rPr>
          <w:rFonts w:ascii="Courier New" w:cs="Courier New" w:eastAsia="Courier New" w:hAnsi="Courier New"/>
          <w:sz w:val="15"/>
          <w:szCs w:val="15"/>
          <w:color w:val="auto"/>
        </w:rPr>
        <w:t>Building C, Suite 12</w:t>
      </w:r>
    </w:p>
    <w:p>
      <w:pPr>
        <w:ind w:left="2280"/>
        <w:spacing w:after="0" w:line="238" w:lineRule="auto"/>
        <w:rPr>
          <w:sz w:val="20"/>
          <w:szCs w:val="20"/>
          <w:color w:val="auto"/>
        </w:rPr>
      </w:pPr>
      <w:r>
        <w:rPr>
          <w:rFonts w:ascii="Courier New" w:cs="Courier New" w:eastAsia="Courier New" w:hAnsi="Courier New"/>
          <w:sz w:val="15"/>
          <w:szCs w:val="15"/>
          <w:color w:val="auto"/>
        </w:rPr>
        <w:t>Johnson City, Tennessee 37604</w:t>
      </w:r>
    </w:p>
    <w:p>
      <w:pPr>
        <w:ind w:left="880"/>
        <w:spacing w:after="0" w:line="237" w:lineRule="auto"/>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(423) 743-9151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pacing w:after="0" w:line="1"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preceding 12 months (or for such shorter period that the registrant was required to file such reports), and (2) has been subject to such filing requirements for the past 90 days. Yes [X] No [_]</w:t>
      </w:r>
    </w:p>
    <w:p>
      <w:pPr>
        <w:sectPr>
          <w:pgSz w:w="11900" w:h="16838" w:orient="portrait"/>
          <w:cols w:equalWidth="0" w:num="1">
            <w:col w:w="10239"/>
          </w:cols>
          <w:pgMar w:left="220" w:top="225" w:right="1440" w:bottom="0" w:gutter="0" w:footer="0" w:header="0"/>
          <w:type w:val="continuous"/>
        </w:sectPr>
      </w:pPr>
    </w:p>
    <w:p>
      <w:pPr>
        <w:spacing w:after="0" w:line="174" w:lineRule="exact"/>
        <w:rPr>
          <w:sz w:val="24"/>
          <w:szCs w:val="24"/>
          <w:color w:val="auto"/>
        </w:rPr>
      </w:pPr>
    </w:p>
    <w:p>
      <w:pPr>
        <w:spacing w:after="0" w:line="234" w:lineRule="auto"/>
        <w:rPr>
          <w:sz w:val="20"/>
          <w:szCs w:val="20"/>
          <w:color w:val="auto"/>
        </w:rPr>
      </w:pPr>
      <w:r>
        <w:rPr>
          <w:rFonts w:ascii="Courier New" w:cs="Courier New" w:eastAsia="Courier New" w:hAnsi="Courier New"/>
          <w:sz w:val="15"/>
          <w:szCs w:val="15"/>
          <w:color w:val="auto"/>
        </w:rPr>
        <w:t>Indicate by check mark whether the registrant is an accelerated defined in Rule 12b-2 of the Exchange Act). Yes [X] No [_]</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filer (as</w:t>
      </w:r>
    </w:p>
    <w:p>
      <w:pPr>
        <w:spacing w:after="0" w:line="345" w:lineRule="exact"/>
        <w:rPr>
          <w:sz w:val="24"/>
          <w:szCs w:val="24"/>
          <w:color w:val="auto"/>
        </w:rPr>
      </w:pPr>
    </w:p>
    <w:p>
      <w:pPr>
        <w:sectPr>
          <w:pgSz w:w="11900" w:h="16838" w:orient="portrait"/>
          <w:cols w:equalWidth="0" w:num="2">
            <w:col w:w="6040" w:space="180"/>
            <w:col w:w="4019"/>
          </w:cols>
          <w:pgMar w:left="220" w:top="225" w:right="1440" w:bottom="0" w:gutter="0" w:footer="0" w:header="0"/>
          <w:type w:val="continuous"/>
        </w:sectPr>
      </w:pPr>
    </w:p>
    <w:p>
      <w:pPr>
        <w:ind w:right="3239"/>
        <w:spacing w:after="0" w:line="234" w:lineRule="auto"/>
        <w:rPr>
          <w:sz w:val="20"/>
          <w:szCs w:val="20"/>
          <w:color w:val="auto"/>
        </w:rPr>
      </w:pPr>
      <w:r>
        <w:rPr>
          <w:rFonts w:ascii="Courier New" w:cs="Courier New" w:eastAsia="Courier New" w:hAnsi="Courier New"/>
          <w:sz w:val="15"/>
          <w:szCs w:val="15"/>
          <w:color w:val="auto"/>
        </w:rPr>
        <w:t>As of May 6, 2005 there were 16,910,579 shares of the registrant's common stock, par value $0.01 per share,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ind w:left="3340"/>
        <w:spacing w:after="0" w:line="237" w:lineRule="auto"/>
        <w:rPr>
          <w:sz w:val="20"/>
          <w:szCs w:val="20"/>
          <w:color w:val="auto"/>
        </w:rPr>
      </w:pPr>
      <w:r>
        <w:rPr>
          <w:rFonts w:ascii="Courier New" w:cs="Courier New" w:eastAsia="Courier New" w:hAnsi="Courier New"/>
          <w:sz w:val="15"/>
          <w:szCs w:val="15"/>
          <w:color w:val="auto"/>
        </w:rPr>
        <w:t>INDEX</w:t>
      </w:r>
    </w:p>
    <w:p>
      <w:pPr>
        <w:spacing w:after="0" w:line="335" w:lineRule="exact"/>
        <w:rPr>
          <w:sz w:val="24"/>
          <w:szCs w:val="24"/>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No.</w:t>
      </w:r>
    </w:p>
    <w:p>
      <w:pPr>
        <w:spacing w:after="0" w:line="237" w:lineRule="auto"/>
        <w:rPr>
          <w:sz w:val="20"/>
          <w:szCs w:val="20"/>
          <w:color w:val="auto"/>
        </w:rPr>
      </w:pPr>
      <w:r>
        <w:rPr>
          <w:rFonts w:ascii="Courier New" w:cs="Courier New" w:eastAsia="Courier New" w:hAnsi="Courier New"/>
          <w:sz w:val="15"/>
          <w:szCs w:val="15"/>
          <w:color w:val="auto"/>
        </w:rPr>
        <w:t>Part I. Financial Information</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4"/>
          <w:szCs w:val="24"/>
          <w:color w:val="auto"/>
        </w:rPr>
      </w:pPr>
    </w:p>
    <w:p>
      <w:pPr>
        <w:ind w:left="880"/>
        <w:spacing w:after="0"/>
        <w:tabs>
          <w:tab w:leader="none" w:pos="2080" w:val="left"/>
          <w:tab w:leader="none" w:pos="3140" w:val="left"/>
          <w:tab w:leader="none" w:pos="4460" w:val="left"/>
        </w:tabs>
        <w:rPr>
          <w:sz w:val="20"/>
          <w:szCs w:val="20"/>
          <w:color w:val="auto"/>
        </w:rPr>
      </w:pPr>
      <w:r>
        <w:rPr>
          <w:rFonts w:ascii="Courier New" w:cs="Courier New" w:eastAsia="Courier New" w:hAnsi="Courier New"/>
          <w:sz w:val="15"/>
          <w:szCs w:val="15"/>
          <w:color w:val="auto"/>
        </w:rPr>
        <w:t>Consolidated</w:t>
        <w:tab/>
        <w:t>Statements</w:t>
        <w:tab/>
        <w:t>of Income and</w:t>
      </w:r>
      <w:r>
        <w:rPr>
          <w:sz w:val="20"/>
          <w:szCs w:val="20"/>
          <w:color w:val="auto"/>
        </w:rPr>
        <w:tab/>
      </w:r>
      <w:r>
        <w:rPr>
          <w:rFonts w:ascii="Courier New" w:cs="Courier New" w:eastAsia="Courier New" w:hAnsi="Courier New"/>
          <w:sz w:val="14"/>
          <w:szCs w:val="14"/>
          <w:color w:val="auto"/>
        </w:rPr>
        <w:t>Comprehensive</w:t>
      </w:r>
    </w:p>
    <w:p>
      <w:pPr>
        <w:ind w:left="880"/>
        <w:spacing w:after="0" w:line="237" w:lineRule="auto"/>
        <w:rPr>
          <w:sz w:val="20"/>
          <w:szCs w:val="20"/>
          <w:color w:val="auto"/>
        </w:rPr>
      </w:pPr>
      <w:r>
        <w:rPr>
          <w:rFonts w:ascii="Courier New" w:cs="Courier New" w:eastAsia="Courier New" w:hAnsi="Courier New"/>
          <w:sz w:val="15"/>
          <w:szCs w:val="15"/>
          <w:color w:val="auto"/>
        </w:rPr>
        <w:t>Income for the three months ended March 31, 2005</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and 2004 (unaudited)</w:t>
      </w:r>
      <w:r>
        <w:rPr>
          <w:sz w:val="20"/>
          <w:szCs w:val="20"/>
          <w:color w:val="auto"/>
        </w:rPr>
        <w:tab/>
      </w:r>
      <w:r>
        <w:rPr>
          <w:rFonts w:ascii="Courier New" w:cs="Courier New" w:eastAsia="Courier New" w:hAnsi="Courier New"/>
          <w:sz w:val="12"/>
          <w:szCs w:val="12"/>
          <w:color w:val="auto"/>
        </w:rPr>
        <w:t>2</w:t>
      </w:r>
    </w:p>
    <w:p>
      <w:pPr>
        <w:spacing w:after="0" w:line="167" w:lineRule="exact"/>
        <w:rPr>
          <w:sz w:val="24"/>
          <w:szCs w:val="24"/>
          <w:color w:val="auto"/>
        </w:rPr>
      </w:pPr>
    </w:p>
    <w:p>
      <w:pPr>
        <w:ind w:left="880"/>
        <w:spacing w:after="0"/>
        <w:tabs>
          <w:tab w:leader="none" w:pos="1820" w:val="left"/>
          <w:tab w:leader="none" w:pos="3060" w:val="left"/>
        </w:tabs>
        <w:rPr>
          <w:sz w:val="20"/>
          <w:szCs w:val="20"/>
          <w:color w:val="auto"/>
        </w:rPr>
      </w:pPr>
      <w:r>
        <w:rPr>
          <w:rFonts w:ascii="Courier New" w:cs="Courier New" w:eastAsia="Courier New" w:hAnsi="Courier New"/>
          <w:sz w:val="15"/>
          <w:szCs w:val="15"/>
          <w:color w:val="auto"/>
        </w:rPr>
        <w:t>Condensed</w:t>
        <w:tab/>
        <w:t>Consolidated</w:t>
      </w:r>
      <w:r>
        <w:rPr>
          <w:sz w:val="20"/>
          <w:szCs w:val="20"/>
          <w:color w:val="auto"/>
        </w:rPr>
        <w:tab/>
      </w:r>
      <w:r>
        <w:rPr>
          <w:rFonts w:ascii="Courier New" w:cs="Courier New" w:eastAsia="Courier New" w:hAnsi="Courier New"/>
          <w:sz w:val="14"/>
          <w:szCs w:val="14"/>
          <w:color w:val="auto"/>
        </w:rPr>
        <w:t>Balance Sheets at March 31, 2005</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and December 31, 2004(unaudited)</w:t>
      </w:r>
      <w:r>
        <w:rPr>
          <w:sz w:val="20"/>
          <w:szCs w:val="20"/>
          <w:color w:val="auto"/>
        </w:rPr>
        <w:tab/>
      </w:r>
      <w:r>
        <w:rPr>
          <w:rFonts w:ascii="Courier New" w:cs="Courier New" w:eastAsia="Courier New" w:hAnsi="Courier New"/>
          <w:sz w:val="12"/>
          <w:szCs w:val="12"/>
          <w:color w:val="auto"/>
        </w:rPr>
        <w:t>3</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for the three months ended March 31, 2005 and 2004 (unaudited)</w:t>
      </w:r>
      <w:r>
        <w:rPr>
          <w:sz w:val="20"/>
          <w:szCs w:val="20"/>
          <w:color w:val="auto"/>
        </w:rPr>
        <w:tab/>
      </w:r>
      <w:r>
        <w:rPr>
          <w:rFonts w:ascii="Courier New" w:cs="Courier New" w:eastAsia="Courier New" w:hAnsi="Courier New"/>
          <w:sz w:val="12"/>
          <w:szCs w:val="12"/>
          <w:color w:val="auto"/>
        </w:rPr>
        <w:t>4</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Consolidated Statements of Cash Flows for the three months</w:t>
      </w: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ended March 31, 2005 and 2004 (unaudited)</w:t>
      </w:r>
      <w:r>
        <w:rPr>
          <w:sz w:val="20"/>
          <w:szCs w:val="20"/>
          <w:color w:val="auto"/>
        </w:rPr>
        <w:tab/>
      </w:r>
      <w:r>
        <w:rPr>
          <w:rFonts w:ascii="Courier New" w:cs="Courier New" w:eastAsia="Courier New" w:hAnsi="Courier New"/>
          <w:sz w:val="12"/>
          <w:szCs w:val="12"/>
          <w:color w:val="auto"/>
        </w:rPr>
        <w:t>5</w:t>
      </w:r>
    </w:p>
    <w:p>
      <w:pPr>
        <w:spacing w:after="0" w:line="167" w:lineRule="exact"/>
        <w:rPr>
          <w:sz w:val="24"/>
          <w:szCs w:val="24"/>
          <w:color w:val="auto"/>
        </w:rPr>
      </w:pPr>
    </w:p>
    <w:p>
      <w:pPr>
        <w:jc w:val="right"/>
        <w:ind w:right="3239"/>
        <w:spacing w:after="0"/>
        <w:tabs>
          <w:tab w:leader="dot" w:pos="60" w:val="left"/>
        </w:tabs>
        <w:rPr>
          <w:sz w:val="20"/>
          <w:szCs w:val="20"/>
          <w:color w:val="auto"/>
        </w:rPr>
      </w:pPr>
      <w:r>
        <w:rPr>
          <w:rFonts w:ascii="Courier New" w:cs="Courier New" w:eastAsia="Courier New" w:hAnsi="Courier New"/>
          <w:sz w:val="15"/>
          <w:szCs w:val="15"/>
          <w:color w:val="auto"/>
        </w:rPr>
        <w:t>Notes to Consolidated Financial Statements (unaudited)</w:t>
      </w:r>
      <w:r>
        <w:rPr>
          <w:sz w:val="20"/>
          <w:szCs w:val="20"/>
          <w:color w:val="auto"/>
        </w:rPr>
        <w:tab/>
      </w:r>
      <w:r>
        <w:rPr>
          <w:rFonts w:ascii="Courier New" w:cs="Courier New" w:eastAsia="Courier New" w:hAnsi="Courier New"/>
          <w:sz w:val="12"/>
          <w:szCs w:val="12"/>
          <w:color w:val="auto"/>
        </w:rPr>
        <w:t>6</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Condition and Results of Operations</w:t>
      </w:r>
      <w:r>
        <w:rPr>
          <w:sz w:val="20"/>
          <w:szCs w:val="20"/>
          <w:color w:val="auto"/>
        </w:rPr>
        <w:tab/>
      </w:r>
      <w:r>
        <w:rPr>
          <w:rFonts w:ascii="Courier New" w:cs="Courier New" w:eastAsia="Courier New" w:hAnsi="Courier New"/>
          <w:sz w:val="12"/>
          <w:szCs w:val="12"/>
          <w:color w:val="auto"/>
        </w:rPr>
        <w:t>14</w:t>
      </w:r>
    </w:p>
    <w:p>
      <w:pPr>
        <w:spacing w:after="0" w:line="167"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3.</w:t>
        <w:tab/>
        <w:t>Quantitative and Qualitative Disclosures about Market Risk</w:t>
      </w:r>
      <w:r>
        <w:rPr>
          <w:sz w:val="20"/>
          <w:szCs w:val="20"/>
          <w:color w:val="auto"/>
        </w:rPr>
        <w:tab/>
      </w:r>
      <w:r>
        <w:rPr>
          <w:rFonts w:ascii="Courier New" w:cs="Courier New" w:eastAsia="Courier New" w:hAnsi="Courier New"/>
          <w:sz w:val="12"/>
          <w:szCs w:val="12"/>
          <w:color w:val="auto"/>
        </w:rPr>
        <w:t>22</w:t>
      </w:r>
    </w:p>
    <w:p>
      <w:pPr>
        <w:spacing w:after="0" w:line="166"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4.</w:t>
        <w:tab/>
        <w:t>Controls and Procedures</w:t>
      </w:r>
      <w:r>
        <w:rPr>
          <w:sz w:val="20"/>
          <w:szCs w:val="20"/>
          <w:color w:val="auto"/>
        </w:rPr>
        <w:tab/>
      </w:r>
      <w:r>
        <w:rPr>
          <w:rFonts w:ascii="Courier New" w:cs="Courier New" w:eastAsia="Courier New" w:hAnsi="Courier New"/>
          <w:sz w:val="12"/>
          <w:szCs w:val="12"/>
          <w:color w:val="auto"/>
        </w:rPr>
        <w:t>23</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1.</w:t>
        <w:tab/>
        <w:t>Legal Proceedings</w:t>
      </w:r>
      <w:r>
        <w:rPr>
          <w:sz w:val="20"/>
          <w:szCs w:val="20"/>
          <w:color w:val="auto"/>
        </w:rPr>
        <w:tab/>
      </w:r>
      <w:r>
        <w:rPr>
          <w:rFonts w:ascii="Courier New" w:cs="Courier New" w:eastAsia="Courier New" w:hAnsi="Courier New"/>
          <w:sz w:val="12"/>
          <w:szCs w:val="12"/>
          <w:color w:val="auto"/>
        </w:rPr>
        <w:t>24</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Use of Proceeds and Issuer Purchases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of Equity Securities</w:t>
      </w:r>
      <w:r>
        <w:rPr>
          <w:sz w:val="20"/>
          <w:szCs w:val="20"/>
          <w:color w:val="auto"/>
        </w:rPr>
        <w:tab/>
      </w:r>
      <w:r>
        <w:rPr>
          <w:rFonts w:ascii="Courier New" w:cs="Courier New" w:eastAsia="Courier New" w:hAnsi="Courier New"/>
          <w:sz w:val="12"/>
          <w:szCs w:val="12"/>
          <w:color w:val="auto"/>
        </w:rPr>
        <w:t>24</w:t>
      </w:r>
    </w:p>
    <w:p>
      <w:pPr>
        <w:spacing w:after="0" w:line="167"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3.</w:t>
        <w:tab/>
        <w:t>Defaults Upon Senior Securities</w:t>
      </w:r>
      <w:r>
        <w:rPr>
          <w:sz w:val="20"/>
          <w:szCs w:val="20"/>
          <w:color w:val="auto"/>
        </w:rPr>
        <w:tab/>
      </w:r>
      <w:r>
        <w:rPr>
          <w:rFonts w:ascii="Courier New" w:cs="Courier New" w:eastAsia="Courier New" w:hAnsi="Courier New"/>
          <w:sz w:val="12"/>
          <w:szCs w:val="12"/>
          <w:color w:val="auto"/>
        </w:rPr>
        <w:t>24</w:t>
      </w:r>
    </w:p>
    <w:p>
      <w:pPr>
        <w:spacing w:after="0" w:line="166"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2"/>
          <w:szCs w:val="12"/>
          <w:color w:val="auto"/>
        </w:rPr>
        <w:t>24</w:t>
      </w:r>
    </w:p>
    <w:p>
      <w:pPr>
        <w:sectPr>
          <w:pgSz w:w="11900" w:h="16838" w:orient="portrait"/>
          <w:cols w:equalWidth="0" w:num="1">
            <w:col w:w="10239"/>
          </w:cols>
          <w:pgMar w:left="220" w:top="225"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Other Information...................................................</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24</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Exhibits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24</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Signatures</w:t>
            </w:r>
          </w:p>
        </w:tc>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w w:val="77"/>
              </w:rPr>
              <w:t>25</w:t>
            </w:r>
          </w:p>
        </w:tc>
      </w:tr>
      <w:tr>
        <w:trPr>
          <w:trHeight w:val="336"/>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6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Statements of Income and Comprehensive Income</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Three Months Ended</w:t>
      </w:r>
    </w:p>
    <w:p>
      <w:pPr>
        <w:ind w:left="5860"/>
        <w:spacing w:after="0" w:line="237" w:lineRule="auto"/>
        <w:rPr>
          <w:sz w:val="20"/>
          <w:szCs w:val="20"/>
          <w:color w:val="auto"/>
        </w:rPr>
      </w:pPr>
      <w:r>
        <w:rPr>
          <w:rFonts w:ascii="Courier New" w:cs="Courier New" w:eastAsia="Courier New" w:hAnsi="Courier New"/>
          <w:sz w:val="15"/>
          <w:szCs w:val="15"/>
          <w:color w:val="auto"/>
        </w:rPr>
        <w:t>March 31,</w:t>
      </w:r>
    </w:p>
    <w:p>
      <w:pPr>
        <w:spacing w:after="0" w:line="238" w:lineRule="auto"/>
        <w:tabs>
          <w:tab w:leader="none" w:pos="5500" w:val="left"/>
          <w:tab w:leader="none" w:pos="6980" w:val="left"/>
        </w:tabs>
        <w:rPr>
          <w:sz w:val="20"/>
          <w:szCs w:val="20"/>
          <w:color w:val="auto"/>
        </w:rPr>
      </w:pPr>
      <w:r>
        <w:rPr>
          <w:rFonts w:ascii="Courier New" w:cs="Courier New" w:eastAsia="Courier New" w:hAnsi="Courier New"/>
          <w:sz w:val="15"/>
          <w:szCs w:val="15"/>
          <w:color w:val="auto"/>
        </w:rPr>
        <w:t>Thousands of Dollars, Except Per Share Data</w:t>
      </w:r>
      <w:r>
        <w:rPr>
          <w:sz w:val="20"/>
          <w:szCs w:val="20"/>
          <w:color w:val="auto"/>
        </w:rPr>
        <w:tab/>
      </w: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$ 86,715</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$ 77,632</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products sold (exclusive of depreciation</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shown separately below)</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67,666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60,390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7,484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7,143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4,174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on disposal of assets</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7,387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6,108</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8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984</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8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provision for income taxes</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6,574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2,551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2,097</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4,023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3,218</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holding gain on securities, net</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tax</w:t>
            </w:r>
          </w:p>
        </w:tc>
        <w:tc>
          <w:tcPr>
            <w:tcW w:w="8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(4,070)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Comprehensive income (loss)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$ 729</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Basic income per common share:</w:t>
            </w:r>
          </w:p>
        </w:tc>
        <w:tc>
          <w:tcPr>
            <w:tcW w:w="8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$ 0.24</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$ 0.19</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8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16,889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16,712</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Diluted income per common share:</w:t>
            </w:r>
          </w:p>
        </w:tc>
        <w:tc>
          <w:tcPr>
            <w:tcW w:w="8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$ 0.23</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$ 0.19</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80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17,261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17,189</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 per common share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0.08</w:t>
            </w:r>
          </w:p>
        </w:tc>
      </w:tr>
      <w:tr>
        <w:trPr>
          <w:trHeight w:val="168"/>
        </w:trPr>
        <w:tc>
          <w:tcPr>
            <w:tcW w:w="4640" w:type="dxa"/>
            <w:vAlign w:val="bottom"/>
          </w:tcPr>
          <w:p>
            <w:pPr>
              <w:spacing w:after="0"/>
              <w:rPr>
                <w:sz w:val="14"/>
                <w:szCs w:val="14"/>
                <w:color w:val="auto"/>
              </w:rPr>
            </w:pPr>
          </w:p>
        </w:tc>
        <w:tc>
          <w:tcPr>
            <w:tcW w:w="17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ind w:left="6560"/>
        <w:spacing w:after="0"/>
        <w:tabs>
          <w:tab w:leader="none" w:pos="8560" w:val="left"/>
        </w:tabs>
        <w:rPr>
          <w:sz w:val="20"/>
          <w:szCs w:val="20"/>
          <w:color w:val="auto"/>
        </w:rPr>
      </w:pPr>
      <w:r>
        <w:rPr>
          <w:rFonts w:ascii="Courier New" w:cs="Courier New" w:eastAsia="Courier New" w:hAnsi="Courier New"/>
          <w:sz w:val="15"/>
          <w:szCs w:val="15"/>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tabs>
          <w:tab w:leader="none" w:pos="6720" w:val="left"/>
          <w:tab w:leader="none" w:pos="8920" w:val="left"/>
        </w:tabs>
        <w:rPr>
          <w:sz w:val="20"/>
          <w:szCs w:val="20"/>
          <w:color w:val="auto"/>
        </w:rPr>
      </w:pPr>
      <w:r>
        <w:rPr>
          <w:rFonts w:ascii="Courier New" w:cs="Courier New" w:eastAsia="Courier New" w:hAnsi="Courier New"/>
          <w:sz w:val="15"/>
          <w:szCs w:val="15"/>
          <w:color w:val="auto"/>
        </w:rPr>
        <w:t>Thousands of Dollars</w:t>
      </w:r>
      <w:r>
        <w:rPr>
          <w:sz w:val="20"/>
          <w:szCs w:val="20"/>
          <w:color w:val="auto"/>
        </w:rPr>
        <w:tab/>
      </w: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4"/>
          <w:szCs w:val="14"/>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10,772</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60,110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51,597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 net</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34,272</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35,629</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3,072</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4,401</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10,050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5,939</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111,949</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108,338</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14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123,232</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131,169</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net</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43,420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44,457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5,983</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5,905</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3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$ 284,584</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$ 289,869</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42,012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45,217</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1,351</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salaries and wages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14,285</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16,332</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3,229</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1,599</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7,240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7,160</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5,040</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4,123</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73,157</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74,431</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Non-current deferred tax liability</w:t>
            </w:r>
          </w:p>
        </w:tc>
        <w:tc>
          <w:tcPr>
            <w:tcW w:w="214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17,432</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17,857</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loans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65,031</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67,510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pension and other</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14,305</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14,931</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14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169,925</w:t>
            </w:r>
          </w:p>
        </w:tc>
        <w:tc>
          <w:tcPr>
            <w:tcW w:w="11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174,729</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14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1"/>
              </w:rPr>
              <w:t>114,659</w:t>
            </w:r>
          </w:p>
        </w:tc>
        <w:tc>
          <w:tcPr>
            <w:tcW w:w="11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115,140</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3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$ 284,584</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$ 289,869</w:t>
            </w:r>
          </w:p>
        </w:tc>
      </w:tr>
      <w:tr>
        <w:trPr>
          <w:trHeight w:val="168"/>
        </w:trPr>
        <w:tc>
          <w:tcPr>
            <w:tcW w:w="4960" w:type="dxa"/>
            <w:vAlign w:val="bottom"/>
          </w:tcPr>
          <w:p>
            <w:pPr>
              <w:spacing w:after="0"/>
              <w:rPr>
                <w:sz w:val="14"/>
                <w:szCs w:val="14"/>
                <w:color w:val="auto"/>
              </w:rPr>
            </w:pPr>
          </w:p>
        </w:tc>
        <w:tc>
          <w:tcPr>
            <w:tcW w:w="3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520"/>
        <w:spacing w:after="0"/>
        <w:rPr>
          <w:sz w:val="20"/>
          <w:szCs w:val="20"/>
          <w:color w:val="auto"/>
        </w:rPr>
      </w:pPr>
      <w:r>
        <w:rPr>
          <w:rFonts w:ascii="Courier New" w:cs="Courier New" w:eastAsia="Courier New" w:hAnsi="Courier New"/>
          <w:sz w:val="15"/>
          <w:szCs w:val="15"/>
          <w:color w:val="auto"/>
        </w:rPr>
        <w:t>NN, Inc.</w:t>
      </w:r>
    </w:p>
    <w:p>
      <w:pPr>
        <w:jc w:val="center"/>
        <w:ind w:right="452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tbl>
      <w:tblPr>
        <w:tblLayout w:type="fixed"/>
        <w:tblInd w:w="0" w:type="dxa"/>
        <w:tblCellMar>
          <w:top w:w="0" w:type="dxa"/>
          <w:left w:w="0" w:type="dxa"/>
          <w:bottom w:w="0" w:type="dxa"/>
          <w:right w:w="0" w:type="dxa"/>
        </w:tblCellMar>
      </w:tblPr>
      <w:tr>
        <w:trPr>
          <w:trHeight w:val="169"/>
        </w:trPr>
        <w:tc>
          <w:tcPr>
            <w:tcW w:w="5040" w:type="dxa"/>
            <w:vAlign w:val="bottom"/>
            <w:gridSpan w:val="2"/>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5"/>
        </w:trPr>
        <w:tc>
          <w:tcPr>
            <w:tcW w:w="3780" w:type="dxa"/>
            <w:vAlign w:val="bottom"/>
          </w:tcPr>
          <w:p>
            <w:pPr>
              <w:spacing w:after="0"/>
              <w:rPr>
                <w:sz w:val="24"/>
                <w:szCs w:val="24"/>
                <w:color w:val="auto"/>
              </w:rPr>
            </w:pPr>
          </w:p>
        </w:tc>
        <w:tc>
          <w:tcPr>
            <w:tcW w:w="23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Number</w:t>
            </w:r>
          </w:p>
        </w:tc>
        <w:tc>
          <w:tcPr>
            <w:tcW w:w="11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Additional</w:t>
            </w:r>
          </w:p>
        </w:tc>
        <w:tc>
          <w:tcPr>
            <w:tcW w:w="140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130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2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Of</w:t>
            </w: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Par</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paid in</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Retained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Comprehensive</w:t>
            </w:r>
          </w:p>
        </w:tc>
        <w:tc>
          <w:tcPr>
            <w:tcW w:w="130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 and Shares</w:t>
            </w: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2"/>
              </w:rPr>
              <w:t>Shares</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Earnings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5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 -----------</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January 1, 2004</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$ 52,960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$ 43,931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$ 9,409</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$ 106,468</w:t>
            </w: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issued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3,218</w:t>
            </w:r>
          </w:p>
        </w:tc>
      </w:tr>
      <w:tr>
        <w:trPr>
          <w:trHeight w:val="168"/>
        </w:trPr>
        <w:tc>
          <w:tcPr>
            <w:tcW w:w="3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w:t>
            </w: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(2,489)</w:t>
            </w:r>
          </w:p>
        </w:tc>
      </w:tr>
      <w:tr>
        <w:trPr>
          <w:trHeight w:val="168"/>
        </w:trPr>
        <w:tc>
          <w:tcPr>
            <w:tcW w:w="37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31, 2004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16,712</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$ 52,962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$ 45,812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$ 6,920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$ 105,862</w:t>
            </w:r>
          </w:p>
        </w:tc>
      </w:tr>
      <w:tr>
        <w:trPr>
          <w:trHeight w:val="168"/>
        </w:trPr>
        <w:tc>
          <w:tcPr>
            <w:tcW w:w="37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Balance, January 1, 2005</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16,777</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$168</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$ 53,423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$ 45,676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$15,873</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$ 115,140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990</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4,023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holding gain on securities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(4,070)</w:t>
            </w:r>
          </w:p>
        </w:tc>
      </w:tr>
      <w:tr>
        <w:trPr>
          <w:trHeight w:val="168"/>
        </w:trPr>
        <w:tc>
          <w:tcPr>
            <w:tcW w:w="37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31, 2005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16,911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$ 54,411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$ 48,348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$11,730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$ 114,659</w:t>
            </w:r>
          </w:p>
        </w:tc>
      </w:tr>
      <w:tr>
        <w:trPr>
          <w:trHeight w:val="168"/>
        </w:trPr>
        <w:tc>
          <w:tcPr>
            <w:tcW w:w="3780" w:type="dxa"/>
            <w:vAlign w:val="bottom"/>
          </w:tcPr>
          <w:p>
            <w:pPr>
              <w:spacing w:after="0"/>
              <w:rPr>
                <w:sz w:val="14"/>
                <w:szCs w:val="14"/>
                <w:color w:val="auto"/>
              </w:rPr>
            </w:pP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617" w:right="139" w:bottom="1440" w:gutter="0" w:footer="0" w:header="0"/>
        </w:sectPr>
      </w:pPr>
    </w:p>
    <w:bookmarkStart w:id="5" w:name="page6"/>
    <w:bookmarkEnd w:id="5"/>
    <w:p>
      <w:pPr>
        <w:jc w:val="center"/>
        <w:ind w:right="3219"/>
        <w:spacing w:after="0"/>
        <w:rPr>
          <w:sz w:val="20"/>
          <w:szCs w:val="20"/>
          <w:color w:val="auto"/>
        </w:rPr>
      </w:pPr>
      <w:r>
        <w:rPr>
          <w:rFonts w:ascii="Courier New" w:cs="Courier New" w:eastAsia="Courier New" w:hAnsi="Courier New"/>
          <w:sz w:val="15"/>
          <w:szCs w:val="15"/>
          <w:color w:val="auto"/>
        </w:rPr>
        <w:t>NN,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258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7220" w:type="dxa"/>
            <w:vAlign w:val="bottom"/>
          </w:tcPr>
          <w:p>
            <w:pPr>
              <w:spacing w:after="0"/>
              <w:rPr>
                <w:sz w:val="14"/>
                <w:szCs w:val="14"/>
                <w:color w:val="auto"/>
              </w:rPr>
            </w:pPr>
          </w:p>
        </w:tc>
        <w:tc>
          <w:tcPr>
            <w:tcW w:w="17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March 31,</w:t>
            </w:r>
          </w:p>
        </w:tc>
        <w:tc>
          <w:tcPr>
            <w:tcW w:w="820" w:type="dxa"/>
            <w:vAlign w:val="bottom"/>
          </w:tcPr>
          <w:p>
            <w:pPr>
              <w:spacing w:after="0"/>
              <w:rPr>
                <w:sz w:val="14"/>
                <w:szCs w:val="1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2005</w:t>
            </w:r>
          </w:p>
        </w:tc>
        <w:tc>
          <w:tcPr>
            <w:tcW w:w="40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2004</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7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7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$ 4,023</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3,218</w:t>
            </w:r>
          </w:p>
        </w:tc>
      </w:tr>
      <w:tr>
        <w:trPr>
          <w:trHeight w:val="168"/>
        </w:trPr>
        <w:tc>
          <w:tcPr>
            <w:tcW w:w="7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 (used in)</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4,174</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3,999</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loss on disposals of property, plant and equipment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debt issue costs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7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(9,990)</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(8,859)</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417</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2,348</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tax receivable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1,097</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(3,598)</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3,835</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1,086</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(4,511)</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6,150</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(832)</w:t>
            </w:r>
          </w:p>
        </w:tc>
        <w:tc>
          <w:tcPr>
            <w:tcW w:w="4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(2,322)</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disposals of property, plant and equipment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(2,286)</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short-term debt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(1,289)</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(2,584)</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stock</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990</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(1,582)</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(685)</w:t>
            </w:r>
          </w:p>
        </w:tc>
        <w:tc>
          <w:tcPr>
            <w:tcW w:w="4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(6,327)</w:t>
            </w:r>
          </w:p>
        </w:tc>
        <w:tc>
          <w:tcPr>
            <w:tcW w:w="40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2,165</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10,772</w:t>
            </w:r>
          </w:p>
        </w:tc>
        <w:tc>
          <w:tcPr>
            <w:tcW w:w="4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4,978</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$ 4,445</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7,143</w:t>
            </w:r>
          </w:p>
        </w:tc>
      </w:tr>
      <w:tr>
        <w:trPr>
          <w:trHeight w:val="168"/>
        </w:trPr>
        <w:tc>
          <w:tcPr>
            <w:tcW w:w="722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6" w:name="page7"/>
    <w:bookmarkEnd w:id="6"/>
    <w:p>
      <w:pPr>
        <w:jc w:val="center"/>
        <w:ind w:right="3239"/>
        <w:spacing w:after="0"/>
        <w:rPr>
          <w:sz w:val="20"/>
          <w:szCs w:val="20"/>
          <w:color w:val="auto"/>
        </w:rPr>
      </w:pPr>
      <w:r>
        <w:rPr>
          <w:rFonts w:ascii="Courier New" w:cs="Courier New" w:eastAsia="Courier New" w:hAnsi="Courier New"/>
          <w:sz w:val="15"/>
          <w:szCs w:val="15"/>
          <w:color w:val="auto"/>
        </w:rPr>
        <w:t>NN,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Interim Financial Statements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accompanying consolidated financial statements of NN, Inc. (the "Company") have not been audited by our independent registered public accounting firm, except that the balance sheet at December 31, 2004 is derived from the Company's audited financial statements. In the opinion of the Company's management, the financial statements reflect all adjustments necessary to present fairly the results of operations for the three month periods ended March 31, 2005 and 2004, the Company's financial position at March 31, 2005 and December 31, 2004, and the cash flows for the three month period ended March 31, 2005 and 2004. These adjustments are of a normal recurring nature and are, in the opinion of management, necessary for fair presentation of the financial position and operating results for the interim periods. As used in this Quarterly Report on Form 10-Q, the terms "NN", "the Company", "we", "our", or "us" mean NN, Inc. and its subsidiaries.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 These Condensed, Consolidated, Unaudited Financial Statements should be read in conjunction with our audited Consolidated Financial Statements and the Notes thereto included in our most recent annual report on Form 10-K which we filed with the Securities and Exchange Commission on March 16, 2005.</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results for the first quarter of 2005 are not necessarily indicative of future results.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Derivative Financial Instruments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an interest rate swap accounted for in accordance with Statement of Financial Accounting Standards (SFAS) No. 133, "Accounting for Derivative Instruments and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connection with a variable Euribor rate debt financing in July 2000, our subsidiary, NN Europe ApS (formerly known as NN Euroball ApS) entered into an interest rate swap with a notional amount of 12.5 million Euro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 This original debt was repaid in May 2003, however, the swap remains pursuant to its original terms.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March 31, 2005, the fair value of the swap was approximately $154,000, which is recorded in other non-current liabilities. The change in fair value during the three month periods ended March 31, 2005 and 2004 was a loss of approximately $14,000 and $8,000, respectively, which have been included as a component of other (income) expense.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 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jc w:val="both"/>
        <w:ind w:right="3420"/>
        <w:spacing w:after="0" w:line="234" w:lineRule="auto"/>
        <w:rPr>
          <w:sz w:val="20"/>
          <w:szCs w:val="20"/>
          <w:color w:val="auto"/>
        </w:rPr>
      </w:pPr>
      <w:r>
        <w:rPr>
          <w:rFonts w:ascii="Courier New" w:cs="Courier New" w:eastAsia="Courier New" w:hAnsi="Courier New"/>
          <w:sz w:val="15"/>
          <w:szCs w:val="15"/>
          <w:color w:val="auto"/>
        </w:rPr>
        <w:t>Inventories are stated at the lower of cost or market. Cost is determined using the first-in, first-out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are comprised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6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c>
          <w:tcPr>
            <w:tcW w:w="15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2005</w:t>
            </w:r>
          </w:p>
        </w:tc>
        <w:tc>
          <w:tcPr>
            <w:tcW w:w="156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8,265</w:t>
            </w:r>
          </w:p>
        </w:tc>
        <w:tc>
          <w:tcPr>
            <w:tcW w:w="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8,584</w:t>
            </w:r>
          </w:p>
        </w:tc>
        <w:tc>
          <w:tcPr>
            <w:tcW w:w="26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15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6,541</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6,356</w:t>
            </w:r>
          </w:p>
        </w:tc>
        <w:tc>
          <w:tcPr>
            <w:tcW w:w="26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5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21,086</w:t>
            </w:r>
          </w:p>
        </w:tc>
        <w:tc>
          <w:tcPr>
            <w:tcW w:w="9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22,334</w:t>
            </w:r>
          </w:p>
        </w:tc>
        <w:tc>
          <w:tcPr>
            <w:tcW w:w="26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inventory reserves</w:t>
            </w:r>
          </w:p>
        </w:tc>
        <w:tc>
          <w:tcPr>
            <w:tcW w:w="158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(1,620)</w:t>
            </w:r>
          </w:p>
        </w:tc>
        <w:tc>
          <w:tcPr>
            <w:tcW w:w="9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(1,645)</w:t>
            </w:r>
          </w:p>
        </w:tc>
        <w:tc>
          <w:tcPr>
            <w:tcW w:w="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2"/>
              </w:rPr>
              <w:t>34,272</w:t>
            </w:r>
          </w:p>
        </w:tc>
        <w:tc>
          <w:tcPr>
            <w:tcW w:w="15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$ 35,629</w:t>
            </w:r>
          </w:p>
        </w:tc>
        <w:tc>
          <w:tcPr>
            <w:tcW w:w="2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6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Inventories  on  consignment</w:t>
            </w:r>
          </w:p>
        </w:tc>
        <w:tc>
          <w:tcPr>
            <w:tcW w:w="36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at  customer  locations  as of March 31,</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r>
    </w:tbl>
    <w:p>
      <w:pPr>
        <w:spacing w:after="0" w:line="237" w:lineRule="auto"/>
        <w:rPr>
          <w:sz w:val="20"/>
          <w:szCs w:val="20"/>
          <w:color w:val="auto"/>
        </w:rPr>
      </w:pPr>
      <w:r>
        <w:rPr>
          <w:rFonts w:ascii="Courier New" w:cs="Courier New" w:eastAsia="Courier New" w:hAnsi="Courier New"/>
          <w:sz w:val="15"/>
          <w:szCs w:val="15"/>
          <w:color w:val="auto"/>
        </w:rPr>
        <w:t>December 31, 2004 were $3,963 and $3,755, respectively.</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Net Income Per Share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spacing w:after="0"/>
              <w:rPr>
                <w:sz w:val="14"/>
                <w:szCs w:val="14"/>
                <w:color w:val="auto"/>
              </w:rPr>
            </w:pPr>
          </w:p>
        </w:tc>
      </w:tr>
      <w:tr>
        <w:trPr>
          <w:trHeight w:val="168"/>
        </w:trPr>
        <w:tc>
          <w:tcPr>
            <w:tcW w:w="5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 Except Share and Per Share Data</w:t>
            </w:r>
          </w:p>
        </w:tc>
        <w:tc>
          <w:tcPr>
            <w:tcW w:w="162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88"/>
              </w:rPr>
              <w:t>2005</w:t>
            </w:r>
          </w:p>
        </w:tc>
        <w:tc>
          <w:tcPr>
            <w:tcW w:w="82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2004</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3,218</w:t>
            </w:r>
          </w:p>
        </w:tc>
      </w:tr>
      <w:tr>
        <w:trPr>
          <w:trHeight w:val="168"/>
        </w:trPr>
        <w:tc>
          <w:tcPr>
            <w:tcW w:w="5740" w:type="dxa"/>
            <w:vAlign w:val="bottom"/>
          </w:tcPr>
          <w:p>
            <w:pPr>
              <w:spacing w:after="0"/>
              <w:rPr>
                <w:sz w:val="14"/>
                <w:szCs w:val="14"/>
                <w:color w:val="auto"/>
              </w:rPr>
            </w:pPr>
          </w:p>
        </w:tc>
        <w:tc>
          <w:tcPr>
            <w:tcW w:w="2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basic shares</w:t>
            </w:r>
          </w:p>
        </w:tc>
        <w:tc>
          <w:tcPr>
            <w:tcW w:w="16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16,888,524</w:t>
            </w:r>
          </w:p>
        </w:tc>
        <w:tc>
          <w:tcPr>
            <w:tcW w:w="8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16,711,651</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stock options</w:t>
            </w:r>
          </w:p>
        </w:tc>
        <w:tc>
          <w:tcPr>
            <w:tcW w:w="16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372,260</w:t>
            </w:r>
          </w:p>
        </w:tc>
        <w:tc>
          <w:tcPr>
            <w:tcW w:w="8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477,099</w:t>
            </w:r>
          </w:p>
        </w:tc>
      </w:tr>
      <w:tr>
        <w:trPr>
          <w:trHeight w:val="168"/>
        </w:trPr>
        <w:tc>
          <w:tcPr>
            <w:tcW w:w="5740" w:type="dxa"/>
            <w:vAlign w:val="bottom"/>
          </w:tcPr>
          <w:p>
            <w:pPr>
              <w:spacing w:after="0"/>
              <w:rPr>
                <w:sz w:val="14"/>
                <w:szCs w:val="14"/>
                <w:color w:val="auto"/>
              </w:rPr>
            </w:pPr>
          </w:p>
        </w:tc>
        <w:tc>
          <w:tcPr>
            <w:tcW w:w="2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dilutive shares outstanding</w:t>
            </w:r>
          </w:p>
        </w:tc>
        <w:tc>
          <w:tcPr>
            <w:tcW w:w="16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17,260,784</w:t>
            </w:r>
          </w:p>
        </w:tc>
        <w:tc>
          <w:tcPr>
            <w:tcW w:w="8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17,188,750</w:t>
            </w:r>
          </w:p>
        </w:tc>
      </w:tr>
      <w:tr>
        <w:trPr>
          <w:trHeight w:val="168"/>
        </w:trPr>
        <w:tc>
          <w:tcPr>
            <w:tcW w:w="5740" w:type="dxa"/>
            <w:vAlign w:val="bottom"/>
          </w:tcPr>
          <w:p>
            <w:pPr>
              <w:spacing w:after="0"/>
              <w:rPr>
                <w:sz w:val="14"/>
                <w:szCs w:val="14"/>
                <w:color w:val="auto"/>
              </w:rPr>
            </w:pPr>
          </w:p>
        </w:tc>
        <w:tc>
          <w:tcPr>
            <w:tcW w:w="2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income per share</w:t>
            </w:r>
          </w:p>
        </w:tc>
        <w:tc>
          <w:tcPr>
            <w:tcW w:w="16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$0.24</w:t>
            </w:r>
          </w:p>
        </w:tc>
        <w:tc>
          <w:tcPr>
            <w:tcW w:w="8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740" w:type="dxa"/>
            <w:vAlign w:val="bottom"/>
          </w:tcPr>
          <w:p>
            <w:pPr>
              <w:spacing w:after="0"/>
              <w:rPr>
                <w:sz w:val="14"/>
                <w:szCs w:val="14"/>
                <w:color w:val="auto"/>
              </w:rPr>
            </w:pPr>
          </w:p>
        </w:tc>
        <w:tc>
          <w:tcPr>
            <w:tcW w:w="2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income per share</w:t>
            </w:r>
          </w:p>
        </w:tc>
        <w:tc>
          <w:tcPr>
            <w:tcW w:w="16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$0.23</w:t>
            </w:r>
          </w:p>
        </w:tc>
        <w:tc>
          <w:tcPr>
            <w:tcW w:w="8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$0.19</w:t>
            </w:r>
          </w:p>
        </w:tc>
      </w:tr>
      <w:tr>
        <w:trPr>
          <w:trHeight w:val="168"/>
        </w:trPr>
        <w:tc>
          <w:tcPr>
            <w:tcW w:w="5740" w:type="dxa"/>
            <w:vAlign w:val="bottom"/>
          </w:tcPr>
          <w:p>
            <w:pPr>
              <w:spacing w:after="0"/>
              <w:rPr>
                <w:sz w:val="14"/>
                <w:szCs w:val="14"/>
                <w:color w:val="auto"/>
              </w:rPr>
            </w:pPr>
          </w:p>
        </w:tc>
        <w:tc>
          <w:tcPr>
            <w:tcW w:w="28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20"/>
        <w:spacing w:after="0" w:line="235" w:lineRule="auto"/>
        <w:rPr>
          <w:sz w:val="20"/>
          <w:szCs w:val="20"/>
          <w:color w:val="auto"/>
        </w:rPr>
      </w:pPr>
      <w:r>
        <w:rPr>
          <w:rFonts w:ascii="Courier New" w:cs="Courier New" w:eastAsia="Courier New" w:hAnsi="Courier New"/>
          <w:sz w:val="15"/>
          <w:szCs w:val="15"/>
          <w:color w:val="auto"/>
        </w:rPr>
        <w:t>Excluded from the shares outstanding for each of the periods ended March 31, 2005 and 2004 were 357,000 and 438,000 antidilutive options, respectively, which had exercise prices of $12.62 as of March 31, 2005 and March 31, 2004.</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Segment Information</w:t>
      </w:r>
    </w:p>
    <w:p>
      <w:pPr>
        <w:spacing w:after="0" w:line="173" w:lineRule="exact"/>
        <w:rPr>
          <w:sz w:val="20"/>
          <w:szCs w:val="20"/>
          <w:color w:val="auto"/>
        </w:rPr>
      </w:pPr>
    </w:p>
    <w:p>
      <w:pPr>
        <w:jc w:val="both"/>
        <w:ind w:right="3420"/>
        <w:spacing w:after="0" w:line="254" w:lineRule="auto"/>
        <w:rPr>
          <w:sz w:val="20"/>
          <w:szCs w:val="20"/>
          <w:color w:val="auto"/>
        </w:rPr>
      </w:pPr>
      <w:r>
        <w:rPr>
          <w:rFonts w:ascii="Courier New" w:cs="Courier New" w:eastAsia="Courier New" w:hAnsi="Courier New"/>
          <w:sz w:val="14"/>
          <w:szCs w:val="14"/>
          <w:color w:val="auto"/>
        </w:rPr>
        <w:t>During 2005 and 2004, the Company's reportable segments are based on differences in product lines and geographic locations and are divided among Domestic Ball and Roller, European operations ("NN Europe") and Plastic and Rubber Components. The Domestic Ball and Roller Segment is comprised of two manufacturing facilities in the eastern United States. Additionally, costs related to our start-up operation in China and corporate office costs are included in the Domestic Ball and Roller Segment. The NN Europe Segment is comprised of precision ball manufacturing facilities located in Kilkenny, Ireland, Eltmann, Germany, Pinerolo, Italy, Veenendaal, The Netherlands ("Veenendaal") which is a tapered roller and metal cage manufacturing operation and Kysucke Nove Mesto, Slovakia, which began production in 2004. See Note 6, "Acquisitions, Joint Ventures and New Business Expansion". All of the facilities in the Domestic Ball and Roller Segment are engaged in the production of precision balls and rollers used primarily in the bearing industry. All of the facilities in the NN Europe Segment are engaged in the production of precision balls used primarily in the bearing industry except for Veenendaal which is engaged in the production of tapered rollers and cages for use primarily in the bearing industry. The Plastic and Rubber Components Segment is comprised of the Industrial Molding Corporation ("IMC") business, located in Lubbock, Texas and The Delta Rubber Company ("Delta") business, located in Danielson, Connecticut. IMC is engaged in the production of plastic injection molded products for the bearing, automotive, instrumentation, fiber optic and office automation markets. Delta is engaged principally in the production of engineered bearing seals used principally in automotive, industrial, agricultural, mining and aerospace applications.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420"/>
          </w:cols>
          <w:pgMar w:left="220" w:top="617" w:right="1259" w:bottom="1440" w:gutter="0" w:footer="0" w:header="0"/>
        </w:sectPr>
      </w:pPr>
    </w:p>
    <w:bookmarkStart w:id="8" w:name="page9"/>
    <w:bookmarkEnd w:id="8"/>
    <w:p>
      <w:pPr>
        <w:jc w:val="both"/>
        <w:ind w:right="4200"/>
        <w:spacing w:after="0" w:line="236" w:lineRule="auto"/>
        <w:rPr>
          <w:sz w:val="20"/>
          <w:szCs w:val="20"/>
          <w:color w:val="auto"/>
        </w:rPr>
      </w:pPr>
      <w:r>
        <w:rPr>
          <w:rFonts w:ascii="Courier New" w:cs="Courier New" w:eastAsia="Courier New" w:hAnsi="Courier New"/>
          <w:sz w:val="15"/>
          <w:szCs w:val="15"/>
          <w:color w:val="auto"/>
        </w:rPr>
        <w:t>The accounting policies of each segment are the same as those described in the summary of significant accounting policies in the Company's Annual Report on Form 10-K for the fiscal year ended December 31, 2004. We evaluate segment performance based on profit or loss from operations before income taxes. We account for inter-segment sales and transfers at current market prices; however, we did not have any material inter-segment transactions during the three month periods ended March 31, 2005 or 2004.</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Three Months Ended March 31,</w:t>
            </w: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2005</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2004</w:t>
            </w:r>
          </w:p>
        </w:tc>
        <w:tc>
          <w:tcPr>
            <w:tcW w:w="16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Plastic and</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Domestic</w:t>
            </w:r>
          </w:p>
        </w:tc>
        <w:tc>
          <w:tcPr>
            <w:tcW w:w="1260" w:type="dxa"/>
            <w:vAlign w:val="bottom"/>
          </w:tcPr>
          <w:p>
            <w:pPr>
              <w:spacing w:after="0"/>
              <w:rPr>
                <w:sz w:val="14"/>
                <w:szCs w:val="14"/>
                <w:color w:val="auto"/>
              </w:rPr>
            </w:pP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Plastic and</w:t>
            </w:r>
          </w:p>
        </w:tc>
      </w:tr>
      <w:tr>
        <w:trPr>
          <w:trHeight w:val="168"/>
        </w:trPr>
        <w:tc>
          <w:tcPr>
            <w:tcW w:w="2380" w:type="dxa"/>
            <w:vAlign w:val="bottom"/>
          </w:tcPr>
          <w:p>
            <w:pPr>
              <w:spacing w:after="0"/>
              <w:rPr>
                <w:sz w:val="14"/>
                <w:szCs w:val="14"/>
                <w:color w:val="auto"/>
              </w:rPr>
            </w:pP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Domestic Ball</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NN Europe</w:t>
            </w:r>
          </w:p>
        </w:tc>
        <w:tc>
          <w:tcPr>
            <w:tcW w:w="126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Rubber</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Ball &amp;</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NN Europe</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Rubber</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 of Dollars</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&amp; Roller</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Segment</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Components</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Roller</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Segment</w:t>
            </w:r>
          </w:p>
        </w:tc>
        <w:tc>
          <w:tcPr>
            <w:tcW w:w="1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Components</w:t>
            </w:r>
          </w:p>
        </w:tc>
      </w:tr>
      <w:tr>
        <w:trPr>
          <w:trHeight w:val="168"/>
        </w:trPr>
        <w:tc>
          <w:tcPr>
            <w:tcW w:w="56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 -------------------------------- ------------ ----------------</w:t>
            </w:r>
          </w:p>
        </w:tc>
        <w:tc>
          <w:tcPr>
            <w:tcW w:w="55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 ------------- --------------- ----------------</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$ 15,927</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$ 55,937</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$ 14,851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$ 14,427</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$ 50,055</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$ 13,150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customers</w:t>
            </w: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pretax profit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1,322</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702</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3,790</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52,250</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171,380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60,954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50,033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160,321</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57,671</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Acquisitions, Joint Ventures and New Business Expansion</w:t>
      </w:r>
    </w:p>
    <w:p>
      <w:pPr>
        <w:spacing w:after="0" w:line="173" w:lineRule="exact"/>
        <w:rPr>
          <w:sz w:val="20"/>
          <w:szCs w:val="20"/>
          <w:color w:val="auto"/>
        </w:rPr>
      </w:pPr>
    </w:p>
    <w:p>
      <w:pPr>
        <w:jc w:val="both"/>
        <w:ind w:right="4200"/>
        <w:spacing w:after="0" w:line="236" w:lineRule="auto"/>
        <w:rPr>
          <w:sz w:val="20"/>
          <w:szCs w:val="20"/>
          <w:color w:val="auto"/>
        </w:rPr>
      </w:pPr>
      <w:r>
        <w:rPr>
          <w:rFonts w:ascii="Courier New" w:cs="Courier New" w:eastAsia="Courier New" w:hAnsi="Courier New"/>
          <w:sz w:val="15"/>
          <w:szCs w:val="15"/>
          <w:color w:val="auto"/>
        </w:rPr>
        <w:t>During 2004, we formed a wholly-owned subsidiary, NN Precision Bearing Products Company, LTD, ("NN Asia)". This subsidiary, which is expected to begin precision ball production during the second half of 2005, will be located in the Kunshan Economic and Technology Development Zone, Jiangsu, The People's Republic of China and is a component of our strategy to globally expand our manufacturing base. The costs incurred as a result of this start-up for the three month periods ended March 31, 2005 and 2004 of approximately $0.2 million and $0.1 million, respectively, were expensed and are included in the Domestic Ball and Roller Segment.</w:t>
      </w:r>
    </w:p>
    <w:p>
      <w:pPr>
        <w:spacing w:after="0" w:line="178" w:lineRule="exact"/>
        <w:rPr>
          <w:sz w:val="20"/>
          <w:szCs w:val="20"/>
          <w:color w:val="auto"/>
        </w:rPr>
      </w:pPr>
    </w:p>
    <w:p>
      <w:pPr>
        <w:jc w:val="both"/>
        <w:ind w:right="4200"/>
        <w:spacing w:after="0" w:line="236" w:lineRule="auto"/>
        <w:rPr>
          <w:sz w:val="20"/>
          <w:szCs w:val="20"/>
          <w:color w:val="auto"/>
        </w:rPr>
      </w:pPr>
      <w:r>
        <w:rPr>
          <w:rFonts w:ascii="Courier New" w:cs="Courier New" w:eastAsia="Courier New" w:hAnsi="Courier New"/>
          <w:sz w:val="15"/>
          <w:szCs w:val="15"/>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2004. The financial results of the operations are included in our NN Europe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00"/>
          </w:cols>
          <w:pgMar w:left="220" w:top="624" w:right="47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Note 7. Pension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132R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132R requires additional disclosures to those in the original Statement 132 about the assets, obligations, cash flows, and net periodic benefit cost of defined benefit pension plans and other defined benefit postretirement plans. At March 31, 2005, we have complied with the disclosure requirements of SFAS No. 132R.</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have a defined benefit pension plan covering the employees at our Eltmann, Germany facility. The benefits are based on the expected years of service including the rate of compensation increase. The plan is unfunded.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Components of Net Periodic Pension Cost: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100" w:type="dxa"/>
            <w:vAlign w:val="bottom"/>
          </w:tcPr>
          <w:p>
            <w:pPr>
              <w:spacing w:after="0"/>
              <w:rPr>
                <w:sz w:val="24"/>
                <w:szCs w:val="24"/>
                <w:color w:val="auto"/>
              </w:rPr>
            </w:pPr>
          </w:p>
        </w:tc>
        <w:tc>
          <w:tcPr>
            <w:tcW w:w="2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1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of dollars)</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2005</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2004</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periodic pension cost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41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expect to contribute approximately $0.3 million to our pension plan in 2005. As of March 31, 2005, approximately $0.1 million of contributions have been made.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New Accounting Pronouncements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March 2005 the FASB issued FASB Interpretation No. 47, "Accounting for Conditional Asset Retirement Obligations" ("FIN 47"). FIN 47 clarifies that the term "conditional asset retirement obligation" as used in FASB Statement No. 143, "Accounting for Asset Retirement Obligations", refers to a legal obligation to perform an asset retirement activity in which the timing and (or) method of settlement are conditional on a future event that may or may not be within the control of the entity. FIN 47 is effective no later than the end of fiscal years ending after December 15, 2005. We are currently evaluating the impacts of FIN 47 on the Company's consolidated financial statements.</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December 16, 2004, the FASB issued SFAS No. 123R, "Share-Based Payment," which requires companies to expense the value of employee stock options and similar awards and establishes standards for the accounting for transactions in which an entity exchanges its equity instruments for goods. SFAS No. 123R was effective for annual periods beginning after June 15, 2005 and applies to all outstanding and unvested share-based payment awards. This Statement requires a public entity to measure the cost of employee services received in exchange for an award of equity instruments based on the grant-date fair value of the award (with limited exception). That cost will be recognized over the period during which an employee is required to provide service in exchange for the award-the requisite service period (usually the vesting period). We are currently evaluating the impacts of SFAS No. 123R on the Company's consolidated financial statements.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November 2004, the FASB issued SFAS No. 151, "Inventory Costs". SFAS No. 151 clarifies the accounting for abnormal amounts of idle facility expense, freight, handling costs and wasted material (spoilage). SFAS No. 151 requires these items be recognized as current-period charges. In addition, SFAS No. 151 requires the allocation of fixed production overheads to the costs of conversion be based on the normal capacity of the production facilities. This statement is effective for fiscal years beginning after June 15, 2005. We are currently evaluating the impact of SFAS No. 151 on the company's financial statements.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0" w:name="page11"/>
    <w:bookmarkEnd w:id="10"/>
    <w:p>
      <w:pPr>
        <w:jc w:val="both"/>
        <w:ind w:right="3239"/>
        <w:spacing w:after="0" w:line="236" w:lineRule="auto"/>
        <w:rPr>
          <w:sz w:val="20"/>
          <w:szCs w:val="20"/>
          <w:color w:val="auto"/>
        </w:rPr>
      </w:pPr>
      <w:r>
        <w:rPr>
          <w:rFonts w:ascii="Courier New" w:cs="Courier New" w:eastAsia="Courier New" w:hAnsi="Courier New"/>
          <w:sz w:val="15"/>
          <w:szCs w:val="15"/>
          <w:color w:val="auto"/>
        </w:rPr>
        <w:t>In December 2004, the FASB issued SFAS No. 153, "Exchanges of Nonmonetary Assets an amendment of APB Opinion No. 29". SFAS No. 153 eliminates the exception from fair value measurement for nonmonetary exchanges of similar productive assets in paragraph 21(b) of APB Opinion No. 29, Accounting for Nonmonetary Transactions, and replaces it with an exception for exchanges that do not have commercial substance. This Statement specifies that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We are currently evaluating the impact of SFAS 153 on the Company's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 for Qualified Domestic Production Activities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October 22, 2004, the President signed the American Jobs Creation Act of 2004 (the "Act"). The Act provides a deduction for income from qualified domestic production activities, which will be phased in from 2005 through 2010. In return, the Act also provides for a two-year phase out of the existing extra-territorial income exclusion (ETI) for foreign sales that was viewed to be inconsistent with international trade protocols by the European Union. We are not yet in a position to determine the net effect of the phase out of the ETI and the phase in of this new deduction on the effective tax rate in future years. We expect to be in a position to finalize our assessment by December 31, 2005.</w:t>
      </w:r>
    </w:p>
    <w:p>
      <w:pPr>
        <w:spacing w:after="0" w:line="17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Under the guidance in FASB Staff Position No. FAS 109-1, Application of FASB Statement No. 109, "Accounting for Income Taxes," to the Tax Deduction on Qualified Production Activities Provided by the American Jobs Creation Act of 2004, issued and effective on December 21, 2004, the deduction will be treated as a "special deduction" as described in FASB Statement No. 109. As such, the special deduction has no effect on deferred tax assets and liabilities existing at the enactment date. Rather, the impact of this deduction will be reported in the period in which qualifying activities occur.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Repatriation of Foreign Earnings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October 22, 2004, the President signed the American Jobs Creation Act of 2004 (the "Act"). The Act creates a temporary incentive for U.S. corporations to repatriate accumulated income earned abroad by providing an 85 percent dividends received deduction for certain dividends from controlled foreign corporations. The deduction is subject to a number of limitations and uncertainty remains as to how to interpret numerous provisions in the Act. As such, we are not yet in a position to decide on whether, and to what extent, we might repatriate foreign earnings that have not yet been remitted to the U.S. We expect to be in a position to finalize our assessment by December 31, 2005.</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Long-Term Debt and Short-Term Debt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$90 million syndicated credit facility with AmSouth Bank ("AmSouth") as the administrative agent and Suntrust Bank as the Euro loan agent for the lenders under which we borrowed $60.4 million and 26.3 million Euros ($29.6 million) (the "$90 million credit facility"). This financing arrangement replaced our prior credit facility with AmSouth and Hypo Vereinsbank Luxembourg, S.A. The credit facility as originally entered into consisted of a $30.0 million revolver ("$30.0 million revolver") expiring on March 15, 2005, subsequently extended to June 30, 2007 bearing interest at a floating rate equal to LIBOR (3.12% at March 31, 2005) plus an applicable margin of 1.25% to 2.0%, a $30.4 million term loan expiring on May 1, 2008, bearing interest at a floating rate equal to LIBOR plus an applicable margin of 1.25% to 2.0% and a 26.3 million Euro ($29.6 million) term loan ("26.3 million Euro term loan") expiring on May 1, 2008 which bears interest at a floating rate equal to Euro LIBOR plus an applicable margin of 1.25% to 2.0%. All amounts owed under the $30.4 million term loan were paid during the second quarter of 2004 with the proceeds from our $40 million notes and we no longer have borrowing capacity under that portion of the $90 million credit facility. The terms of the $30.0 million revolver and the 26.3 million Euro term loan remain unchanged. The loan agreement contains customary financial and non-financial covenants. Such covenants specify that we must maintain certain liquidity measures. The loan agreement also contains customary restrictions on, among other things, additional indebtedness, liens on our assets,</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1" w:name="page12"/>
    <w:bookmarkEnd w:id="11"/>
    <w:p>
      <w:pPr>
        <w:jc w:val="both"/>
        <w:ind w:right="3239"/>
        <w:spacing w:after="0" w:line="236" w:lineRule="auto"/>
        <w:rPr>
          <w:sz w:val="20"/>
          <w:szCs w:val="20"/>
          <w:color w:val="auto"/>
        </w:rPr>
      </w:pPr>
      <w:r>
        <w:rPr>
          <w:rFonts w:ascii="Courier New" w:cs="Courier New" w:eastAsia="Courier New" w:hAnsi="Courier New"/>
          <w:sz w:val="15"/>
          <w:szCs w:val="15"/>
          <w:color w:val="auto"/>
        </w:rPr>
        <w:t>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We were in compliance with all such covenants as of March 31, 2005.</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April 26, 2004 we issued $40.0 million aggregate principal amount of senior notes in a private placement (the "$40 million notes"). These notes bear interest at a fixed rate of 4.89% and mature on April 26, 2014. Interest is paid semi-annually. As of March 31, 2005, $40.0 million remained outstanding. Annual principal payments of approximately $5.7 million begin on April 26, 2008 and extend through the date of maturity. Proceeds from this credit facility were used to repay our existing US dollar denominated term loan, $24 million, and repay a portion, of our borrowings under our US dollar denominated revolving credit facility, $13 million, which are both components of our $90 million credit facility, and to repay other short term borrowings totaling approximately $4.7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March 31, 2005. The notes are not collateralized except for the pledge of stock of certain foreign subsidiaries. We incurred $0.7 million of related costs as a result of issuing these notes which have been recorded as a component of other non-current assets and are being amortized over the term of the notes.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fair value of our fixed rate long-term borrowings are estimated using discounted cash flow analysis based on our incremental borrowing rates for similar types of borrowing arrangements. We estimate the fair value of the $40 million notes to be $40.2 million at March 31, 2005 and $40.4 million at December 31, 2004.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Goodwill</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changes in the carrying amount of goodwill for the three month period ended March 31, 2005 and the twelve month period ended December 31, 2004 are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3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Plastic and Rubber</w:t>
            </w: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Components Segment</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NN Europe Segment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rPr>
                <w:sz w:val="14"/>
                <w:szCs w:val="14"/>
                <w:color w:val="auto"/>
              </w:rPr>
            </w:pP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as of January 1, 2004</w:t>
            </w:r>
          </w:p>
        </w:tc>
        <w:tc>
          <w:tcPr>
            <w:tcW w:w="3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$ 25,755</w:t>
            </w:r>
          </w:p>
        </w:tc>
        <w:tc>
          <w:tcPr>
            <w:tcW w:w="1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$ 17,138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$ 42,893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w:t>
            </w:r>
          </w:p>
        </w:tc>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1,564</w:t>
            </w:r>
          </w:p>
        </w:tc>
      </w:tr>
      <w:tr>
        <w:trPr>
          <w:trHeight w:val="168"/>
        </w:trPr>
        <w:tc>
          <w:tcPr>
            <w:tcW w:w="3080" w:type="dxa"/>
            <w:vAlign w:val="bottom"/>
          </w:tcPr>
          <w:p>
            <w:pPr>
              <w:spacing w:after="0"/>
              <w:rPr>
                <w:sz w:val="14"/>
                <w:szCs w:val="14"/>
                <w:color w:val="auto"/>
              </w:rPr>
            </w:pP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December 31, 2004</w:t>
            </w:r>
          </w:p>
        </w:tc>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$ 25,755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$ 18,702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$ 44,457</w:t>
            </w:r>
          </w:p>
        </w:tc>
      </w:tr>
      <w:tr>
        <w:trPr>
          <w:trHeight w:val="168"/>
        </w:trPr>
        <w:tc>
          <w:tcPr>
            <w:tcW w:w="3080" w:type="dxa"/>
            <w:vAlign w:val="bottom"/>
          </w:tcPr>
          <w:p>
            <w:pPr>
              <w:spacing w:after="0"/>
              <w:rPr>
                <w:sz w:val="14"/>
                <w:szCs w:val="14"/>
                <w:color w:val="auto"/>
              </w:rPr>
            </w:pPr>
          </w:p>
        </w:tc>
        <w:tc>
          <w:tcPr>
            <w:tcW w:w="67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thousands of dollars</w:t>
            </w:r>
          </w:p>
        </w:tc>
        <w:tc>
          <w:tcPr>
            <w:tcW w:w="3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Plastic and Rubber</w:t>
            </w: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3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Components Segment</w:t>
            </w:r>
          </w:p>
        </w:tc>
        <w:tc>
          <w:tcPr>
            <w:tcW w:w="1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NN Europe Segment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080" w:type="dxa"/>
            <w:vAlign w:val="bottom"/>
          </w:tcPr>
          <w:p>
            <w:pPr>
              <w:spacing w:after="0"/>
              <w:rPr>
                <w:sz w:val="14"/>
                <w:szCs w:val="14"/>
                <w:color w:val="auto"/>
              </w:rPr>
            </w:pP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January 1, 2005</w:t>
            </w:r>
          </w:p>
        </w:tc>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$ 25,755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$ 18,702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$ 44,457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 impacts</w:t>
            </w:r>
          </w:p>
        </w:tc>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3080" w:type="dxa"/>
            <w:vAlign w:val="bottom"/>
          </w:tcPr>
          <w:p>
            <w:pPr>
              <w:spacing w:after="0"/>
              <w:rPr>
                <w:sz w:val="14"/>
                <w:szCs w:val="14"/>
                <w:color w:val="auto"/>
              </w:rPr>
            </w:pPr>
          </w:p>
        </w:tc>
        <w:tc>
          <w:tcPr>
            <w:tcW w:w="3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March 31, 2005</w:t>
            </w:r>
          </w:p>
        </w:tc>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$ 25,755</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$ 17,665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$ 43,420</w:t>
            </w:r>
          </w:p>
        </w:tc>
      </w:tr>
      <w:tr>
        <w:trPr>
          <w:trHeight w:val="168"/>
        </w:trPr>
        <w:tc>
          <w:tcPr>
            <w:tcW w:w="3080" w:type="dxa"/>
            <w:vAlign w:val="bottom"/>
          </w:tcPr>
          <w:p>
            <w:pPr>
              <w:spacing w:after="0"/>
              <w:rPr>
                <w:sz w:val="14"/>
                <w:szCs w:val="14"/>
                <w:color w:val="auto"/>
              </w:rPr>
            </w:pPr>
          </w:p>
        </w:tc>
        <w:tc>
          <w:tcPr>
            <w:tcW w:w="67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 =================== ===============</w:t>
            </w:r>
          </w:p>
        </w:tc>
      </w:tr>
      <w:tr>
        <w:trPr>
          <w:trHeight w:val="673"/>
        </w:trPr>
        <w:tc>
          <w:tcPr>
            <w:tcW w:w="3080" w:type="dxa"/>
            <w:vAlign w:val="bottom"/>
          </w:tcPr>
          <w:p>
            <w:pPr>
              <w:spacing w:after="0"/>
              <w:rPr>
                <w:sz w:val="24"/>
                <w:szCs w:val="24"/>
                <w:color w:val="auto"/>
              </w:rPr>
            </w:pPr>
          </w:p>
        </w:tc>
        <w:tc>
          <w:tcPr>
            <w:tcW w:w="3540" w:type="dxa"/>
            <w:vAlign w:val="bottom"/>
          </w:tcPr>
          <w:p>
            <w:pPr>
              <w:jc w:val="right"/>
              <w:ind w:right="2947"/>
              <w:spacing w:after="0"/>
              <w:rPr>
                <w:sz w:val="20"/>
                <w:szCs w:val="20"/>
                <w:color w:val="auto"/>
              </w:rPr>
            </w:pPr>
            <w:r>
              <w:rPr>
                <w:rFonts w:ascii="Courier New" w:cs="Courier New" w:eastAsia="Courier New" w:hAnsi="Courier New"/>
                <w:sz w:val="15"/>
                <w:szCs w:val="15"/>
                <w:color w:val="auto"/>
              </w:rPr>
              <w:t>11</w:t>
            </w: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11. Stock Compensation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adopted the provisions of SFAS 123, which encourages but does not require a fair value based method of accounting for stock compensation plans. We have elected to continue accounting for our stock compensation plan using the intrinsic value based method under Accounting Principals Board ("APB") Opinion No. 25 and, accordingly, have not recorded compensation expense for the three month periods ended March 31, 2005 or March 31, 2004 except as related to stock options accounted for under the variable method of accounting. Had compensation cost for our stock compensation plan been determined based on the fair value at the option grant dates, our net income and earnings per share would have been reduced to the pro-forma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0"/>
        <w:spacing w:after="0"/>
        <w:rPr>
          <w:sz w:val="20"/>
          <w:szCs w:val="20"/>
          <w:color w:val="auto"/>
        </w:rPr>
      </w:pPr>
      <w:r>
        <w:rPr>
          <w:rFonts w:ascii="Courier New" w:cs="Courier New" w:eastAsia="Courier New" w:hAnsi="Courier New"/>
          <w:sz w:val="14"/>
          <w:szCs w:val="14"/>
          <w:color w:val="auto"/>
        </w:rPr>
        <w:t>Three months ended</w:t>
      </w:r>
    </w:p>
    <w:p>
      <w:pPr>
        <w:spacing w:after="0" w:line="3"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March 31,</w:t>
      </w:r>
    </w:p>
    <w:p>
      <w:pPr>
        <w:sectPr>
          <w:pgSz w:w="11900" w:h="16838" w:orient="portrait"/>
          <w:cols w:equalWidth="0" w:num="1">
            <w:col w:w="10239"/>
          </w:cols>
          <w:pgMar w:left="220" w:top="617"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line="237" w:lineRule="auto"/>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6220" w:space="340"/>
            <w:col w:w="1140" w:space="440"/>
            <w:col w:w="20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$3,218</w:t>
      </w:r>
    </w:p>
    <w:p>
      <w:pPr>
        <w:spacing w:after="0" w:line="10" w:lineRule="exact"/>
        <w:rPr>
          <w:sz w:val="20"/>
          <w:szCs w:val="20"/>
          <w:color w:val="auto"/>
        </w:rPr>
      </w:pPr>
    </w:p>
    <w:p>
      <w:pPr>
        <w:sectPr>
          <w:pgSz w:w="11900" w:h="16838" w:orient="portrait"/>
          <w:cols w:equalWidth="0" w:num="3">
            <w:col w:w="6120" w:space="720"/>
            <w:col w:w="760" w:space="720"/>
            <w:col w:w="191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(income), net of income tax,</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(67)</w:t>
      </w:r>
    </w:p>
    <w:p>
      <w:pPr>
        <w:spacing w:after="0" w:line="5" w:lineRule="exact"/>
        <w:rPr>
          <w:sz w:val="20"/>
          <w:szCs w:val="20"/>
          <w:color w:val="auto"/>
        </w:rPr>
      </w:pPr>
    </w:p>
    <w:p>
      <w:pPr>
        <w:sectPr>
          <w:pgSz w:w="11900" w:h="16838" w:orient="portrait"/>
          <w:cols w:equalWidth="0" w:num="3">
            <w:col w:w="6460" w:space="720"/>
            <w:col w:w="680" w:space="720"/>
            <w:col w:w="165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net of income tax, that would have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been included in net income if the fair value method had been</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 pro-forma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 - as reported</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4"/>
          <w:szCs w:val="14"/>
          <w:color w:val="auto"/>
        </w:rPr>
        <w:t>(251)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$ 3,711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680" w:val="left"/>
        </w:tabs>
        <w:rPr>
          <w:sz w:val="20"/>
          <w:szCs w:val="20"/>
          <w:color w:val="auto"/>
        </w:rPr>
      </w:pPr>
      <w:r>
        <w:rPr>
          <w:rFonts w:ascii="Courier New" w:cs="Courier New" w:eastAsia="Courier New" w:hAnsi="Courier New"/>
          <w:sz w:val="15"/>
          <w:szCs w:val="15"/>
          <w:color w:val="auto"/>
        </w:rPr>
        <w:t>$</w:t>
        <w:tab/>
        <w:t>0.24</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$3,144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$ 0.19</w:t>
      </w:r>
    </w:p>
    <w:p>
      <w:pPr>
        <w:spacing w:after="0" w:line="5" w:lineRule="exact"/>
        <w:rPr>
          <w:sz w:val="20"/>
          <w:szCs w:val="20"/>
          <w:color w:val="auto"/>
        </w:rPr>
      </w:pPr>
    </w:p>
    <w:p>
      <w:pPr>
        <w:sectPr>
          <w:pgSz w:w="11900" w:h="16838" w:orient="portrait"/>
          <w:cols w:equalWidth="0" w:num="3">
            <w:col w:w="5680" w:space="720"/>
            <w:col w:w="1140" w:space="420"/>
            <w:col w:w="227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(income), net of income tax,</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6540" w:space="720"/>
            <w:col w:w="680" w:space="720"/>
            <w:col w:w="157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net of income tax, that would have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been included in net income if the fair value method had been</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 - pro-forma</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5"/>
          <w:szCs w:val="15"/>
          <w:color w:val="auto"/>
        </w:rPr>
        <w:t>(0.01)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680" w:val="left"/>
        </w:tabs>
        <w:rPr>
          <w:sz w:val="20"/>
          <w:szCs w:val="20"/>
          <w:color w:val="auto"/>
        </w:rPr>
      </w:pPr>
      <w:r>
        <w:rPr>
          <w:rFonts w:ascii="Courier New" w:cs="Courier New" w:eastAsia="Courier New" w:hAnsi="Courier New"/>
          <w:sz w:val="15"/>
          <w:szCs w:val="15"/>
          <w:color w:val="auto"/>
        </w:rPr>
        <w:t>$</w:t>
        <w:tab/>
        <w:t>0.23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$ 0.19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5680" w:space="720"/>
            <w:col w:w="1140" w:space="420"/>
            <w:col w:w="2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Earnings per share-assuming dilution - as reported</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$ 0.19</w:t>
      </w:r>
    </w:p>
    <w:p>
      <w:pPr>
        <w:spacing w:after="0" w:line="10" w:lineRule="exact"/>
        <w:rPr>
          <w:sz w:val="20"/>
          <w:szCs w:val="20"/>
          <w:color w:val="auto"/>
        </w:rPr>
      </w:pPr>
    </w:p>
    <w:p>
      <w:pPr>
        <w:sectPr>
          <w:pgSz w:w="11900" w:h="16838" w:orient="portrait"/>
          <w:cols w:equalWidth="0" w:num="3">
            <w:col w:w="6120" w:space="720"/>
            <w:col w:w="760" w:space="720"/>
            <w:col w:w="191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(income), net of income tax,</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included in net income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6540" w:space="720"/>
            <w:col w:w="680" w:space="720"/>
            <w:col w:w="157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Stock based compensation costs, net of income tax, that would have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been included in net income if the fair value method had been</w:t>
      </w:r>
    </w:p>
    <w:p>
      <w:pPr>
        <w:sectPr>
          <w:pgSz w:w="11900" w:h="16838" w:orient="portrait"/>
          <w:cols w:equalWidth="0" w:num="1">
            <w:col w:w="10239"/>
          </w:cols>
          <w:pgMar w:left="220" w:top="617" w:right="1440" w:bottom="1440" w:gutter="0" w:footer="0" w:header="0"/>
          <w:type w:val="continuous"/>
        </w:sectPr>
      </w:pP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applied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 - assuming dilution-pro-forma</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5"/>
          <w:szCs w:val="15"/>
          <w:color w:val="auto"/>
        </w:rPr>
        <w:t>(0.01)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680" w:val="left"/>
        </w:tabs>
        <w:rPr>
          <w:sz w:val="20"/>
          <w:szCs w:val="20"/>
          <w:color w:val="auto"/>
        </w:rPr>
      </w:pPr>
      <w:r>
        <w:rPr>
          <w:rFonts w:ascii="Courier New" w:cs="Courier New" w:eastAsia="Courier New" w:hAnsi="Courier New"/>
          <w:sz w:val="15"/>
          <w:szCs w:val="15"/>
          <w:color w:val="auto"/>
        </w:rPr>
        <w:t>$</w:t>
        <w:tab/>
        <w:t>0.22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$ 0.19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680" w:space="720"/>
            <w:col w:w="1140" w:space="420"/>
            <w:col w:w="2279"/>
          </w:cols>
          <w:pgMar w:left="220" w:top="617" w:right="1440" w:bottom="1440" w:gutter="0" w:footer="0" w:header="0"/>
          <w:type w:val="continuous"/>
        </w:sectPr>
      </w:pPr>
    </w:p>
    <w:p>
      <w:pPr>
        <w:spacing w:after="0" w:line="14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fair value of each option grant was estimated based on actual information available through March 31, 2005 and 2004 using the Black Scholes option-pricing model with the following assumptions:</w:t>
      </w:r>
    </w:p>
    <w:p>
      <w:pPr>
        <w:spacing w:after="0" w:line="167"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Term</w:t>
      </w:r>
      <w:r>
        <w:rPr>
          <w:sz w:val="20"/>
          <w:szCs w:val="20"/>
          <w:color w:val="auto"/>
        </w:rPr>
        <w:tab/>
      </w:r>
      <w:r>
        <w:rPr>
          <w:rFonts w:ascii="Courier New" w:cs="Courier New" w:eastAsia="Courier New" w:hAnsi="Courier New"/>
          <w:sz w:val="15"/>
          <w:szCs w:val="15"/>
          <w:color w:val="auto"/>
        </w:rPr>
        <w:t>Vesting period</w:t>
      </w:r>
    </w:p>
    <w:p>
      <w:pPr>
        <w:spacing w:after="0"/>
        <w:tabs>
          <w:tab w:leader="none" w:pos="22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free interest rate 4.00% and 3.85% at March 31, 2005 and 2004, respectively</w:t>
      </w:r>
    </w:p>
    <w:p>
      <w:pPr>
        <w:spacing w:after="0" w:line="3"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Dividend yield</w:t>
      </w:r>
      <w:r>
        <w:rPr>
          <w:sz w:val="20"/>
          <w:szCs w:val="20"/>
          <w:color w:val="auto"/>
        </w:rPr>
        <w:tab/>
      </w:r>
      <w:r>
        <w:rPr>
          <w:rFonts w:ascii="Courier New" w:cs="Courier New" w:eastAsia="Courier New" w:hAnsi="Courier New"/>
          <w:sz w:val="14"/>
          <w:szCs w:val="14"/>
          <w:color w:val="auto"/>
        </w:rPr>
        <w:t>2.60% and 2.74% at March 31, 2005 and 2004, respectively</w:t>
      </w:r>
    </w:p>
    <w:p>
      <w:pPr>
        <w:spacing w:after="0" w:line="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4"/>
          <w:szCs w:val="14"/>
          <w:color w:val="auto"/>
        </w:rPr>
        <w:t>Volatility</w:t>
      </w:r>
      <w:r>
        <w:rPr>
          <w:sz w:val="20"/>
          <w:szCs w:val="20"/>
          <w:color w:val="auto"/>
        </w:rPr>
        <w:tab/>
      </w:r>
      <w:r>
        <w:rPr>
          <w:rFonts w:ascii="Courier New" w:cs="Courier New" w:eastAsia="Courier New" w:hAnsi="Courier New"/>
          <w:sz w:val="14"/>
          <w:szCs w:val="14"/>
          <w:color w:val="auto"/>
        </w:rPr>
        <w:t>48.38% and 49.16% at March 31, 2005 and 2004, respectively</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Note 12. Lease Commitment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June 1, 2004, our wholly owned subsidiary, NN Precision Bearing Products Company LTD, entered into a twenty year lease agreement with Kunshan Tian Li Steel Structure Co. LTD for the lease of land and building (approximately 110,000 square feet) in the Kunshan Economic and Technology Development Zone, Jiangsu, The People's Republic of China. The building will be newly constructed and we expect to begin usage of the leased property during the second half of 2005. The land and building remain under the control of the lessor until such time as usage of the leased property commences. The agreement satisfied the requirements of a capital lease at June 1, 2004 and we anticipate recording the lease as a capital lease in our Consolidated Financial Statements when usage of the leased property begins. Accordingly, as of March 31, 2005, no amount has been recorded related to the asset and corresponding obligation associated with the lease agreement in our Consolidated Financial Statements. We estimate the fair value of the land and building to be approximately $2.0 million and undiscounted annual lease payments of approximately $0.2 million (approximately $4.1 million aggregate non-discounted lease payments over the twenty year term). The lease term includes a fair value buy-out provision and the option to extend the lease term under the same terms and conditions as the original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Restructuring Charges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Eltmann, Germany Restructuring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the fourth quarter of 2004, the Company's NN Europe subsidiary, a component of the Company's NN Europe Segment, announced a reduction in staffing at its Eltmann, Germany ball production facility. This restructuring will affect approximately 86 employees and is expected be completed during 2005. As a result, during 2004, the Company recorded restructuring charges of approximately 1,700 Euro ($2,290) related to severance costs of approximately $2,115 and other related charges of approximately $175. The workforce reduction is a result of the Company's continuing strategy of rationalizing its global manufacturing capacity and transfer of production principally to its facility in Kysucke Nove Mesto, Slovakia. The charges were recorded in restructuring and impairment costs, a component of income from operations in the fourth quarter of 2004.</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summarizes the restructuring charges related to the restructuring at the Company's Eltmann, Germany facility for the twelve months ended December 31, 2004 and the three months ended March 31, 2005: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2005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Reserve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Reserve</w:t>
            </w:r>
          </w:p>
        </w:tc>
      </w:tr>
      <w:tr>
        <w:trPr>
          <w:trHeight w:val="168"/>
        </w:trPr>
        <w:tc>
          <w:tcPr>
            <w:tcW w:w="2580" w:type="dxa"/>
            <w:vAlign w:val="bottom"/>
          </w:tcPr>
          <w:p>
            <w:pPr>
              <w:spacing w:after="0"/>
              <w:rPr>
                <w:sz w:val="14"/>
                <w:szCs w:val="14"/>
                <w:color w:val="auto"/>
              </w:rPr>
            </w:pP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Balance at</w:t>
            </w:r>
          </w:p>
        </w:tc>
        <w:tc>
          <w:tcPr>
            <w:tcW w:w="132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Paid in</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Currency</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w:t>
            </w:r>
          </w:p>
        </w:tc>
      </w:tr>
      <w:tr>
        <w:trPr>
          <w:trHeight w:val="168"/>
        </w:trPr>
        <w:tc>
          <w:tcPr>
            <w:tcW w:w="2580" w:type="dxa"/>
            <w:vAlign w:val="bottom"/>
          </w:tcPr>
          <w:p>
            <w:pPr>
              <w:spacing w:after="0"/>
              <w:rPr>
                <w:sz w:val="14"/>
                <w:szCs w:val="14"/>
                <w:color w:val="auto"/>
              </w:rPr>
            </w:pP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12/31/04</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Charges</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2005</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Impacts</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03/31/05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Severance and other</w:t>
            </w: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$ 2,290</w:t>
            </w: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$ 184</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 (86)</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$ 2,020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costs</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80" w:type="dxa"/>
            <w:vAlign w:val="bottom"/>
          </w:tcPr>
          <w:p>
            <w:pPr>
              <w:spacing w:after="0"/>
              <w:rPr>
                <w:sz w:val="14"/>
                <w:szCs w:val="14"/>
                <w:color w:val="auto"/>
              </w:rPr>
            </w:pPr>
          </w:p>
        </w:tc>
        <w:tc>
          <w:tcPr>
            <w:tcW w:w="1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$ 2,290</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$ 184</w:t>
            </w:r>
          </w:p>
        </w:tc>
        <w:tc>
          <w:tcPr>
            <w:tcW w:w="12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(86)</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$ 2,020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2004</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Charges</w:t>
            </w:r>
          </w:p>
        </w:tc>
        <w:tc>
          <w:tcPr>
            <w:tcW w:w="15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 in 2004</w:t>
            </w: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Reserve Balance at</w:t>
            </w:r>
          </w:p>
        </w:tc>
      </w:tr>
      <w:tr>
        <w:trPr>
          <w:trHeight w:val="168"/>
        </w:trPr>
        <w:tc>
          <w:tcPr>
            <w:tcW w:w="4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12/31/04</w:t>
            </w:r>
          </w:p>
        </w:tc>
      </w:tr>
      <w:tr>
        <w:trPr>
          <w:trHeight w:val="168"/>
        </w:trPr>
        <w:tc>
          <w:tcPr>
            <w:tcW w:w="404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and other employee costs</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$2,290</w:t>
            </w:r>
          </w:p>
        </w:tc>
        <w:tc>
          <w:tcPr>
            <w:tcW w:w="15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$2,290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$2,290</w:t>
            </w:r>
          </w:p>
        </w:tc>
        <w:tc>
          <w:tcPr>
            <w:tcW w:w="15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$2,290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expect to pay all amounts during 2005 and no additional charges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4" w:name="page15"/>
    <w:bookmarkEnd w:id="14"/>
    <w:p>
      <w:pPr>
        <w:ind w:left="440" w:right="3239" w:hanging="436"/>
        <w:spacing w:after="0"/>
        <w:rPr>
          <w:sz w:val="20"/>
          <w:szCs w:val="20"/>
          <w:color w:val="auto"/>
        </w:rPr>
      </w:pPr>
      <w:r>
        <w:rPr>
          <w:rFonts w:ascii="Courier New" w:cs="Courier New" w:eastAsia="Courier New" w:hAnsi="Courier New"/>
          <w:sz w:val="15"/>
          <w:szCs w:val="15"/>
          <w:color w:val="auto"/>
        </w:rPr>
        <w:t>Item 2. Management's</w:t>
      </w:r>
      <w:r>
        <w:rPr>
          <w:sz w:val="20"/>
          <w:szCs w:val="20"/>
          <w:color w:val="auto"/>
        </w:rPr>
        <w:t xml:space="preserve"> </w:t>
      </w:r>
      <w:r>
        <w:rPr>
          <w:rFonts w:ascii="Courier New" w:cs="Courier New" w:eastAsia="Courier New" w:hAnsi="Courier New"/>
          <w:sz w:val="15"/>
          <w:szCs w:val="15"/>
          <w:color w:val="auto"/>
        </w:rPr>
        <w:t>Discussion and Analysis of Financial Condition and Results Of Operations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and Management Focus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Our strategy and management focus is based upon the following long-term objectives:</w:t>
      </w:r>
    </w:p>
    <w:p>
      <w:pPr>
        <w:spacing w:after="0" w:line="173" w:lineRule="exact"/>
        <w:rPr>
          <w:sz w:val="20"/>
          <w:szCs w:val="20"/>
          <w:color w:val="auto"/>
        </w:rPr>
      </w:pPr>
    </w:p>
    <w:p>
      <w:pPr>
        <w:ind w:left="880" w:right="323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Captive growth, providing a competitive and attractive alternative to the operations of our global customers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our bearing product offering, and</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expansion of our manufacturing base to better address the global requirements of our customers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Management generally focuses on these trends and relevant market indicators:</w:t>
      </w:r>
    </w:p>
    <w:p>
      <w:pPr>
        <w:spacing w:after="0" w:line="167" w:lineRule="exact"/>
        <w:rPr>
          <w:sz w:val="20"/>
          <w:szCs w:val="20"/>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industrial growth and economics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automotive production rates</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subject to the global inflationary environment, including, but not limited to:</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Raw material</w:t>
      </w:r>
    </w:p>
    <w:p>
      <w:pPr>
        <w:spacing w:after="0" w:line="166" w:lineRule="exact"/>
        <w:rPr>
          <w:sz w:val="20"/>
          <w:szCs w:val="20"/>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Wages and benefits, including health care costs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compliance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Energy</w:t>
      </w:r>
    </w:p>
    <w:p>
      <w:pPr>
        <w:spacing w:after="0" w:line="166"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Raw material availability</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related to manufacturing's geographic migration of competitive manufacturing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environment for United States public companies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and exchange rate movements and trends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levels and expectations</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Management generally focuses on the following key indicators of operating performance:</w:t>
      </w:r>
    </w:p>
    <w:p>
      <w:pPr>
        <w:spacing w:after="0" w:line="167" w:lineRule="exact"/>
        <w:rPr>
          <w:sz w:val="20"/>
          <w:szCs w:val="20"/>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growth</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products sold levels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levels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from operations and capital spending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core business is the manufacture and sale of high quality, precision steel balls and rollers. In 2004, sales of balls and rollers accounted for approximately 77% of the Company's total net sales with 59% and 18% of sales from balls and rollers, respectively. Sales of metal bearing retainers accounted for 6% and sales of precision molded plastic and rubber parts accounted for the remaining 17%.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jc w:val="both"/>
        <w:ind w:right="3239"/>
        <w:spacing w:after="0" w:line="236" w:lineRule="auto"/>
        <w:rPr>
          <w:sz w:val="20"/>
          <w:szCs w:val="20"/>
          <w:color w:val="auto"/>
        </w:rPr>
      </w:pPr>
      <w:r>
        <w:rPr>
          <w:rFonts w:ascii="Courier New" w:cs="Courier New" w:eastAsia="Courier New" w:hAnsi="Courier New"/>
          <w:sz w:val="15"/>
          <w:szCs w:val="15"/>
          <w:color w:val="auto"/>
        </w:rPr>
        <w:t>Since our formation in 1980 we have grown primarily through the displacement of captive ball manufacturing operations of domestic and international bearing manufacturers resulting in increased sales 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Three Months Ended March 31, 2005 Compared to the Three Months Ended March 31, 2004</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Net Sales. Net sales increased by approximately $9.1 million, or 11.7%, from $77.6 million in the first quarter of 2004 to $86.7 million in the first quarter of 2005. By segment, net sales increased by $5.9 million for the NN Europe Segment, $1.7 million for the Plastic and Rubber Components Segment and $1.5 million for the Domestic Ball and Roller Segment. Within the NN Europe Segment, approximately $3.4 million of the increase is related to the impact of foreign currency exchange rates, approximately $1.6 million is related to price adjustments associated with raw material pass through and approximately $0.9 million is related to increased product demand. Within the Plastic and Rubber Components Segment, approximately $0.4 million is related to price adjustments associated with raw material pass through and approximately $1.3 million is related to increased product demand. Within the Domestic Ball and Roller Segment, approximately $1.1 million of the increase is related to price adjustments associated with raw material pass through and $0.4 million is related to increased product demand.</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Cost of Products Sold. Cost of products sold increased by approximately $7.3 million, or 12.0%, from $60.4 million in the first quarter of 2004 to $67.7 million for the first quarter of 2005. By segment, cost of products sold increased by $4.8 million for the NN Europe Segment, $1.9 million for the Plastic and Rubber Components Segment and $0.6 million for the Domestic Ball and Roller Segment. Within the NN Europe Segment, approximately $2.7 million of the increase is related to the impact of foreign currency exchange rates and approximately $2.1 million is related to increased product demand, material cost increases and inventory management efforts. Within the Plastic and Rubber Components Segment, the increase of approximately $1.9 million is related to increases in product demand and material cost increases. Within the Domestic Ball and Roller Segment, the increase of approximately $0.6 million is related to increased product demand. As a percentage of net sales, cost of products sold increased from 77.8% during the first quarter of 2004 to 78.0% during the first quarter of 2005.</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price of steel has risen over the last twelve to eighteen months with the potential for 2005 prices to reflect even greater increases. The increase is principally due to general increases in global demand and, more recently, due to China's increased consumption of steel. This has had the impact of increasing steel prices we pay in procuring our steel in the form of higher unit prices and scrap surcharges and could adversely impact the availability of steel. Our contracts with key customers allow us to pass a majority of the steel price increases on to those customers. However, for our NN Europe Segment, material price changes in any given year are typically passed along with price adjustments in January of the following year. Until the current increases can be passed through to our customers, income from operations, net income and cash flow from operations will be adversely affected.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approximately $0.3 million, or 4.8%, from $7.2 million in the first quarter of 2004 to $7.5 million for the first quarter of 2005. Approximately $0.2 million of the increase is related to the impact of foreign currency exchange rates within the NN Europe Segment and approximately $0.1 million of the increase is a result of costs incurred at our China start-up operation. As a percentage of net sales, selling, general and administrative expenses decreased from 9.2% during the first quarter of 2004 to 8.6% during the first quarter of 2005.</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6" w:name="page17"/>
    <w:bookmarkEnd w:id="16"/>
    <w:p>
      <w:pPr>
        <w:jc w:val="both"/>
        <w:ind w:right="3239"/>
        <w:spacing w:after="0" w:line="254" w:lineRule="auto"/>
        <w:rPr>
          <w:sz w:val="20"/>
          <w:szCs w:val="20"/>
          <w:color w:val="auto"/>
        </w:rPr>
      </w:pPr>
      <w:r>
        <w:rPr>
          <w:rFonts w:ascii="Courier New" w:cs="Courier New" w:eastAsia="Courier New" w:hAnsi="Courier New"/>
          <w:sz w:val="14"/>
          <w:szCs w:val="14"/>
          <w:color w:val="auto"/>
        </w:rPr>
        <w:t>Depreciation and Amortization. Depreciation and amortization expense increased by $0.2 million, or 4.4%, from $4.0 million in the first quarter of 2004 to $4.2 million in the first quarter of 2005. Principally all of the $0.2 million increase is related to the impact of foreign currency exchange rates within the</w:t>
      </w:r>
    </w:p>
    <w:p>
      <w:pPr>
        <w:spacing w:after="0" w:line="1" w:lineRule="exact"/>
        <w:rPr>
          <w:sz w:val="20"/>
          <w:szCs w:val="20"/>
          <w:color w:val="auto"/>
        </w:rPr>
      </w:pPr>
    </w:p>
    <w:p>
      <w:pPr>
        <w:jc w:val="both"/>
        <w:ind w:right="3239" w:firstLine="10"/>
        <w:spacing w:after="0" w:line="235" w:lineRule="auto"/>
        <w:tabs>
          <w:tab w:leader="none" w:pos="2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Segment. As a percentage of net sales, depreciation and amortization expense decreased from 5.2% during the first quarter of 2004 to 4.8% during the first quarter of 2005.</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Interest Expense. Interest expense increased by $0.2 million, or 17.0%, from $0.8 million in the first quarter of 2004 to $1.0 million in the first quarter of 2005. The increase is principally related to increase in market interest rates and our April 26, 2004 issuance of our $40.0 million aggregate principal amount of senior notes in a private placement. These notes bear interest at a fixed rate of 4.89%. See "Liquidity and Capital Resources".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Net Income. Net income increased by approximately $0.8 million, or 25.0%, from $3.2 million in the first quarter of 2004 to $4.0 million in the first quarter of 2005. As a percentage of net sales, net income increased from 4.1% during the first quarter of 2004 to 4.6% during the first quarter of 2005.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NN Europe, we entered into a new $90 million syndicated credit facility with AmSouth as the administrative agent and Suntrust Bank as the Euro loan agent for the lenders under which we borrowed $60.4 million and 26.3 million Euros ($29.6 million) (the "$90 million credit facility") This new financing arrangement replaced our prior credit facility with AmSouth and NN Europe's credit facility with Hypo Vereinsbank Luxembourg, S.A. The credit facility consists of a $30.0 million revolver expiring on June 30, 2007, bearing interest at a floating rate equal to LIBOR (3.12% at March 31, 2005) plus an applicable margin of 1.25% to 2.0%, a $30.4 million term loan expiring on May 1, 2008, bearing interest at a floating rate equal to LIBOR plus an applicable margin of 1.25% to 2.0% and a 26.3 million Euro ($29.6 million) term loan expiring on May 1, 2008 which bears interest at a floating rate equal to Euro LIBOR (2.14% at March 31, 2005) plus an applicable margin of 1.25% to 2.0%. The loan agreement contains customary financial and non-financial covenants. Such covenants specify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facility is not collateralized except for the pledge of stock of certain foreign subsidiaries. We were in compliance with all such covenants as of March 31, 2005.</w:t>
      </w:r>
    </w:p>
    <w:p>
      <w:pPr>
        <w:spacing w:after="0" w:line="34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April 26, 2004 we issued $40.0 million aggregate principal amount of senior notes in a private placement. These notes bear interest at a fixed rate of 4.89% and mature on April 26, 2014. Interest is paid semi-annually. Annual principal payments begin on April 26, 2008 and extend through the date of maturity. Proceeds from this credit facility were used to repay our existing US dollar denominated term loan and repay a portion of our borrowings under our US dollar denominated revolving credit facility, which are both components of our $90 million credit facility, and to repay other short term borrowings totaling approximately $4.7 million.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We were in compliance with all such covenants as of March 31, 2005. The notes are not collateralized except for the pledge of stock of certain foreign subsidiaries.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arrangements with our domestic customers typically provide that payments are due within 30 days following the date of shipment of goods by us, while arrangements with certain export customers (other than export customers that have entered into an inventory management program with the Company) generally provide that payments are due within either 90 or 120 days following the date of shipment. Our net sales have historically been of a seasonal nature due to our relative percentage of European business coupled with slower European production during the month of August.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7" w:name="page18"/>
    <w:bookmarkEnd w:id="17"/>
    <w:p>
      <w:pPr>
        <w:jc w:val="both"/>
        <w:ind w:right="3239"/>
        <w:spacing w:after="0" w:line="236" w:lineRule="auto"/>
        <w:rPr>
          <w:sz w:val="20"/>
          <w:szCs w:val="20"/>
          <w:color w:val="auto"/>
        </w:rPr>
      </w:pPr>
      <w:r>
        <w:rPr>
          <w:rFonts w:ascii="Courier New" w:cs="Courier New" w:eastAsia="Courier New" w:hAnsi="Courier New"/>
          <w:sz w:val="15"/>
          <w:szCs w:val="15"/>
          <w:color w:val="auto"/>
        </w:rPr>
        <w:t>We bill and receive payment from some of our customers in Euros as well as other currencies. To date, we have not been materially adversely affected by currency fluctuations. Nonetheless, as a result of these sales, our foreign exchange transaction and translation risk has increased. Various strategies to manage this risk are available to management including producing and selling in local currencies and hedging programs. As of March 31, 2005, no currency hedges were in place. In addition, a strengthening of the U.S. dollar and/or Euro against foreign currencies could impair our ability to compete with international competitors for foreign as well as domestic sales.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$38.8 million at March 31, 2005 as compared to $33.9 million at December 31, 2004. The ratio of current assets to current liabilities increased from 1.46:1 at December 31, 2004 to 1.53:1 at March 31, 2005. Cash flow from operations decreased to ($4.5 million) during the first three months of 2005 from $6.2 million during the first three months of 2004.</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2005, we plan to spend approximately $9.1 million on capital expenditures related primarily to equipment and process upgrades and replacements and approximately $7.9 million principally related to geographic expansion of our manufacturing base. Of these amounts approximately $0.8 million has been spent through March 31, 2005.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and projected capital expenditure requirements through December 2005.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currently have operations in Italy, Germany, Ireland, and The Netherlands, all of which are Euro participating countries, and sell product to customers in many of the participating countries. The Euro has been adopted as the functional currency at all locations in the NN Europe Segment, except Slovakia whose functional currency is the Slovak Korona. Slovakia joined the European Union in May 2004 and current plans call for Slovakia to adopt the Euro as its functional currency at a later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Fluctuation in Quarterly Results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Our net sales historically have been of a seasonal nature due to a significant portion of our sales to European customers that cease or significantly slow production during the month of August.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Changes in Prices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While the Company's operations have not been materially affected by inflation during recent years, prices for 52100 Steel, engineered resins and other raw materials purchased by the Company are subject to material change, see "Management's Discussion and Analysis of Financial Condition and Results of Operations - Overview and Management Focus". For example due to an increase in worldwide demand for 52100 Steel and the decrease in the value of the United States dollar relative to foreign currencies, the Company experienced an increase in the price of 52100 Steel and may experience difficulty in obtaining an adequate supply of 52100 Steel from its existing suppliers. In our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and quarterly scrap surcharge adjustments.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However, by contract, material price changes in any given year are passed along with price adjustments in January of the following year. Certain sales agreements are in effect with SKF and INA, which provide for minimum purchase quantities and specified, annual sales price adjustments that may be modified up or down for changes in material costs. These agreements expire during 2006 and 2008.</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Our significant accounting policies, including the assumptions and judgments underlying them, are disclosed in the Company's Annual Report on Form 10-K, for the fiscal year ended December 31, 2004 including those policies as discussed in Note 1.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Accounts Receivable. Substantially all of the Company's accounts receivable are due primarily from the served markets: bearing manufacturers, automotive industry, electronics, industrial, agricultural and aerospace.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Acquisitions and Acquired Intangibles. For new acquisitions, the Company uses 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Impairment of Long-Lived Assets. The Company's long-lived assets include property, plant and equipment. The recoverability of the long-lived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Future adverse changes in market conditions or adverse operating results of the underlying assets could result in the Company having to record additional impairment charges not previously recognized.</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Pension and Post-Retirement Obligations. The Company uses several assumptions in 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9" w:name="page20"/>
    <w:bookmarkEnd w:id="19"/>
    <w:p>
      <w:pPr>
        <w:jc w:val="both"/>
        <w:ind w:right="3239"/>
        <w:spacing w:after="0" w:line="234" w:lineRule="auto"/>
        <w:rPr>
          <w:sz w:val="20"/>
          <w:szCs w:val="20"/>
          <w:color w:val="auto"/>
        </w:rPr>
      </w:pPr>
      <w:r>
        <w:rPr>
          <w:rFonts w:ascii="Courier New" w:cs="Courier New" w:eastAsia="Courier New" w:hAnsi="Courier New"/>
          <w:sz w:val="15"/>
          <w:szCs w:val="15"/>
          <w:color w:val="auto"/>
        </w:rPr>
        <w:t>Cautionary Statements for Purposes of the "Safe Harbor" Provisions of the Private Securities Litigation Reform Act of 1995</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Statements regarding capital expenditures, future borrowings, and financial commitments are forward-looking statements. Readers can identify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You should carefully consider the following risks and uncertainties, and all other information contained in or incorporated by reference in this quarterly report on Form 10-Q,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demand for our products is cyclical, which could adversely impact our revenues.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depend on a very limited number of foreign sources for our primary raw material and are subject to risks of shortages and price fluctuation.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6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depend heavily on a relatively limited number of customers, and the loss of any major customer would have a material adverse effect on our business.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Sales to various U.S. and foreign divisions of SKF, which is one of the largest bearing manufacturers in the world, accounted for approximately 48% of consolidated net sales in 2004, and sales to INA accounted for approximately 14% of consolidated net sales in 2004. During 2004, our ten largest customers accounted for approximately 81% of our consolidated net sales. None of our other customers individually accounted for more than 5% of our consolidated net sales for 2004. The loss of all or a substantial portion of sales to these customers would cause us to lose a substantial portion of our revenue and would lower our profit margin and cash flows from operations.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0" w:name="page21"/>
    <w:bookmarkEnd w:id="20"/>
    <w:p>
      <w:pPr>
        <w:jc w:val="both"/>
        <w:ind w:right="3239"/>
        <w:spacing w:after="0" w:line="234" w:lineRule="auto"/>
        <w:rPr>
          <w:sz w:val="20"/>
          <w:szCs w:val="20"/>
          <w:color w:val="auto"/>
        </w:rPr>
      </w:pPr>
      <w:r>
        <w:rPr>
          <w:rFonts w:ascii="Courier New" w:cs="Courier New" w:eastAsia="Courier New" w:hAnsi="Courier New"/>
          <w:sz w:val="15"/>
          <w:szCs w:val="15"/>
          <w:color w:val="auto"/>
        </w:rPr>
        <w:t>We operate in and sell products to customers outside the U.S. and are subject to several related risks.</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55"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foreign currency fluctuations;</w:t>
      </w:r>
    </w:p>
    <w:p>
      <w:pPr>
        <w:spacing w:after="0" w:line="172"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trade, monetary and fiscal policies, laws and regulations, and other activities of governments, agencies and similar organizations;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trade restrictions or prohibitions;</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import or other duties or taxes; and</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our suppliers, manufacturing operations, and customers are located.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could negatively impact our consolidated financial results, which are denominated in U.S. Dollars.</w:t>
      </w:r>
    </w:p>
    <w:p>
      <w:pPr>
        <w:spacing w:after="0" w:line="176"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costs and difficulties of integrating acquired business could impede our future growth.</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We may not be able to continue to make the acquisitions necessary for us to realize our growth strategy.</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Europe with our two largest bearing customers, SKF and INA, in 2000 and acquired our bearing seal operations in 2001. During 2002, we purchased INA's minority interest in NN Europe and on May 2, 2003 we acquired SKF's minority interest in</w:t>
      </w:r>
    </w:p>
    <w:p>
      <w:pPr>
        <w:spacing w:after="0" w:line="3" w:lineRule="exact"/>
        <w:rPr>
          <w:sz w:val="20"/>
          <w:szCs w:val="20"/>
          <w:color w:val="auto"/>
        </w:rPr>
      </w:pPr>
    </w:p>
    <w:p>
      <w:pPr>
        <w:jc w:val="both"/>
        <w:ind w:right="3239" w:firstLine="10"/>
        <w:spacing w:after="0" w:line="236" w:lineRule="auto"/>
        <w:tabs>
          <w:tab w:leader="none" w:pos="2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to become the sole owner at NN Europe. On May 2, 2003 we acquired SKF's tapered roller and metal cage manufacturing operations in Veenendaal, The Netherlands. On October 9, 2003 we acquired the precision ball producing assets of KLF-Gulickaren in Kysucke Nove Mesto, Slovakia.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1" w:name="page22"/>
    <w:bookmarkEnd w:id="21"/>
    <w:p>
      <w:pPr>
        <w:jc w:val="both"/>
        <w:ind w:right="3239"/>
        <w:spacing w:after="0" w:line="234" w:lineRule="auto"/>
        <w:rPr>
          <w:sz w:val="20"/>
          <w:szCs w:val="20"/>
          <w:color w:val="auto"/>
        </w:rPr>
      </w:pPr>
      <w:r>
        <w:rPr>
          <w:rFonts w:ascii="Courier New" w:cs="Courier New" w:eastAsia="Courier New" w:hAnsi="Courier New"/>
          <w:sz w:val="15"/>
          <w:szCs w:val="15"/>
          <w:color w:val="auto"/>
        </w:rPr>
        <w:t>Our growth strategy depends on outsourcing, and if the industry trend toward outsourcing does not continue, our business could be adversely affected.</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76"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Our market is highly competitive and many of our competitors have significant advantages that could adversely affect our business.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production capacity we have added over the last several years has at times resulted in our having more capacity than we need, causing our operating costs to be higher than expected.</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NN Europe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price of our common stock may be volatile.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market price of our common stock could be subject to significant fluctuations and may decline. Among the factors that could affect our stock price are:</w:t>
      </w:r>
    </w:p>
    <w:p>
      <w:pPr>
        <w:spacing w:after="0" w:line="167"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operating and financial performance and prospects;</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variations in the rate of growth of our financial indicators, such as earnings per share, net income and revenues;</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revenue or earnings estimates or publication of research reports by analysts;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any member of our senior management team;</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speculation in the press or investment community;</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actions by us or our competitors, such as acquisitions or restructurings;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our common stock by stockholders;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conditions; and</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and international economic, legal and regulatory factors unrelated to our performance.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239"/>
        <w:spacing w:after="0" w:line="258"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Provisions in our charter documents and Delaware law may inhibit a takeover, which could adversely affect the value of our common stock.</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March 31, 2005, we had $51.8 million outstanding under the domestic credit facilities and</w:t>
      </w:r>
    </w:p>
    <w:p>
      <w:pPr>
        <w:spacing w:after="0" w:line="2" w:lineRule="exact"/>
        <w:rPr>
          <w:sz w:val="20"/>
          <w:szCs w:val="20"/>
          <w:color w:val="auto"/>
        </w:rPr>
      </w:pPr>
    </w:p>
    <w:p>
      <w:pPr>
        <w:jc w:val="both"/>
        <w:ind w:right="3239" w:firstLine="10"/>
        <w:spacing w:after="0" w:line="237" w:lineRule="auto"/>
        <w:tabs>
          <w:tab w:leader="none" w:pos="2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had 15.8 million Euro ($20.5 million) outstanding under the Euro term loan. See Note 8 of the Notes to Consolidated Financial Statements. At March 31, 2005, a one-percent increase in the interest rate charged on our outstanding borrowings under both credit facilities would result in interest expense increasing annually by approximately $0.5 million. In connection with a variable EURIBOR rate debt financing in July 2000 our majority owned subsidiary, NN Europe entered into an interest rate swap with a notional amount of Euro 12.5 million for the purpose of fixing the interest rate on a portion of their debt financing. The interest rate swap provides for us to receive variable Euribor interest payments and pay 5.51% fixed interest. The interest rate swap agreement expires in July 2006 and the notional amount amortizes in relation to principal payments on the underlying debt over the life of the swap. This original debt was repaid in May 2003, however, the swap remains pursuant to its original terms. On May 1, 2003, we entered into the $90 million credit facility. This new financing arrangement replaces our prior credit facility with AmSouth and NN Europe's credit facility with Hypo Vereinsbank Luxembourg, S.A., see "Management's Discussion and Analysis of Financial Condition and Results of Operations - Liquidity and Capital Resources". The nature and amount of our borrowings may vary as a result of future business requirements, market conditions and other factors.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Translation of our operating cash flows denominated in foreign currencies is impacted by changes in foreign exchange rates. Our NN Europe Segment, bills and receives payments from some of its foreign customers in their own currency. To date, we have not been materially adversely affected by currency fluctuations of foreign exchange restrictions. However, to help reduce exposure to foreign currency fluctuation, management has incurred debt in Euros and has periodically used foreign currency hedges. These currency hedging programs allow management to hedge currency exposures when these exposures meet certain discretionary levels. We did not hold a position in any foreign currency hedging instruments as of March 31, 2005.</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March 31, 2005, we carried out an evaluation, under the supervision and with the participation of the Company's management, including the Company's Chief Executive Officer and Principal Accounting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Pincipal Accounting Officer, concluded that the Company's disclosure controls and procedures are effective.</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There have been no changes in this fiscal quarter in the Company's internal control over financial reporting or in other factors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74" w:lineRule="exact"/>
        <w:rPr>
          <w:sz w:val="20"/>
          <w:szCs w:val="20"/>
          <w:color w:val="auto"/>
        </w:rPr>
      </w:pPr>
    </w:p>
    <w:p>
      <w:pPr>
        <w:jc w:val="both"/>
        <w:ind w:left="700" w:right="3239" w:hanging="699"/>
        <w:spacing w:after="0"/>
        <w:rPr>
          <w:sz w:val="20"/>
          <w:szCs w:val="20"/>
          <w:color w:val="auto"/>
        </w:rPr>
      </w:pPr>
      <w:r>
        <w:rPr>
          <w:rFonts w:ascii="Courier New" w:cs="Courier New" w:eastAsia="Courier New" w:hAnsi="Courier New"/>
          <w:sz w:val="15"/>
          <w:szCs w:val="15"/>
          <w:color w:val="auto"/>
        </w:rPr>
        <w:t>Item 2. Change in</w:t>
      </w:r>
      <w:r>
        <w:rPr>
          <w:sz w:val="20"/>
          <w:szCs w:val="20"/>
          <w:color w:val="auto"/>
        </w:rPr>
        <w:t xml:space="preserve"> </w:t>
      </w:r>
      <w:r>
        <w:rPr>
          <w:rFonts w:ascii="Courier New" w:cs="Courier New" w:eastAsia="Courier New" w:hAnsi="Courier New"/>
          <w:sz w:val="15"/>
          <w:szCs w:val="15"/>
          <w:color w:val="auto"/>
        </w:rPr>
        <w:t>Securities, Use of Proceeds and Issuer Purchases of Equity Securities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w:t>
      </w:r>
    </w:p>
    <w:p>
      <w:pPr>
        <w:spacing w:after="0" w:line="173" w:lineRule="exact"/>
        <w:rPr>
          <w:sz w:val="20"/>
          <w:szCs w:val="20"/>
          <w:color w:val="auto"/>
        </w:rPr>
      </w:pPr>
    </w:p>
    <w:p>
      <w:pPr>
        <w:jc w:val="both"/>
        <w:ind w:left="880" w:right="3239" w:hanging="436"/>
        <w:spacing w:after="0" w:line="236" w:lineRule="auto"/>
        <w:rPr>
          <w:sz w:val="20"/>
          <w:szCs w:val="20"/>
          <w:color w:val="auto"/>
        </w:rPr>
      </w:pPr>
      <w:r>
        <w:rPr>
          <w:rFonts w:ascii="Courier New" w:cs="Courier New" w:eastAsia="Courier New" w:hAnsi="Courier New"/>
          <w:sz w:val="15"/>
          <w:szCs w:val="15"/>
          <w:color w:val="auto"/>
        </w:rPr>
        <w:t>10.1 Amendment No. 5</w:t>
      </w:r>
      <w:r>
        <w:rPr>
          <w:sz w:val="20"/>
          <w:szCs w:val="20"/>
          <w:color w:val="auto"/>
        </w:rPr>
        <w:t xml:space="preserve"> </w:t>
      </w:r>
      <w:r>
        <w:rPr>
          <w:rFonts w:ascii="Courier New" w:cs="Courier New" w:eastAsia="Courier New" w:hAnsi="Courier New"/>
          <w:sz w:val="15"/>
          <w:szCs w:val="15"/>
          <w:color w:val="auto"/>
        </w:rPr>
        <w:t>dated March 30, 2005, to the Credit Agreement dated May 1, 2003, among NN, Inc. and NN Europe ApS as the Borrowers, the subsidiaries as Guarantors, the Lenders as identified therein, Am South Bank as Administrative Agent and Sun Trust as Documentation Agent and Euro Loan Agent.</w:t>
      </w:r>
    </w:p>
    <w:p>
      <w:pPr>
        <w:spacing w:after="0" w:line="174" w:lineRule="exact"/>
        <w:rPr>
          <w:sz w:val="20"/>
          <w:szCs w:val="20"/>
          <w:color w:val="auto"/>
        </w:rPr>
      </w:pPr>
    </w:p>
    <w:p>
      <w:pPr>
        <w:jc w:val="both"/>
        <w:ind w:left="880" w:right="3239" w:hanging="436"/>
        <w:spacing w:after="0" w:line="234" w:lineRule="auto"/>
        <w:rPr>
          <w:sz w:val="20"/>
          <w:szCs w:val="20"/>
          <w:color w:val="auto"/>
        </w:rPr>
      </w:pPr>
      <w:r>
        <w:rPr>
          <w:rFonts w:ascii="Courier New" w:cs="Courier New" w:eastAsia="Courier New" w:hAnsi="Courier New"/>
          <w:sz w:val="15"/>
          <w:szCs w:val="15"/>
          <w:color w:val="auto"/>
        </w:rPr>
        <w:t>31.1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302 of Sarbanes-Oxley Act.</w:t>
      </w:r>
    </w:p>
    <w:p>
      <w:pPr>
        <w:spacing w:after="0" w:line="173" w:lineRule="exact"/>
        <w:rPr>
          <w:sz w:val="20"/>
          <w:szCs w:val="20"/>
          <w:color w:val="auto"/>
        </w:rPr>
      </w:pPr>
    </w:p>
    <w:p>
      <w:pPr>
        <w:jc w:val="both"/>
        <w:ind w:left="880" w:right="3239" w:hanging="436"/>
        <w:spacing w:after="0" w:line="234" w:lineRule="auto"/>
        <w:rPr>
          <w:sz w:val="20"/>
          <w:szCs w:val="20"/>
          <w:color w:val="auto"/>
        </w:rPr>
      </w:pPr>
      <w:r>
        <w:rPr>
          <w:rFonts w:ascii="Courier New" w:cs="Courier New" w:eastAsia="Courier New" w:hAnsi="Courier New"/>
          <w:sz w:val="15"/>
          <w:szCs w:val="15"/>
          <w:color w:val="auto"/>
        </w:rPr>
        <w:t>31.2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302 of Sarbanes-Oxley Act.</w:t>
      </w:r>
    </w:p>
    <w:p>
      <w:pPr>
        <w:spacing w:after="0" w:line="173" w:lineRule="exact"/>
        <w:rPr>
          <w:sz w:val="20"/>
          <w:szCs w:val="20"/>
          <w:color w:val="auto"/>
        </w:rPr>
      </w:pPr>
    </w:p>
    <w:p>
      <w:pPr>
        <w:jc w:val="both"/>
        <w:ind w:left="880" w:right="3239" w:hanging="436"/>
        <w:spacing w:after="0" w:line="234" w:lineRule="auto"/>
        <w:rPr>
          <w:sz w:val="20"/>
          <w:szCs w:val="20"/>
          <w:color w:val="auto"/>
        </w:rPr>
      </w:pPr>
      <w:r>
        <w:rPr>
          <w:rFonts w:ascii="Courier New" w:cs="Courier New" w:eastAsia="Courier New" w:hAnsi="Courier New"/>
          <w:sz w:val="15"/>
          <w:szCs w:val="15"/>
          <w:color w:val="auto"/>
        </w:rPr>
        <w:t>32.1 Certification</w:t>
      </w:r>
      <w:r>
        <w:rPr>
          <w:sz w:val="20"/>
          <w:szCs w:val="20"/>
          <w:color w:val="auto"/>
        </w:rPr>
        <w:t xml:space="preserve"> </w:t>
      </w:r>
      <w:r>
        <w:rPr>
          <w:rFonts w:ascii="Courier New" w:cs="Courier New" w:eastAsia="Courier New" w:hAnsi="Courier New"/>
          <w:sz w:val="15"/>
          <w:szCs w:val="15"/>
          <w:color w:val="auto"/>
        </w:rPr>
        <w:t>of Chief Executive Officer pursuant to Section 906 of Sarbanes-Oxley Act.</w:t>
      </w:r>
    </w:p>
    <w:p>
      <w:pPr>
        <w:spacing w:after="0" w:line="173" w:lineRule="exact"/>
        <w:rPr>
          <w:sz w:val="20"/>
          <w:szCs w:val="20"/>
          <w:color w:val="auto"/>
        </w:rPr>
      </w:pPr>
    </w:p>
    <w:p>
      <w:pPr>
        <w:jc w:val="both"/>
        <w:ind w:left="880" w:right="3239" w:hanging="436"/>
        <w:spacing w:after="0" w:line="234" w:lineRule="auto"/>
        <w:rPr>
          <w:sz w:val="20"/>
          <w:szCs w:val="20"/>
          <w:color w:val="auto"/>
        </w:rPr>
      </w:pPr>
      <w:r>
        <w:rPr>
          <w:rFonts w:ascii="Courier New" w:cs="Courier New" w:eastAsia="Courier New" w:hAnsi="Courier New"/>
          <w:sz w:val="15"/>
          <w:szCs w:val="15"/>
          <w:color w:val="auto"/>
        </w:rPr>
        <w:t>32.2 Certification</w:t>
      </w:r>
      <w:r>
        <w:rPr>
          <w:sz w:val="20"/>
          <w:szCs w:val="20"/>
          <w:color w:val="auto"/>
        </w:rPr>
        <w:t xml:space="preserve"> </w:t>
      </w:r>
      <w:r>
        <w:rPr>
          <w:rFonts w:ascii="Courier New" w:cs="Courier New" w:eastAsia="Courier New" w:hAnsi="Courier New"/>
          <w:sz w:val="15"/>
          <w:szCs w:val="15"/>
          <w:color w:val="auto"/>
        </w:rPr>
        <w:t>of Chief Financial Officer pursuant to Section 906 of Sarbanes-Oxley Act.</w:t>
      </w:r>
    </w:p>
    <w:p>
      <w:pPr>
        <w:spacing w:after="0" w:line="167"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jc w:val="both"/>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a Form 8-K, in response to Items 12 and 7, on February 28, 2005 announcing its fourth quarter and fiscal year 2004 earnings.</w:t>
      </w:r>
    </w:p>
    <w:p>
      <w:pPr>
        <w:spacing w:after="0" w:line="173" w:lineRule="exact"/>
        <w:rPr>
          <w:rFonts w:ascii="Courier New" w:cs="Courier New" w:eastAsia="Courier New" w:hAnsi="Courier New"/>
          <w:sz w:val="15"/>
          <w:szCs w:val="15"/>
          <w:color w:val="auto"/>
        </w:rPr>
      </w:pPr>
    </w:p>
    <w:p>
      <w:pPr>
        <w:jc w:val="both"/>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a Form 8-K on January 3, 2005 announcing the sale of its Walterboro plant facility and the recording of a charge for loss on sale of fixed assets.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5" w:name="page26"/>
    <w:bookmarkEnd w:id="25"/>
    <w:p>
      <w:pPr>
        <w:ind w:left="308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92" w:right="1440" w:bottom="1440" w:gutter="0" w:footer="0" w:header="0"/>
        </w:sectPr>
      </w:pPr>
    </w:p>
    <w:p>
      <w:pPr>
        <w:spacing w:after="0" w:line="346"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80"/>
        <w:spacing w:after="0"/>
        <w:tabs>
          <w:tab w:leader="none" w:pos="940" w:val="left"/>
          <w:tab w:leader="none" w:pos="1640" w:val="left"/>
          <w:tab w:leader="none" w:pos="224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tabs>
          <w:tab w:leader="none" w:pos="680" w:val="left"/>
          <w:tab w:leader="none" w:pos="136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67" w:lineRule="exact"/>
        <w:rPr>
          <w:sz w:val="20"/>
          <w:szCs w:val="20"/>
          <w:color w:val="auto"/>
        </w:rPr>
      </w:pPr>
    </w:p>
    <w:p>
      <w:pPr>
        <w:sectPr>
          <w:pgSz w:w="11900" w:h="16838" w:orient="portrait"/>
          <w:cols w:equalWidth="0" w:num="2">
            <w:col w:w="4380" w:space="100"/>
            <w:col w:w="5759"/>
          </w:cols>
          <w:pgMar w:left="220" w:top="792" w:right="1440" w:bottom="1440" w:gutter="0" w:footer="0" w:header="0"/>
          <w:type w:val="continuous"/>
        </w:sect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020"/>
              <w:spacing w:after="0"/>
              <w:rPr>
                <w:sz w:val="20"/>
                <w:szCs w:val="20"/>
                <w:color w:val="auto"/>
              </w:rPr>
            </w:pPr>
            <w:r>
              <w:rPr>
                <w:rFonts w:ascii="Courier New" w:cs="Courier New" w:eastAsia="Courier New" w:hAnsi="Courier New"/>
                <w:sz w:val="15"/>
                <w:szCs w:val="15"/>
                <w:color w:val="auto"/>
              </w:rPr>
              <w:t>NN, Inc.</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(Registrant)</w:t>
            </w:r>
          </w:p>
        </w:tc>
      </w:tr>
      <w:tr>
        <w:trPr>
          <w:trHeight w:val="505"/>
        </w:trPr>
        <w:tc>
          <w:tcPr>
            <w:tcW w:w="5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8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6"/>
              </w:rPr>
              <w:t>May 10, 2005</w:t>
            </w:r>
          </w:p>
        </w:tc>
        <w:tc>
          <w:tcPr>
            <w:tcW w:w="4240" w:type="dxa"/>
            <w:vAlign w:val="bottom"/>
          </w:tcPr>
          <w:p>
            <w:pPr>
              <w:ind w:left="920"/>
              <w:spacing w:after="0"/>
              <w:rPr>
                <w:sz w:val="20"/>
                <w:szCs w:val="20"/>
                <w:color w:val="auto"/>
              </w:rPr>
            </w:pPr>
            <w:r>
              <w:rPr>
                <w:rFonts w:ascii="Courier New" w:cs="Courier New" w:eastAsia="Courier New" w:hAnsi="Courier New"/>
                <w:sz w:val="15"/>
                <w:szCs w:val="15"/>
                <w:color w:val="auto"/>
              </w:rPr>
              <w:t>/s/ Roderick R. Baty</w:t>
            </w:r>
          </w:p>
        </w:tc>
      </w:tr>
      <w:tr>
        <w:trPr>
          <w:trHeight w:val="168"/>
        </w:trPr>
        <w:tc>
          <w:tcPr>
            <w:tcW w:w="580" w:type="dxa"/>
            <w:vAlign w:val="bottom"/>
          </w:tcPr>
          <w:p>
            <w:pPr>
              <w:spacing w:after="0"/>
              <w:rPr>
                <w:sz w:val="14"/>
                <w:szCs w:val="14"/>
                <w:color w:val="auto"/>
              </w:rPr>
            </w:pPr>
          </w:p>
        </w:tc>
        <w:tc>
          <w:tcPr>
            <w:tcW w:w="218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8"/>
              </w:rPr>
              <w:t>--------------</w:t>
            </w:r>
          </w:p>
        </w:tc>
        <w:tc>
          <w:tcPr>
            <w:tcW w:w="4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Roderick R. Baty,</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Chairman, President and</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(Duly Authorized Officer)</w:t>
            </w:r>
          </w:p>
        </w:tc>
      </w:tr>
      <w:tr>
        <w:trPr>
          <w:trHeight w:val="505"/>
        </w:trPr>
        <w:tc>
          <w:tcPr>
            <w:tcW w:w="5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8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6"/>
              </w:rPr>
              <w:t>May 10, 2005</w:t>
            </w:r>
          </w:p>
        </w:tc>
        <w:tc>
          <w:tcPr>
            <w:tcW w:w="4240" w:type="dxa"/>
            <w:vAlign w:val="bottom"/>
          </w:tcPr>
          <w:p>
            <w:pPr>
              <w:ind w:left="840"/>
              <w:spacing w:after="0"/>
              <w:rPr>
                <w:sz w:val="20"/>
                <w:szCs w:val="20"/>
                <w:color w:val="auto"/>
              </w:rPr>
            </w:pPr>
            <w:r>
              <w:rPr>
                <w:rFonts w:ascii="Courier New" w:cs="Courier New" w:eastAsia="Courier New" w:hAnsi="Courier New"/>
                <w:sz w:val="15"/>
                <w:szCs w:val="15"/>
                <w:color w:val="auto"/>
              </w:rPr>
              <w:t>/s/  Steven W. Fray</w:t>
            </w:r>
          </w:p>
        </w:tc>
      </w:tr>
      <w:tr>
        <w:trPr>
          <w:trHeight w:val="168"/>
        </w:trPr>
        <w:tc>
          <w:tcPr>
            <w:tcW w:w="580" w:type="dxa"/>
            <w:vAlign w:val="bottom"/>
          </w:tcPr>
          <w:p>
            <w:pPr>
              <w:spacing w:after="0"/>
              <w:rPr>
                <w:sz w:val="14"/>
                <w:szCs w:val="14"/>
                <w:color w:val="auto"/>
              </w:rPr>
            </w:pPr>
          </w:p>
        </w:tc>
        <w:tc>
          <w:tcPr>
            <w:tcW w:w="218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8"/>
              </w:rPr>
              <w:t>--------------</w:t>
            </w:r>
          </w:p>
        </w:tc>
        <w:tc>
          <w:tcPr>
            <w:tcW w:w="4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Steven W. Fray</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Corporate Controller</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(Principal Accounting Officer)</w:t>
            </w:r>
          </w:p>
        </w:tc>
      </w:tr>
      <w:tr>
        <w:trPr>
          <w:trHeight w:val="168"/>
        </w:trPr>
        <w:tc>
          <w:tcPr>
            <w:tcW w:w="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24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type w:val="continuous"/>
        </w:sectPr>
      </w:pPr>
    </w:p>
    <w:bookmarkStart w:id="26" w:name="page27"/>
    <w:bookmarkEnd w:id="26"/>
    <w:p>
      <w:pPr>
        <w:jc w:val="right"/>
        <w:ind w:right="3239"/>
        <w:spacing w:after="0"/>
        <w:rPr>
          <w:sz w:val="20"/>
          <w:szCs w:val="20"/>
          <w:color w:val="auto"/>
        </w:rPr>
      </w:pPr>
      <w:r>
        <w:rPr>
          <w:rFonts w:ascii="Courier New" w:cs="Courier New" w:eastAsia="Courier New" w:hAnsi="Courier New"/>
          <w:sz w:val="15"/>
          <w:szCs w:val="15"/>
          <w:color w:val="auto"/>
        </w:rPr>
        <w:t>EXHIBIT 10.1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AMENDMENT NO. 5 TO CREDIT AGREEMENT</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AMENDMENT NO. 5 TO CREDIT AGREEMENT (this "Amendment"), dated as of March 30, 2005, is made and entered into on the terms and conditions hereinafter set forth, by and among NN, INC., a Delaware corporation ("Domestic Borrower"),</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ApS, a Denmark limited liability company (successor by name change to NN Euroball ApS) ("Euro Borrower"; Domestic Borrower and Euro Borrower are sometimes hereinafter individually and collectively referred to as the "Borrower"), all subsidiaries (except for the Euro Borrower) of the Domestic Borrower who are now or hereafter become parties to the Credit Agreement, as hereinafter defined (the "Domestic Guarantors"), the several lenders who are now or hereafter become parties to the Credit Agreement (the "Lenders"), AMSOUTH BANK, an Alabama state bank, individually and as administrative agent for the Lenders (in such capacity, the "Administrative Agent"), and SUNTRUST BANK, as documentation agent and euro loan agent for the Lenders (in such capacity, the "Euro Loan Agent").</w:t>
      </w:r>
    </w:p>
    <w:p>
      <w:pPr>
        <w:spacing w:after="0" w:line="17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jc w:val="both"/>
        <w:ind w:right="3239" w:firstLine="447"/>
        <w:spacing w:after="0" w:line="255" w:lineRule="auto"/>
        <w:tabs>
          <w:tab w:leader="none" w:pos="7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that certain Credit Agreement dated as of May 1, 2003, by and among the Borrower, the Domestic Guarantors, the Administrative Agent, the Lenders and the Euro Loan Agent, as amended by that certain Amendment No.1 to Credit Agreement dated August 1, 2003, that certain Amendment No. 2 to Credit Agreement dated March 12, 2004, that certain Amendment No. 3 to Credit Agreement and Waiver dated March 31, 2004, and that certain Consent and Amendment No. 4 to Credit Agreement dated November 12, 2004, by and among the Borrower, the Domestic Guarantors, the Administrative Agent, the Lenders and the Euro Loan Agent (as the same heretofore may have been and/or hereafter may be amended, restated, supplemented, extended, renewed, replaced or otherwise modified from time to time, the "Credit Agreement"), the Lenders have agreed to make the Loans available to the Borrower, all as more specifically described in the Credit Agreement. Capitalized terms used but not otherwise defined in this Amendment have the same meanings as in the Credit Agreement.</w:t>
      </w:r>
    </w:p>
    <w:p>
      <w:pPr>
        <w:spacing w:after="0" w:line="163" w:lineRule="exact"/>
        <w:rPr>
          <w:rFonts w:ascii="Courier New" w:cs="Courier New" w:eastAsia="Courier New" w:hAnsi="Courier New"/>
          <w:sz w:val="14"/>
          <w:szCs w:val="14"/>
          <w:color w:val="auto"/>
        </w:rPr>
      </w:pPr>
    </w:p>
    <w:p>
      <w:pPr>
        <w:ind w:right="3239" w:firstLine="447"/>
        <w:spacing w:after="0" w:line="234"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desire to further amend the Credit Agreement in certain respects, as more particularly hereinafter set forth.</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AGREEMENTS: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the parties hereto agree as follows:</w:t>
      </w:r>
    </w:p>
    <w:p>
      <w:pPr>
        <w:spacing w:after="0" w:line="174" w:lineRule="exact"/>
        <w:rPr>
          <w:sz w:val="20"/>
          <w:szCs w:val="20"/>
          <w:color w:val="auto"/>
        </w:rPr>
      </w:pPr>
    </w:p>
    <w:p>
      <w:pPr>
        <w:jc w:val="both"/>
        <w:ind w:right="3239" w:firstLine="447"/>
        <w:spacing w:after="0" w:line="23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Section 1.1 of the Credit Agreement is hereby amended by substituting the following definition for the existing definition of the following term: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"Revolving Commitment Period Expiration Date" shall mean June 30, 2007.</w:t>
      </w:r>
    </w:p>
    <w:p>
      <w:pPr>
        <w:spacing w:after="0" w:line="200" w:lineRule="exact"/>
        <w:rPr>
          <w:sz w:val="20"/>
          <w:szCs w:val="20"/>
          <w:color w:val="auto"/>
        </w:rPr>
      </w:pPr>
    </w:p>
    <w:p>
      <w:pPr>
        <w:spacing w:after="0" w:line="287" w:lineRule="exact"/>
        <w:rPr>
          <w:sz w:val="20"/>
          <w:szCs w:val="20"/>
          <w:color w:val="auto"/>
        </w:rPr>
      </w:pPr>
    </w:p>
    <w:p>
      <w:pPr>
        <w:jc w:val="both"/>
        <w:ind w:right="3239" w:firstLine="447"/>
        <w:spacing w:after="0" w:line="255"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 In consideration of the Lenders' agreement to extend the Revolving Commitment Period Expiration Date, the Borrower agrees to pay to the Administrative Agent a facility fee in the amount of $37,500.00 (the "Facility Fee") for distribution to the Lenders in proportion to their respective Percentages. The Facility Fee shall be fully earned and due and payable upon the execution of this Amendment by the Borrower and the Domestic Guarantors.</w:t>
      </w:r>
    </w:p>
    <w:p>
      <w:pPr>
        <w:spacing w:after="0" w:line="166" w:lineRule="exact"/>
        <w:rPr>
          <w:rFonts w:ascii="Courier New" w:cs="Courier New" w:eastAsia="Courier New" w:hAnsi="Courier New"/>
          <w:sz w:val="14"/>
          <w:szCs w:val="14"/>
          <w:color w:val="auto"/>
        </w:rPr>
      </w:pPr>
    </w:p>
    <w:p>
      <w:pPr>
        <w:jc w:val="both"/>
        <w:ind w:right="3239" w:firstLine="447"/>
        <w:spacing w:after="0" w:line="235" w:lineRule="auto"/>
        <w:tabs>
          <w:tab w:leader="none" w:pos="87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This Amendment shall become effective when the Administrative Agent shall have received counterparts or signature pages executed by the Borrower, the Domestic Guarantors, the Administrative Agent and the Lenders.</w:t>
      </w:r>
    </w:p>
    <w:p>
      <w:pPr>
        <w:spacing w:after="0" w:line="175" w:lineRule="exact"/>
        <w:rPr>
          <w:rFonts w:ascii="Courier New" w:cs="Courier New" w:eastAsia="Courier New" w:hAnsi="Courier New"/>
          <w:sz w:val="15"/>
          <w:szCs w:val="15"/>
          <w:color w:val="auto"/>
        </w:rPr>
      </w:pPr>
    </w:p>
    <w:p>
      <w:pPr>
        <w:jc w:val="both"/>
        <w:ind w:right="3239" w:firstLine="447"/>
        <w:spacing w:after="0" w:line="236"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Borrower and the Guarantors. As an inducement to the Administrative Agent, the Euro Loan Agent and the Lenders to enter into this Amendment, the Borrower and the Domestic Guarantors hereby represent and warrant to the Administrative Agent, the Euro Loan Agent and the Lenders that, on and as of the date hereof:</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31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69"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Amendment; Continuing Effectiveness of Credit Agreement and Loan Documents.</w:t>
      </w:r>
    </w:p>
    <w:p>
      <w:pPr>
        <w:spacing w:after="0" w:line="173" w:lineRule="exact"/>
        <w:rPr>
          <w:rFonts w:ascii="Courier New" w:cs="Courier New" w:eastAsia="Courier New" w:hAnsi="Courier New"/>
          <w:sz w:val="15"/>
          <w:szCs w:val="15"/>
          <w:color w:val="auto"/>
        </w:rPr>
      </w:pPr>
    </w:p>
    <w:p>
      <w:pPr>
        <w:jc w:val="both"/>
        <w:ind w:left="440" w:right="3239" w:firstLine="444"/>
        <w:spacing w:after="0" w:line="255" w:lineRule="auto"/>
        <w:tabs>
          <w:tab w:leader="none" w:pos="122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Amendment nor any other indulgences that may have been granted to the Borrower or any of the Domestic Guarantors by the Administrative Agent, the Euro Loan Agent or any Lender shall constitute a course of dealing or otherwise obligate the Administrative Agent, the Euro Loan 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65" w:lineRule="exact"/>
        <w:rPr>
          <w:rFonts w:ascii="Courier New" w:cs="Courier New" w:eastAsia="Courier New" w:hAnsi="Courier New"/>
          <w:sz w:val="14"/>
          <w:szCs w:val="14"/>
          <w:color w:val="auto"/>
        </w:rPr>
      </w:pPr>
    </w:p>
    <w:p>
      <w:pPr>
        <w:jc w:val="both"/>
        <w:ind w:left="440" w:right="3239" w:firstLine="444"/>
        <w:spacing w:after="0" w:line="256" w:lineRule="auto"/>
        <w:tabs>
          <w:tab w:leader="none" w:pos="122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constitute a Loan Document for all purposes of the Credit Agreement and the other Loan Documents. Any noncompliance by the Borrower or any Domestic Guarantor with any of the covenants, terms, conditions or provisions of this Amendment shall constitute an Event of Default. Except to the extent amended hereby, the Credit Agreement, the</w:t>
      </w:r>
    </w:p>
    <w:p>
      <w:pPr>
        <w:sectPr>
          <w:pgSz w:w="11900" w:h="16838" w:orient="portrait"/>
          <w:cols w:equalWidth="0" w:num="1">
            <w:col w:w="10239"/>
          </w:cols>
          <w:pgMar w:left="220" w:top="135" w:right="1440" w:bottom="0" w:gutter="0" w:footer="0" w:header="0"/>
        </w:sectPr>
      </w:pPr>
    </w:p>
    <w:bookmarkStart w:id="27" w:name="page28"/>
    <w:bookmarkEnd w:id="27"/>
    <w:p>
      <w:pPr>
        <w:ind w:right="3239"/>
        <w:spacing w:after="0" w:line="234" w:lineRule="auto"/>
        <w:rPr>
          <w:sz w:val="20"/>
          <w:szCs w:val="20"/>
          <w:color w:val="auto"/>
        </w:rPr>
      </w:pPr>
      <w:r>
        <w:rPr>
          <w:rFonts w:ascii="Courier New" w:cs="Courier New" w:eastAsia="Courier New" w:hAnsi="Courier New"/>
          <w:sz w:val="15"/>
          <w:szCs w:val="15"/>
          <w:color w:val="auto"/>
        </w:rPr>
        <w:t>other Loan Documents and all terms, conditions and provisions thereof shall continue in full force and effect in all respects.</w:t>
      </w:r>
    </w:p>
    <w:p>
      <w:pPr>
        <w:spacing w:after="0" w:line="173" w:lineRule="exact"/>
        <w:rPr>
          <w:sz w:val="20"/>
          <w:szCs w:val="20"/>
          <w:color w:val="auto"/>
        </w:rPr>
      </w:pPr>
    </w:p>
    <w:p>
      <w:pPr>
        <w:jc w:val="both"/>
        <w:ind w:left="-440" w:right="3239" w:firstLine="447"/>
        <w:spacing w:after="0" w:line="236" w:lineRule="auto"/>
        <w:tabs>
          <w:tab w:leader="none" w:pos="2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may be executed in multiple counterparts or copies, each of which shall be deemed an original hereof for all purposes. One or more counterparts or copies of this Amendment may be executed by one or more of the parties hereto, and some different counterparts or copies executed by one or more of the other parties. Each</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141" w:right="1440" w:bottom="1440" w:gutter="0" w:footer="0" w:header="0"/>
        </w:sectPr>
      </w:pPr>
    </w:p>
    <w:bookmarkStart w:id="28" w:name="page29"/>
    <w:bookmarkEnd w:id="28"/>
    <w:p>
      <w:pPr>
        <w:jc w:val="both"/>
        <w:ind w:right="3239"/>
        <w:spacing w:after="0" w:line="237" w:lineRule="auto"/>
        <w:rPr>
          <w:sz w:val="20"/>
          <w:szCs w:val="20"/>
          <w:color w:val="auto"/>
        </w:rPr>
      </w:pPr>
      <w:r>
        <w:rPr>
          <w:rFonts w:ascii="Courier New" w:cs="Courier New" w:eastAsia="Courier New" w:hAnsi="Courier New"/>
          <w:sz w:val="15"/>
          <w:szCs w:val="15"/>
          <w:color w:val="auto"/>
        </w:rPr>
        <w:t>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67" w:lineRule="exact"/>
        <w:rPr>
          <w:sz w:val="20"/>
          <w:szCs w:val="20"/>
          <w:color w:val="auto"/>
        </w:rPr>
      </w:pPr>
    </w:p>
    <w:p>
      <w:pPr>
        <w:ind w:left="700" w:hanging="253"/>
        <w:spacing w:after="0"/>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construed and enforced in accordance with the laws of the State of Tennessee, without reference to the conflicts or choice of law principles thereof.</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in this Amendment and the usage herein of defined terms are for convenience of reference only, and shall not be construed as amplifying, limiting or otherwise affecting the substantive provisions hereof.</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75" w:lineRule="exact"/>
        <w:rPr>
          <w:rFonts w:ascii="Courier New" w:cs="Courier New" w:eastAsia="Courier New" w:hAnsi="Courier New"/>
          <w:sz w:val="15"/>
          <w:szCs w:val="15"/>
          <w:color w:val="auto"/>
        </w:rPr>
      </w:pPr>
    </w:p>
    <w:p>
      <w:pPr>
        <w:jc w:val="both"/>
        <w:ind w:left="440" w:right="3239" w:firstLine="444"/>
        <w:spacing w:after="0" w:line="236" w:lineRule="auto"/>
        <w:tabs>
          <w:tab w:leader="none" w:pos="12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17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and delivered as of the date first written above.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BORROWER:</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NN, INC.,</w:t>
      </w:r>
    </w:p>
    <w:p>
      <w:pPr>
        <w:ind w:left="3160"/>
        <w:spacing w:after="0" w:line="237" w:lineRule="auto"/>
        <w:rPr>
          <w:sz w:val="20"/>
          <w:szCs w:val="20"/>
          <w:color w:val="auto"/>
        </w:rPr>
      </w:pPr>
      <w:r>
        <w:rPr>
          <w:rFonts w:ascii="Courier New" w:cs="Courier New" w:eastAsia="Courier New" w:hAnsi="Courier New"/>
          <w:sz w:val="15"/>
          <w:szCs w:val="15"/>
          <w:color w:val="auto"/>
        </w:rPr>
        <w:t>a Delaware corporation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9" w:name="page30"/>
    <w:bookmarkEnd w:id="29"/>
    <w:p>
      <w:pPr>
        <w:ind w:left="1940" w:right="3939" w:hanging="2"/>
        <w:spacing w:after="0" w:line="235" w:lineRule="auto"/>
        <w:tabs>
          <w:tab w:leader="none" w:pos="220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 ApS, a Denmark limited liability company (successor by name change to NN Euroball ApS)</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DOMESTIC GUARANTORS:</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INDUSTRIAL MOLDING GP, LLC,</w:t>
      </w:r>
    </w:p>
    <w:p>
      <w:pPr>
        <w:ind w:left="1940"/>
        <w:spacing w:after="0" w:line="237" w:lineRule="auto"/>
        <w:rPr>
          <w:sz w:val="20"/>
          <w:szCs w:val="20"/>
          <w:color w:val="auto"/>
        </w:rPr>
      </w:pPr>
      <w:r>
        <w:rPr>
          <w:rFonts w:ascii="Courier New" w:cs="Courier New" w:eastAsia="Courier New" w:hAnsi="Courier New"/>
          <w:sz w:val="15"/>
          <w:szCs w:val="15"/>
          <w:color w:val="auto"/>
        </w:rPr>
        <w:t>a Delaware limited liability company</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INDUSTRIAL MOLDING LP, LLC,</w:t>
      </w:r>
    </w:p>
    <w:p>
      <w:pPr>
        <w:ind w:left="1940"/>
        <w:spacing w:after="0" w:line="237" w:lineRule="auto"/>
        <w:rPr>
          <w:sz w:val="20"/>
          <w:szCs w:val="20"/>
          <w:color w:val="auto"/>
        </w:rPr>
      </w:pPr>
      <w:r>
        <w:rPr>
          <w:rFonts w:ascii="Courier New" w:cs="Courier New" w:eastAsia="Courier New" w:hAnsi="Courier New"/>
          <w:sz w:val="15"/>
          <w:szCs w:val="15"/>
          <w:color w:val="auto"/>
        </w:rPr>
        <w:t>a Tennessee limited liability company</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INDUSTRIAL MOLDING GROUP, L.P.,</w:t>
      </w:r>
    </w:p>
    <w:p>
      <w:pPr>
        <w:ind w:left="1940"/>
        <w:spacing w:after="0" w:line="237" w:lineRule="auto"/>
        <w:rPr>
          <w:sz w:val="20"/>
          <w:szCs w:val="20"/>
          <w:color w:val="auto"/>
        </w:rPr>
      </w:pPr>
      <w:r>
        <w:rPr>
          <w:rFonts w:ascii="Courier New" w:cs="Courier New" w:eastAsia="Courier New" w:hAnsi="Courier New"/>
          <w:sz w:val="15"/>
          <w:szCs w:val="15"/>
          <w:color w:val="auto"/>
        </w:rPr>
        <w:t>a Tennessee limited partnership</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Industrial Molding GP, LLC,</w:t>
      </w:r>
    </w:p>
    <w:p>
      <w:pPr>
        <w:ind w:left="2280"/>
        <w:spacing w:after="0" w:line="237" w:lineRule="auto"/>
        <w:rPr>
          <w:sz w:val="20"/>
          <w:szCs w:val="20"/>
          <w:color w:val="auto"/>
        </w:rPr>
      </w:pPr>
      <w:r>
        <w:rPr>
          <w:rFonts w:ascii="Courier New" w:cs="Courier New" w:eastAsia="Courier New" w:hAnsi="Courier New"/>
          <w:sz w:val="15"/>
          <w:szCs w:val="15"/>
          <w:color w:val="auto"/>
        </w:rPr>
        <w:t>a Delaware limited liability company,</w:t>
      </w:r>
    </w:p>
    <w:p>
      <w:pPr>
        <w:ind w:left="2280"/>
        <w:spacing w:after="0" w:line="238" w:lineRule="auto"/>
        <w:rPr>
          <w:sz w:val="20"/>
          <w:szCs w:val="20"/>
          <w:color w:val="auto"/>
        </w:rPr>
      </w:pPr>
      <w:r>
        <w:rPr>
          <w:rFonts w:ascii="Courier New" w:cs="Courier New" w:eastAsia="Courier New" w:hAnsi="Courier New"/>
          <w:sz w:val="15"/>
          <w:szCs w:val="15"/>
          <w:color w:val="auto"/>
        </w:rPr>
        <w:t>its general partner</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[Signatures Continued Next Page]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4" w:right="1440" w:bottom="1440" w:gutter="0" w:footer="0" w:header="0"/>
        </w:sectPr>
      </w:pPr>
    </w:p>
    <w:bookmarkStart w:id="30" w:name="page31"/>
    <w:bookmarkEnd w:id="30"/>
    <w:p>
      <w:pPr>
        <w:ind w:left="2020"/>
        <w:spacing w:after="0"/>
        <w:rPr>
          <w:sz w:val="20"/>
          <w:szCs w:val="20"/>
          <w:color w:val="auto"/>
        </w:rPr>
      </w:pPr>
      <w:r>
        <w:rPr>
          <w:rFonts w:ascii="Courier New" w:cs="Courier New" w:eastAsia="Courier New" w:hAnsi="Courier New"/>
          <w:sz w:val="15"/>
          <w:szCs w:val="15"/>
          <w:color w:val="auto"/>
        </w:rPr>
        <w:t>DELTA RUBBER COMPANY,</w:t>
      </w:r>
    </w:p>
    <w:p>
      <w:pPr>
        <w:ind w:left="2020"/>
        <w:spacing w:after="0" w:line="237" w:lineRule="auto"/>
        <w:rPr>
          <w:sz w:val="20"/>
          <w:szCs w:val="20"/>
          <w:color w:val="auto"/>
        </w:rPr>
      </w:pPr>
      <w:r>
        <w:rPr>
          <w:rFonts w:ascii="Courier New" w:cs="Courier New" w:eastAsia="Courier New" w:hAnsi="Courier New"/>
          <w:sz w:val="15"/>
          <w:szCs w:val="15"/>
          <w:color w:val="auto"/>
        </w:rPr>
        <w:t>a Connecticut corporation</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KUGELFERTIGUNG ELTMANN GmbH,</w:t>
      </w:r>
    </w:p>
    <w:p>
      <w:pPr>
        <w:ind w:left="2020"/>
        <w:spacing w:after="0" w:line="237" w:lineRule="auto"/>
        <w:rPr>
          <w:sz w:val="20"/>
          <w:szCs w:val="20"/>
          <w:color w:val="auto"/>
        </w:rPr>
      </w:pPr>
      <w:r>
        <w:rPr>
          <w:rFonts w:ascii="Courier New" w:cs="Courier New" w:eastAsia="Courier New" w:hAnsi="Courier New"/>
          <w:sz w:val="15"/>
          <w:szCs w:val="15"/>
          <w:color w:val="auto"/>
        </w:rPr>
        <w:t>a German Company</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NN NETHERLANDS B.V., a Dutch company</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2020" w:right="4539" w:firstLine="6"/>
        <w:spacing w:after="0" w:line="234" w:lineRule="auto"/>
        <w:tabs>
          <w:tab w:leader="none" w:pos="228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EUROBALL IRELAND LIMITED, an Irish company</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[Signatures Continued Next Page]</w:t>
      </w:r>
    </w:p>
    <w:p>
      <w:pPr>
        <w:spacing w:after="0" w:line="17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17" w:right="1440" w:bottom="1440" w:gutter="0" w:footer="0" w:header="0"/>
        </w:sectPr>
      </w:pPr>
    </w:p>
    <w:bookmarkStart w:id="31" w:name="page32"/>
    <w:bookmarkEnd w:id="31"/>
    <w:p>
      <w:pPr>
        <w:ind w:left="2020"/>
        <w:spacing w:after="0"/>
        <w:rPr>
          <w:sz w:val="20"/>
          <w:szCs w:val="20"/>
          <w:color w:val="auto"/>
        </w:rPr>
      </w:pPr>
      <w:r>
        <w:rPr>
          <w:rFonts w:ascii="Courier New" w:cs="Courier New" w:eastAsia="Courier New" w:hAnsi="Courier New"/>
          <w:sz w:val="15"/>
          <w:szCs w:val="15"/>
          <w:color w:val="auto"/>
        </w:rPr>
        <w:t>NN HOLDINGS, B.V., a Dutch company</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NN SLOVAKIA, s.r.o.</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LENDERS: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AMSOUTH BANK, as a Lender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FIRST TENNESSEE BANK NATIONAL ASSOCIATION,</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[Signatures Continued Next Page]</w:t>
      </w:r>
    </w:p>
    <w:p>
      <w:pPr>
        <w:spacing w:after="0" w:line="171"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785" w:right="1440" w:bottom="1440" w:gutter="0" w:footer="0" w:header="0"/>
        </w:sectPr>
      </w:pPr>
    </w:p>
    <w:bookmarkStart w:id="32" w:name="page33"/>
    <w:bookmarkEnd w:id="32"/>
    <w:p>
      <w:pPr>
        <w:ind w:left="2020"/>
        <w:spacing w:after="0"/>
        <w:rPr>
          <w:sz w:val="20"/>
          <w:szCs w:val="20"/>
          <w:color w:val="auto"/>
        </w:rPr>
      </w:pPr>
      <w:r>
        <w:rPr>
          <w:rFonts w:ascii="Courier New" w:cs="Courier New" w:eastAsia="Courier New" w:hAnsi="Courier New"/>
          <w:sz w:val="14"/>
          <w:szCs w:val="14"/>
          <w:color w:val="auto"/>
        </w:rPr>
        <w:t>UNION PLANTERS BANK, NATIONAL ASSOCIATION,</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as a Lender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INTEGRA BANK, N.A., as a Lender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SUNTRUST BANK, as a Lender and</w:t>
      </w:r>
    </w:p>
    <w:p>
      <w:pPr>
        <w:ind w:left="2020"/>
        <w:spacing w:after="0" w:line="237" w:lineRule="auto"/>
        <w:rPr>
          <w:sz w:val="20"/>
          <w:szCs w:val="20"/>
          <w:color w:val="auto"/>
        </w:rPr>
      </w:pPr>
      <w:r>
        <w:rPr>
          <w:rFonts w:ascii="Courier New" w:cs="Courier New" w:eastAsia="Courier New" w:hAnsi="Courier New"/>
          <w:sz w:val="15"/>
          <w:szCs w:val="15"/>
          <w:color w:val="auto"/>
        </w:rPr>
        <w:t>Euro Loan Agent</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960" w:right="1440" w:bottom="1440" w:gutter="0" w:footer="0" w:header="0"/>
        </w:sectPr>
      </w:pPr>
    </w:p>
    <w:bookmarkStart w:id="33" w:name="page34"/>
    <w:bookmarkEnd w:id="33"/>
    <w:p>
      <w:pPr>
        <w:ind w:left="5960"/>
        <w:spacing w:after="0"/>
        <w:rPr>
          <w:sz w:val="20"/>
          <w:szCs w:val="20"/>
          <w:color w:val="auto"/>
        </w:rPr>
      </w:pPr>
      <w:r>
        <w:rPr>
          <w:rFonts w:ascii="Courier New" w:cs="Courier New" w:eastAsia="Courier New" w:hAnsi="Courier New"/>
          <w:sz w:val="14"/>
          <w:szCs w:val="14"/>
          <w:color w:val="auto"/>
        </w:rPr>
        <w:t>Exhibit 31.1</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CERTIFICATION PURSUANT TO SECTION 302 OF SARBANES-OXLEY ACT OF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Roderick R. Baty, principal executive officer of NN, Inc., certify that:</w:t>
      </w:r>
    </w:p>
    <w:p>
      <w:pPr>
        <w:spacing w:after="0" w:line="166"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jc w:val="both"/>
        <w:ind w:left="440" w:right="3239" w:hanging="430"/>
        <w:spacing w:after="0" w:line="254"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have:</w:t>
      </w:r>
    </w:p>
    <w:p>
      <w:pPr>
        <w:spacing w:after="0" w:line="173"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jc w:val="both"/>
        <w:ind w:left="440" w:right="3239" w:hanging="430"/>
        <w:spacing w:after="0" w:line="235"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May 10, 2005</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/S/ RODERICK R. BATY</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1580"/>
        <w:spacing w:after="0" w:line="238" w:lineRule="auto"/>
        <w:rPr>
          <w:sz w:val="20"/>
          <w:szCs w:val="20"/>
          <w:color w:val="auto"/>
        </w:rPr>
      </w:pPr>
      <w:r>
        <w:rPr>
          <w:rFonts w:ascii="Courier New" w:cs="Courier New" w:eastAsia="Courier New" w:hAnsi="Courier New"/>
          <w:sz w:val="15"/>
          <w:szCs w:val="15"/>
          <w:color w:val="auto"/>
        </w:rPr>
        <w:t>Roderick R. Baty</w:t>
      </w:r>
    </w:p>
    <w:p>
      <w:pPr>
        <w:ind w:left="1580"/>
        <w:spacing w:after="0" w:line="237" w:lineRule="auto"/>
        <w:rPr>
          <w:sz w:val="20"/>
          <w:szCs w:val="20"/>
          <w:color w:val="auto"/>
        </w:rPr>
      </w:pPr>
      <w:r>
        <w:rPr>
          <w:rFonts w:ascii="Courier New" w:cs="Courier New" w:eastAsia="Courier New" w:hAnsi="Courier New"/>
          <w:sz w:val="15"/>
          <w:szCs w:val="15"/>
          <w:color w:val="auto"/>
        </w:rPr>
        <w:t>Principal Executive Officer</w:t>
      </w:r>
    </w:p>
    <w:p>
      <w:pPr>
        <w:sectPr>
          <w:pgSz w:w="11900" w:h="16838" w:orient="portrait"/>
          <w:cols w:equalWidth="0" w:num="1">
            <w:col w:w="10239"/>
          </w:cols>
          <w:pgMar w:left="220" w:top="141" w:right="1440" w:bottom="1440" w:gutter="0" w:footer="0" w:header="0"/>
        </w:sectPr>
      </w:pPr>
    </w:p>
    <w:bookmarkStart w:id="34" w:name="page35"/>
    <w:bookmarkEnd w:id="34"/>
    <w:p>
      <w:pPr>
        <w:ind w:left="5960"/>
        <w:spacing w:after="0"/>
        <w:rPr>
          <w:sz w:val="20"/>
          <w:szCs w:val="20"/>
          <w:color w:val="auto"/>
        </w:rPr>
      </w:pPr>
      <w:r>
        <w:rPr>
          <w:rFonts w:ascii="Courier New" w:cs="Courier New" w:eastAsia="Courier New" w:hAnsi="Courier New"/>
          <w:sz w:val="14"/>
          <w:szCs w:val="14"/>
          <w:color w:val="auto"/>
        </w:rPr>
        <w:t>Exhibit 31.2</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CERTIFICATION PURSUANT TO SECTION 302 OF SARBANES-OXLEY ACT OF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Steven W. Fray, principal accounting officer of NN, Inc., certify that:</w:t>
      </w:r>
    </w:p>
    <w:p>
      <w:pPr>
        <w:spacing w:after="0" w:line="166" w:lineRule="exact"/>
        <w:rPr>
          <w:sz w:val="20"/>
          <w:szCs w:val="20"/>
          <w:color w:val="auto"/>
        </w:rPr>
      </w:pPr>
    </w:p>
    <w:p>
      <w:pPr>
        <w:ind w:left="440" w:hanging="430"/>
        <w:spacing w:after="0"/>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NN, Inc.</w:t>
      </w:r>
    </w:p>
    <w:p>
      <w:pPr>
        <w:spacing w:after="0" w:line="172"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jc w:val="both"/>
        <w:ind w:left="440" w:right="3239" w:hanging="430"/>
        <w:spacing w:after="0" w:line="254"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15d-15(f)) for the registrant and have:</w:t>
      </w:r>
    </w:p>
    <w:p>
      <w:pPr>
        <w:spacing w:after="0" w:line="173"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Courier New" w:cs="Courier New" w:eastAsia="Courier New" w:hAnsi="Courier New"/>
          <w:sz w:val="15"/>
          <w:szCs w:val="15"/>
          <w:color w:val="auto"/>
        </w:rPr>
      </w:pPr>
    </w:p>
    <w:p>
      <w:pPr>
        <w:jc w:val="both"/>
        <w:ind w:left="880" w:right="3239" w:hanging="433"/>
        <w:spacing w:after="0" w:line="236" w:lineRule="auto"/>
        <w:tabs>
          <w:tab w:leader="none" w:pos="8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Courier New" w:cs="Courier New" w:eastAsia="Courier New" w:hAnsi="Courier New"/>
          <w:sz w:val="15"/>
          <w:szCs w:val="15"/>
          <w:color w:val="auto"/>
        </w:rPr>
      </w:pPr>
    </w:p>
    <w:p>
      <w:pPr>
        <w:jc w:val="both"/>
        <w:ind w:left="880" w:right="3239" w:hanging="433"/>
        <w:spacing w:after="0" w:line="256" w:lineRule="auto"/>
        <w:tabs>
          <w:tab w:leader="none" w:pos="88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jc w:val="both"/>
        <w:ind w:left="880" w:right="3239" w:hanging="433"/>
        <w:spacing w:after="0" w:line="236" w:lineRule="auto"/>
        <w:tabs>
          <w:tab w:leader="none" w:pos="8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74" w:lineRule="exact"/>
        <w:rPr>
          <w:rFonts w:ascii="Courier New" w:cs="Courier New" w:eastAsia="Courier New" w:hAnsi="Courier New"/>
          <w:sz w:val="15"/>
          <w:szCs w:val="15"/>
          <w:color w:val="auto"/>
        </w:rPr>
      </w:pPr>
    </w:p>
    <w:p>
      <w:pPr>
        <w:jc w:val="both"/>
        <w:ind w:left="440" w:right="3239" w:hanging="430"/>
        <w:spacing w:after="0" w:line="256"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jc w:val="both"/>
        <w:ind w:left="880" w:right="3239" w:hanging="433"/>
        <w:spacing w:after="0" w:line="235" w:lineRule="auto"/>
        <w:tabs>
          <w:tab w:leader="none" w:pos="8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May 10, 2005</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W. FRAY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Steven W. Fray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2">
            <w:col w:w="880" w:space="700"/>
            <w:col w:w="8659"/>
          </w:cols>
          <w:pgMar w:left="220" w:top="141" w:right="1440" w:bottom="1440" w:gutter="0" w:footer="0" w:header="0"/>
          <w:type w:val="continuous"/>
        </w:sectPr>
      </w:pPr>
    </w:p>
    <w:bookmarkStart w:id="35" w:name="page36"/>
    <w:bookmarkEnd w:id="35"/>
    <w:p>
      <w:pPr>
        <w:jc w:val="right"/>
        <w:ind w:right="3239"/>
        <w:spacing w:after="0"/>
        <w:rPr>
          <w:sz w:val="20"/>
          <w:szCs w:val="20"/>
          <w:color w:val="auto"/>
        </w:rPr>
      </w:pPr>
      <w:r>
        <w:rPr>
          <w:rFonts w:ascii="Courier New" w:cs="Courier New" w:eastAsia="Courier New" w:hAnsi="Courier New"/>
          <w:sz w:val="15"/>
          <w:szCs w:val="15"/>
          <w:color w:val="auto"/>
        </w:rPr>
        <w:t>Exhibit 32.1</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EXECUTIVE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March 31,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35"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R. Baty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Roderick R. Baty</w:t>
      </w:r>
    </w:p>
    <w:p>
      <w:pPr>
        <w:spacing w:after="0" w:line="1" w:lineRule="exact"/>
        <w:rPr>
          <w:sz w:val="20"/>
          <w:szCs w:val="20"/>
          <w:color w:val="auto"/>
        </w:rPr>
      </w:pPr>
    </w:p>
    <w:p>
      <w:pPr>
        <w:sectPr>
          <w:pgSz w:w="11900" w:h="16838" w:orient="portrait"/>
          <w:cols w:equalWidth="0" w:num="3">
            <w:col w:w="440" w:space="180"/>
            <w:col w:w="2080" w:space="720"/>
            <w:col w:w="6819"/>
          </w:cols>
          <w:pgMar w:left="220" w:top="135" w:right="1440" w:bottom="1440" w:gutter="0" w:footer="0" w:header="0"/>
          <w:type w:val="continuous"/>
        </w:sectPr>
      </w:pPr>
    </w:p>
    <w:p>
      <w:pPr>
        <w:ind w:left="3780"/>
        <w:spacing w:after="0" w:line="237" w:lineRule="auto"/>
        <w:rPr>
          <w:sz w:val="20"/>
          <w:szCs w:val="20"/>
          <w:color w:val="auto"/>
        </w:rPr>
      </w:pPr>
      <w:r>
        <w:rPr>
          <w:rFonts w:ascii="Courier New" w:cs="Courier New" w:eastAsia="Courier New" w:hAnsi="Courier New"/>
          <w:sz w:val="15"/>
          <w:szCs w:val="15"/>
          <w:color w:val="auto"/>
        </w:rPr>
        <w:t>Chairman, President and Chief</w:t>
      </w:r>
    </w:p>
    <w:p>
      <w:pPr>
        <w:ind w:left="3780"/>
        <w:spacing w:after="0" w:line="238" w:lineRule="auto"/>
        <w:rPr>
          <w:sz w:val="20"/>
          <w:szCs w:val="20"/>
          <w:color w:val="auto"/>
        </w:rPr>
      </w:pPr>
      <w:r>
        <w:rPr>
          <w:rFonts w:ascii="Courier New" w:cs="Courier New" w:eastAsia="Courier New" w:hAnsi="Courier New"/>
          <w:sz w:val="15"/>
          <w:szCs w:val="15"/>
          <w:color w:val="auto"/>
        </w:rPr>
        <w:t>Executive Officer</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135" w:right="1440" w:bottom="1440" w:gutter="0" w:footer="0" w:header="0"/>
          <w:type w:val="continuous"/>
        </w:sectPr>
      </w:pPr>
    </w:p>
    <w:bookmarkStart w:id="36" w:name="page37"/>
    <w:bookmarkEnd w:id="36"/>
    <w:p>
      <w:pPr>
        <w:jc w:val="right"/>
        <w:ind w:right="3239"/>
        <w:spacing w:after="0"/>
        <w:rPr>
          <w:sz w:val="20"/>
          <w:szCs w:val="20"/>
          <w:color w:val="auto"/>
        </w:rPr>
      </w:pPr>
      <w:r>
        <w:rPr>
          <w:rFonts w:ascii="Courier New" w:cs="Courier New" w:eastAsia="Courier New" w:hAnsi="Courier New"/>
          <w:sz w:val="15"/>
          <w:szCs w:val="15"/>
          <w:color w:val="auto"/>
        </w:rPr>
        <w:t>Exhibit 32.2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CERTIFICATION OF CHIEF FINANCIAL OFFICER PURSUANT</w:t>
      </w:r>
    </w:p>
    <w:p>
      <w:pPr>
        <w:ind w:left="1400"/>
        <w:spacing w:after="0" w:line="237" w:lineRule="auto"/>
        <w:rPr>
          <w:sz w:val="20"/>
          <w:szCs w:val="20"/>
          <w:color w:val="auto"/>
        </w:rPr>
      </w:pPr>
      <w:r>
        <w:rPr>
          <w:rFonts w:ascii="Courier New" w:cs="Courier New" w:eastAsia="Courier New" w:hAnsi="Courier New"/>
          <w:sz w:val="15"/>
          <w:szCs w:val="15"/>
          <w:color w:val="auto"/>
        </w:rPr>
        <w:t>TO SECTION 906 OF THE SARBANES-OXLEY ACT OF 2002</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NN, Inc. (the "Company") on Form 10-Q for the interim period ended March 31, 2005,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135" w:right="1440" w:bottom="1440" w:gutter="0" w:footer="0" w:header="0"/>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10,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W. Fray</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Steven W. Fray</w:t>
      </w:r>
    </w:p>
    <w:p>
      <w:pPr>
        <w:spacing w:after="0" w:line="1" w:lineRule="exact"/>
        <w:rPr>
          <w:sz w:val="20"/>
          <w:szCs w:val="20"/>
          <w:color w:val="auto"/>
        </w:rPr>
      </w:pPr>
    </w:p>
    <w:p>
      <w:pPr>
        <w:sectPr>
          <w:pgSz w:w="11900" w:h="16838" w:orient="portrait"/>
          <w:cols w:equalWidth="0" w:num="3">
            <w:col w:w="440" w:space="180"/>
            <w:col w:w="2000" w:space="720"/>
            <w:col w:w="6899"/>
          </w:cols>
          <w:pgMar w:left="220" w:top="135" w:right="1440" w:bottom="1440" w:gutter="0" w:footer="0" w:header="0"/>
          <w:type w:val="continuous"/>
        </w:sectPr>
      </w:pPr>
    </w:p>
    <w:p>
      <w:pPr>
        <w:ind w:left="3680"/>
        <w:spacing w:after="0" w:line="237" w:lineRule="auto"/>
        <w:rPr>
          <w:sz w:val="20"/>
          <w:szCs w:val="20"/>
          <w:color w:val="auto"/>
        </w:rPr>
      </w:pPr>
      <w:r>
        <w:rPr>
          <w:rFonts w:ascii="Courier New" w:cs="Courier New" w:eastAsia="Courier New" w:hAnsi="Courier New"/>
          <w:sz w:val="15"/>
          <w:szCs w:val="15"/>
          <w:color w:val="auto"/>
        </w:rPr>
        <w:t>Corporate Controller</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1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o"/>
      <w:numFmt w:val="bullet"/>
      <w:start w:val="1"/>
    </w:lvl>
  </w:abstractNum>
  <w:abstractNum w:abstractNumId="3">
    <w:nsid w:val="109CF92E"/>
    <w:multiLevelType w:val="hybridMultilevel"/>
    <w:lvl w:ilvl="0">
      <w:lvlJc w:val="left"/>
      <w:lvlText w:val="o"/>
      <w:numFmt w:val="bullet"/>
      <w:start w:val="1"/>
    </w:lvl>
  </w:abstractNum>
  <w:abstractNum w:abstractNumId="4">
    <w:nsid w:val="DED7263"/>
    <w:multiLevelType w:val="hybridMultilevel"/>
    <w:lvl w:ilvl="0">
      <w:lvlJc w:val="left"/>
      <w:lvlText w:val="o"/>
      <w:numFmt w:val="bullet"/>
      <w:start w:val="1"/>
    </w:lvl>
  </w:abstractNum>
  <w:abstractNum w:abstractNumId="5">
    <w:nsid w:val="7FDCC233"/>
    <w:multiLevelType w:val="hybridMultilevel"/>
    <w:lvl w:ilvl="0">
      <w:lvlJc w:val="left"/>
      <w:lvlText w:val="%1"/>
      <w:numFmt w:val="upperLetter"/>
      <w:start w:val="40"/>
    </w:lvl>
  </w:abstractNum>
  <w:abstractNum w:abstractNumId="6">
    <w:nsid w:val="1BEFD79F"/>
    <w:multiLevelType w:val="hybridMultilevel"/>
    <w:lvl w:ilvl="0">
      <w:lvlJc w:val="left"/>
      <w:lvlText w:val="o"/>
      <w:numFmt w:val="bullet"/>
      <w:start w:val="1"/>
    </w:lvl>
  </w:abstractNum>
  <w:abstractNum w:abstractNumId="7">
    <w:nsid w:val="41A7C4C9"/>
    <w:multiLevelType w:val="hybridMultilevel"/>
    <w:lvl w:ilvl="0">
      <w:lvlJc w:val="left"/>
      <w:lvlText w:val="%1"/>
      <w:numFmt w:val="upperLetter"/>
      <w:start w:val="40"/>
    </w:lvl>
  </w:abstractNum>
  <w:abstractNum w:abstractNumId="8">
    <w:nsid w:val="6B68079A"/>
    <w:multiLevelType w:val="hybridMultilevel"/>
    <w:lvl w:ilvl="0">
      <w:lvlJc w:val="left"/>
      <w:lvlText w:val="o"/>
      <w:numFmt w:val="bullet"/>
      <w:start w:val="1"/>
    </w:lvl>
  </w:abstractNum>
  <w:abstractNum w:abstractNumId="9">
    <w:nsid w:val="4E6AFB66"/>
    <w:multiLevelType w:val="hybridMultilevel"/>
    <w:lvl w:ilvl="0">
      <w:lvlJc w:val="left"/>
      <w:lvlText w:val="%1"/>
      <w:numFmt w:val="upperLetter"/>
      <w:start w:val="40"/>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upperLetter"/>
      <w:start w:val="40"/>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lvl w:ilvl="1">
      <w:lvlJc w:val="left"/>
      <w:lvlText w:val="(%2)"/>
      <w:numFmt w:val="lowerLetter"/>
      <w:start w:val="1"/>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decimal"/>
      <w:start w:val="7"/>
    </w:lvl>
    <w:lvl w:ilvl="1">
      <w:lvlJc w:val="left"/>
      <w:lvlText w:val="(%2)"/>
      <w:numFmt w:val="lowerLetter"/>
      <w:start w:val="1"/>
    </w:lvl>
  </w:abstractNum>
  <w:abstractNum w:abstractNumId="18">
    <w:nsid w:val="628C895D"/>
    <w:multiLevelType w:val="hybridMultilevel"/>
    <w:lvl w:ilvl="0">
      <w:lvlJc w:val="left"/>
      <w:lvlText w:val="%1"/>
      <w:numFmt w:val="upperLetter"/>
      <w:start w:val="40"/>
    </w:lvl>
  </w:abstractNum>
  <w:abstractNum w:abstractNumId="19">
    <w:nsid w:val="333AB105"/>
    <w:multiLevelType w:val="hybridMultilevel"/>
    <w:lvl w:ilvl="0">
      <w:lvlJc w:val="left"/>
      <w:lvlText w:val="%1"/>
      <w:numFmt w:val="upperLetter"/>
      <w:start w:val="40"/>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2019-12-14T03:15:51Z</dcterms:created>
  <dcterms:modified xsi:type="dcterms:W3CDTF">2019-12-14T03:15:51Z</dcterms:modified>
</cp:coreProperties>
</file>