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116840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39"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74295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73"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CURRENT REPORT</w:t>
      </w:r>
    </w:p>
    <w:p>
      <w:pPr>
        <w:spacing w:after="0" w:line="41"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93"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Date of Report (Date of earliest event reported): November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108585</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168275</wp:posOffset>
            </wp:positionV>
            <wp:extent cx="3943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NN, Inc.</w:t>
      </w:r>
    </w:p>
    <w:p>
      <w:pPr>
        <w:spacing w:after="0" w:line="53"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53975</wp:posOffset>
            </wp:positionV>
            <wp:extent cx="2597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9" w:lineRule="exact"/>
        <w:rPr>
          <w:sz w:val="24"/>
          <w:szCs w:val="24"/>
          <w:color w:val="auto"/>
        </w:rPr>
      </w:pPr>
    </w:p>
    <w:tbl>
      <w:tblPr>
        <w:tblLayout w:type="fixed"/>
        <w:tblInd w:w="940" w:type="dxa"/>
        <w:tblCellMar>
          <w:top w:w="0" w:type="dxa"/>
          <w:left w:w="0" w:type="dxa"/>
          <w:bottom w:w="0" w:type="dxa"/>
          <w:right w:w="0" w:type="dxa"/>
        </w:tblCellMar>
      </w:tblPr>
      <w:tr>
        <w:trPr>
          <w:trHeight w:val="251"/>
        </w:trPr>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36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001-39268</w:t>
            </w:r>
          </w:p>
        </w:tc>
        <w:tc>
          <w:tcPr>
            <w:tcW w:w="1400" w:type="dxa"/>
            <w:vAlign w:val="bottom"/>
          </w:tcPr>
          <w:p>
            <w:pPr>
              <w:jc w:val="center"/>
              <w:ind w:left="99"/>
              <w:spacing w:after="0"/>
              <w:rPr>
                <w:sz w:val="20"/>
                <w:szCs w:val="20"/>
                <w:color w:val="auto"/>
              </w:rPr>
            </w:pPr>
            <w:r>
              <w:rPr>
                <w:rFonts w:ascii="Arial" w:cs="Arial" w:eastAsia="Arial" w:hAnsi="Arial"/>
                <w:sz w:val="16"/>
                <w:szCs w:val="16"/>
                <w:b w:val="1"/>
                <w:bCs w:val="1"/>
                <w:color w:val="auto"/>
                <w:w w:val="91"/>
              </w:rPr>
              <w:t>62-1096725</w:t>
            </w:r>
          </w:p>
        </w:tc>
      </w:tr>
      <w:tr>
        <w:trPr>
          <w:trHeight w:val="172"/>
        </w:trPr>
        <w:tc>
          <w:tcPr>
            <w:tcW w:w="1920" w:type="dxa"/>
            <w:vAlign w:val="bottom"/>
          </w:tcPr>
          <w:p>
            <w:pPr>
              <w:jc w:val="center"/>
              <w:spacing w:after="0" w:line="171" w:lineRule="exact"/>
              <w:rPr>
                <w:sz w:val="20"/>
                <w:szCs w:val="20"/>
                <w:color w:val="auto"/>
              </w:rPr>
            </w:pPr>
            <w:r>
              <w:rPr>
                <w:rFonts w:ascii="Arial" w:cs="Arial" w:eastAsia="Arial" w:hAnsi="Arial"/>
                <w:sz w:val="16"/>
                <w:szCs w:val="16"/>
                <w:i w:val="1"/>
                <w:iCs w:val="1"/>
                <w:color w:val="auto"/>
                <w:w w:val="94"/>
              </w:rPr>
              <w:t>(State or other jurisdiction of</w:t>
            </w:r>
          </w:p>
        </w:tc>
        <w:tc>
          <w:tcPr>
            <w:tcW w:w="3640" w:type="dxa"/>
            <w:vAlign w:val="bottom"/>
          </w:tcPr>
          <w:p>
            <w:pPr>
              <w:jc w:val="center"/>
              <w:ind w:right="99"/>
              <w:spacing w:after="0" w:line="171" w:lineRule="exact"/>
              <w:rPr>
                <w:sz w:val="20"/>
                <w:szCs w:val="20"/>
                <w:color w:val="auto"/>
              </w:rPr>
            </w:pPr>
            <w:r>
              <w:rPr>
                <w:rFonts w:ascii="Arial" w:cs="Arial" w:eastAsia="Arial" w:hAnsi="Arial"/>
                <w:sz w:val="16"/>
                <w:szCs w:val="16"/>
                <w:i w:val="1"/>
                <w:iCs w:val="1"/>
                <w:color w:val="auto"/>
                <w:w w:val="93"/>
              </w:rPr>
              <w:t>(Commission File Number)</w:t>
            </w:r>
          </w:p>
        </w:tc>
        <w:tc>
          <w:tcPr>
            <w:tcW w:w="1400" w:type="dxa"/>
            <w:vAlign w:val="bottom"/>
          </w:tcPr>
          <w:p>
            <w:pPr>
              <w:jc w:val="center"/>
              <w:ind w:left="119"/>
              <w:spacing w:after="0" w:line="171" w:lineRule="exact"/>
              <w:rPr>
                <w:sz w:val="20"/>
                <w:szCs w:val="20"/>
                <w:color w:val="auto"/>
              </w:rPr>
            </w:pPr>
            <w:r>
              <w:rPr>
                <w:rFonts w:ascii="Arial" w:cs="Arial" w:eastAsia="Arial" w:hAnsi="Arial"/>
                <w:sz w:val="16"/>
                <w:szCs w:val="16"/>
                <w:i w:val="1"/>
                <w:iCs w:val="1"/>
                <w:color w:val="auto"/>
                <w:w w:val="91"/>
              </w:rPr>
              <w:t>(I.R.S. Employer</w:t>
            </w:r>
          </w:p>
        </w:tc>
      </w:tr>
      <w:tr>
        <w:trPr>
          <w:trHeight w:val="206"/>
        </w:trPr>
        <w:tc>
          <w:tcPr>
            <w:tcW w:w="1920" w:type="dxa"/>
            <w:vAlign w:val="bottom"/>
          </w:tcPr>
          <w:p>
            <w:pPr>
              <w:jc w:val="center"/>
              <w:spacing w:after="0"/>
              <w:rPr>
                <w:sz w:val="20"/>
                <w:szCs w:val="20"/>
                <w:color w:val="auto"/>
              </w:rPr>
            </w:pPr>
            <w:r>
              <w:rPr>
                <w:rFonts w:ascii="Arial" w:cs="Arial" w:eastAsia="Arial" w:hAnsi="Arial"/>
                <w:sz w:val="16"/>
                <w:szCs w:val="16"/>
                <w:i w:val="1"/>
                <w:iCs w:val="1"/>
                <w:color w:val="auto"/>
                <w:w w:val="98"/>
              </w:rPr>
              <w:t>incorporation)</w:t>
            </w:r>
          </w:p>
        </w:tc>
        <w:tc>
          <w:tcPr>
            <w:tcW w:w="3640" w:type="dxa"/>
            <w:vAlign w:val="bottom"/>
          </w:tcPr>
          <w:p>
            <w:pPr>
              <w:spacing w:after="0"/>
              <w:rPr>
                <w:sz w:val="17"/>
                <w:szCs w:val="17"/>
                <w:color w:val="auto"/>
              </w:rPr>
            </w:pPr>
          </w:p>
        </w:tc>
        <w:tc>
          <w:tcPr>
            <w:tcW w:w="1400" w:type="dxa"/>
            <w:vAlign w:val="bottom"/>
          </w:tcPr>
          <w:p>
            <w:pPr>
              <w:jc w:val="center"/>
              <w:ind w:left="119"/>
              <w:spacing w:after="0"/>
              <w:rPr>
                <w:sz w:val="20"/>
                <w:szCs w:val="20"/>
                <w:color w:val="auto"/>
              </w:rPr>
            </w:pPr>
            <w:r>
              <w:rPr>
                <w:rFonts w:ascii="Arial" w:cs="Arial" w:eastAsia="Arial" w:hAnsi="Arial"/>
                <w:sz w:val="16"/>
                <w:szCs w:val="16"/>
                <w:i w:val="1"/>
                <w:iCs w:val="1"/>
                <w:color w:val="auto"/>
                <w:w w:val="96"/>
              </w:rPr>
              <w:t>Identification No.)</w:t>
            </w:r>
          </w:p>
        </w:tc>
      </w:tr>
      <w:tr>
        <w:trPr>
          <w:trHeight w:val="661"/>
        </w:trPr>
        <w:tc>
          <w:tcPr>
            <w:tcW w:w="5560" w:type="dxa"/>
            <w:vAlign w:val="bottom"/>
            <w:gridSpan w:val="2"/>
          </w:tcPr>
          <w:p>
            <w:pPr>
              <w:jc w:val="center"/>
              <w:ind w:right="1639"/>
              <w:spacing w:after="0"/>
              <w:rPr>
                <w:sz w:val="20"/>
                <w:szCs w:val="20"/>
                <w:color w:val="auto"/>
              </w:rPr>
            </w:pPr>
            <w:r>
              <w:rPr>
                <w:rFonts w:ascii="Arial" w:cs="Arial" w:eastAsia="Arial" w:hAnsi="Arial"/>
                <w:sz w:val="16"/>
                <w:szCs w:val="16"/>
                <w:b w:val="1"/>
                <w:bCs w:val="1"/>
                <w:color w:val="auto"/>
                <w:w w:val="93"/>
              </w:rPr>
              <w:t>6210 Ardrey Kell Road, Suite 600</w:t>
            </w:r>
          </w:p>
        </w:tc>
        <w:tc>
          <w:tcPr>
            <w:tcW w:w="1400" w:type="dxa"/>
            <w:vAlign w:val="bottom"/>
          </w:tcPr>
          <w:p>
            <w:pPr>
              <w:spacing w:after="0"/>
              <w:rPr>
                <w:sz w:val="24"/>
                <w:szCs w:val="24"/>
                <w:color w:val="auto"/>
              </w:rPr>
            </w:pPr>
          </w:p>
        </w:tc>
      </w:tr>
      <w:tr>
        <w:trPr>
          <w:trHeight w:val="256"/>
        </w:trPr>
        <w:tc>
          <w:tcPr>
            <w:tcW w:w="5560" w:type="dxa"/>
            <w:vAlign w:val="bottom"/>
            <w:gridSpan w:val="2"/>
          </w:tcPr>
          <w:p>
            <w:pPr>
              <w:jc w:val="center"/>
              <w:ind w:right="1619"/>
              <w:spacing w:after="0"/>
              <w:rPr>
                <w:sz w:val="20"/>
                <w:szCs w:val="20"/>
                <w:color w:val="auto"/>
              </w:rPr>
            </w:pPr>
            <w:r>
              <w:rPr>
                <w:rFonts w:ascii="Arial" w:cs="Arial" w:eastAsia="Arial" w:hAnsi="Arial"/>
                <w:sz w:val="16"/>
                <w:szCs w:val="16"/>
                <w:b w:val="1"/>
                <w:bCs w:val="1"/>
                <w:color w:val="auto"/>
                <w:w w:val="95"/>
              </w:rPr>
              <w:t>Charlotte, North Carolina</w:t>
            </w:r>
          </w:p>
        </w:tc>
        <w:tc>
          <w:tcPr>
            <w:tcW w:w="1400" w:type="dxa"/>
            <w:vAlign w:val="bottom"/>
          </w:tcPr>
          <w:p>
            <w:pPr>
              <w:jc w:val="right"/>
              <w:ind w:right="379"/>
              <w:spacing w:after="0"/>
              <w:rPr>
                <w:sz w:val="20"/>
                <w:szCs w:val="20"/>
                <w:color w:val="auto"/>
              </w:rPr>
            </w:pPr>
            <w:r>
              <w:rPr>
                <w:rFonts w:ascii="Arial" w:cs="Arial" w:eastAsia="Arial" w:hAnsi="Arial"/>
                <w:sz w:val="16"/>
                <w:szCs w:val="16"/>
                <w:b w:val="1"/>
                <w:bCs w:val="1"/>
                <w:color w:val="auto"/>
              </w:rPr>
              <w:t>28277</w:t>
            </w:r>
          </w:p>
        </w:tc>
      </w:tr>
      <w:tr>
        <w:trPr>
          <w:trHeight w:val="270"/>
        </w:trPr>
        <w:tc>
          <w:tcPr>
            <w:tcW w:w="5560" w:type="dxa"/>
            <w:vAlign w:val="bottom"/>
            <w:gridSpan w:val="2"/>
          </w:tcPr>
          <w:p>
            <w:pPr>
              <w:jc w:val="center"/>
              <w:ind w:right="161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1400" w:type="dxa"/>
            <w:vAlign w:val="bottom"/>
          </w:tcPr>
          <w:p>
            <w:pPr>
              <w:jc w:val="center"/>
              <w:spacing w:after="0"/>
              <w:rPr>
                <w:sz w:val="20"/>
                <w:szCs w:val="20"/>
                <w:color w:val="auto"/>
              </w:rPr>
            </w:pPr>
            <w:r>
              <w:rPr>
                <w:rFonts w:ascii="Arial" w:cs="Arial" w:eastAsia="Arial" w:hAnsi="Arial"/>
                <w:sz w:val="16"/>
                <w:szCs w:val="16"/>
                <w:i w:val="1"/>
                <w:iCs w:val="1"/>
                <w:color w:val="auto"/>
                <w:w w:val="92"/>
              </w:rPr>
              <w:t>(Zip Code)</w:t>
            </w:r>
          </w:p>
        </w:tc>
      </w:tr>
      <w:tr>
        <w:trPr>
          <w:trHeight w:val="577"/>
        </w:trPr>
        <w:tc>
          <w:tcPr>
            <w:tcW w:w="1920" w:type="dxa"/>
            <w:vAlign w:val="bottom"/>
          </w:tcPr>
          <w:p>
            <w:pPr>
              <w:spacing w:after="0"/>
              <w:rPr>
                <w:sz w:val="24"/>
                <w:szCs w:val="24"/>
                <w:color w:val="auto"/>
              </w:rPr>
            </w:pPr>
          </w:p>
        </w:tc>
        <w:tc>
          <w:tcPr>
            <w:tcW w:w="364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(980) 264-4300</w:t>
            </w:r>
          </w:p>
        </w:tc>
        <w:tc>
          <w:tcPr>
            <w:tcW w:w="1400" w:type="dxa"/>
            <w:vAlign w:val="bottom"/>
          </w:tcPr>
          <w:p>
            <w:pPr>
              <w:spacing w:after="0"/>
              <w:rPr>
                <w:sz w:val="24"/>
                <w:szCs w:val="24"/>
                <w:color w:val="auto"/>
              </w:rPr>
            </w:pPr>
          </w:p>
        </w:tc>
      </w:tr>
      <w:tr>
        <w:trPr>
          <w:trHeight w:val="206"/>
        </w:trPr>
        <w:tc>
          <w:tcPr>
            <w:tcW w:w="1920" w:type="dxa"/>
            <w:vAlign w:val="bottom"/>
          </w:tcPr>
          <w:p>
            <w:pPr>
              <w:spacing w:after="0"/>
              <w:rPr>
                <w:sz w:val="17"/>
                <w:szCs w:val="17"/>
                <w:color w:val="auto"/>
              </w:rPr>
            </w:pPr>
          </w:p>
        </w:tc>
        <w:tc>
          <w:tcPr>
            <w:tcW w:w="3640" w:type="dxa"/>
            <w:vAlign w:val="bottom"/>
          </w:tcPr>
          <w:p>
            <w:pPr>
              <w:jc w:val="center"/>
              <w:ind w:right="119"/>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1400" w:type="dxa"/>
            <w:vAlign w:val="bottom"/>
          </w:tcPr>
          <w:p>
            <w:pPr>
              <w:spacing w:after="0"/>
              <w:rPr>
                <w:sz w:val="17"/>
                <w:szCs w:val="17"/>
                <w:color w:val="auto"/>
              </w:rPr>
            </w:pPr>
          </w:p>
        </w:tc>
      </w:tr>
    </w:tbl>
    <w:p>
      <w:pPr>
        <w:spacing w:after="0" w:line="132"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40640</wp:posOffset>
            </wp:positionV>
            <wp:extent cx="2125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79"/>
        <w:spacing w:after="0" w:line="243"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40"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240.14d- 2(b))</w:t>
      </w:r>
    </w:p>
    <w:p>
      <w:pPr>
        <w:spacing w:after="0" w:line="115" w:lineRule="exact"/>
        <w:rPr>
          <w:rFonts w:ascii="MS PGothic" w:cs="MS PGothic" w:eastAsia="MS PGothic" w:hAnsi="MS PGothic"/>
          <w:sz w:val="17"/>
          <w:szCs w:val="17"/>
          <w:color w:val="auto"/>
        </w:rPr>
      </w:pPr>
    </w:p>
    <w:p>
      <w:pPr>
        <w:ind w:left="340" w:hanging="335"/>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240.13e- 4(c))</w:t>
      </w:r>
    </w:p>
    <w:p>
      <w:pPr>
        <w:spacing w:after="0" w:line="200" w:lineRule="exact"/>
        <w:rPr>
          <w:sz w:val="24"/>
          <w:szCs w:val="24"/>
          <w:color w:val="auto"/>
        </w:rPr>
      </w:pPr>
    </w:p>
    <w:p>
      <w:pPr>
        <w:spacing w:after="0" w:line="258"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9119"/>
          </w:cols>
          <w:pgMar w:left="1340" w:top="1295" w:right="1440" w:bottom="1440" w:gutter="0" w:footer="0" w:header="0"/>
        </w:sectPr>
      </w:pPr>
    </w:p>
    <w:p>
      <w:pPr>
        <w:spacing w:after="0" w:line="59" w:lineRule="exact"/>
        <w:rPr>
          <w:sz w:val="24"/>
          <w:szCs w:val="24"/>
          <w:color w:val="auto"/>
        </w:rPr>
      </w:pPr>
    </w:p>
    <w:p>
      <w:pPr>
        <w:ind w:left="1200"/>
        <w:spacing w:after="0"/>
        <w:rPr>
          <w:sz w:val="20"/>
          <w:szCs w:val="20"/>
          <w:color w:val="auto"/>
        </w:rPr>
      </w:pPr>
      <w:r>
        <w:rPr>
          <w:rFonts w:ascii="Arial" w:cs="Arial" w:eastAsia="Arial" w:hAnsi="Arial"/>
          <w:sz w:val="12"/>
          <w:szCs w:val="12"/>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74" w:lineRule="exact"/>
        <w:rPr>
          <w:sz w:val="24"/>
          <w:szCs w:val="24"/>
          <w:color w:val="auto"/>
        </w:rPr>
      </w:pPr>
    </w:p>
    <w:p>
      <w:pPr>
        <w:sectPr>
          <w:pgSz w:w="11900" w:h="16838" w:orient="portrait"/>
          <w:cols w:equalWidth="0" w:num="3">
            <w:col w:w="3420" w:space="720"/>
            <w:col w:w="1340" w:space="720"/>
            <w:col w:w="2919"/>
          </w:cols>
          <w:pgMar w:left="1340" w:top="1295" w:right="1440" w:bottom="1440" w:gutter="0" w:footer="0" w:header="0"/>
          <w:type w:val="continuous"/>
        </w:sectPr>
      </w:pPr>
    </w:p>
    <w:p>
      <w:pPr>
        <w:ind w:left="740"/>
        <w:spacing w:after="0"/>
        <w:rPr>
          <w:sz w:val="20"/>
          <w:szCs w:val="20"/>
          <w:color w:val="auto"/>
        </w:rPr>
      </w:pPr>
      <w:r>
        <w:rPr>
          <w:rFonts w:ascii="Arial" w:cs="Arial" w:eastAsia="Arial" w:hAnsi="Arial"/>
          <w:sz w:val="13"/>
          <w:szCs w:val="13"/>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Arial" w:cs="Arial" w:eastAsia="Arial" w:hAnsi="Arial"/>
          <w:sz w:val="13"/>
          <w:szCs w:val="13"/>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200" w:lineRule="exact"/>
        <w:rPr>
          <w:sz w:val="24"/>
          <w:szCs w:val="24"/>
          <w:color w:val="auto"/>
        </w:rPr>
      </w:pPr>
    </w:p>
    <w:p>
      <w:pPr>
        <w:sectPr>
          <w:pgSz w:w="11900" w:h="16838" w:orient="portrait"/>
          <w:cols w:equalWidth="0" w:num="3">
            <w:col w:w="3660" w:space="720"/>
            <w:col w:w="1400" w:space="720"/>
            <w:col w:w="2619"/>
          </w:cols>
          <w:pgMar w:left="1340" w:top="1295" w:right="1440" w:bottom="1440" w:gutter="0" w:footer="0" w:header="0"/>
          <w:type w:val="continuous"/>
        </w:sectPr>
      </w:pPr>
    </w:p>
    <w:p>
      <w:pPr>
        <w:spacing w:after="0" w:line="253" w:lineRule="exact"/>
        <w:rPr>
          <w:sz w:val="24"/>
          <w:szCs w:val="24"/>
          <w:color w:val="auto"/>
        </w:rPr>
      </w:pPr>
    </w:p>
    <w:p>
      <w:pPr>
        <w:ind w:right="79"/>
        <w:spacing w:after="0" w:line="27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60"/>
        <w:spacing w:after="0" w:line="322"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28"/>
          <w:szCs w:val="28"/>
          <w:color w:val="auto"/>
          <w:vertAlign w:val="subscript"/>
        </w:rPr>
        <w:t>☐</w:t>
      </w:r>
    </w:p>
    <w:p>
      <w:pPr>
        <w:spacing w:after="0" w:line="42" w:lineRule="exact"/>
        <w:rPr>
          <w:sz w:val="24"/>
          <w:szCs w:val="24"/>
          <w:color w:val="auto"/>
        </w:rPr>
      </w:pPr>
    </w:p>
    <w:p>
      <w:pPr>
        <w:ind w:right="139"/>
        <w:spacing w:after="0" w:line="24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767715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617855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643255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19"/>
          </w:cols>
          <w:pgMar w:left="1340" w:top="1295" w:right="1440" w:bottom="1440" w:gutter="0" w:footer="0" w:header="0"/>
          <w:type w:val="continuous"/>
        </w:sectPr>
      </w:pPr>
    </w:p>
    <w:bookmarkStart w:id="1" w:name="page2"/>
    <w:bookmarkEnd w:id="1"/>
    <w:p>
      <w:pPr>
        <w:spacing w:after="0" w:line="209" w:lineRule="auto"/>
        <w:framePr w:w="400" w:h="160" w:wrap="auto" w:vAnchor="page" w:hAnchor="page" w:x="440" w:y="4205"/>
        <w:rPr>
          <w:rFonts w:ascii="Arial" w:cs="Arial" w:eastAsia="Arial" w:hAnsi="Arial"/>
          <w:sz w:val="16"/>
          <w:szCs w:val="16"/>
          <w:color w:val="auto"/>
        </w:rPr>
      </w:pPr>
      <w:r>
        <w:rPr>
          <w:rFonts w:ascii="Arial" w:cs="Arial" w:eastAsia="Arial" w:hAnsi="Arial"/>
          <w:sz w:val="16"/>
          <w:szCs w:val="16"/>
          <w:color w:val="auto"/>
        </w:rPr>
        <w:t>99.1</w:t>
      </w:r>
    </w:p>
    <w:p>
      <w:pPr>
        <w:spacing w:after="0" w:line="205" w:lineRule="auto"/>
        <w:framePr w:w="540" w:h="128" w:wrap="auto" w:vAnchor="page" w:hAnchor="page" w:x="380" w:y="3859"/>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Exhibit</w:t>
      </w:r>
    </w:p>
    <w:p>
      <w:pPr>
        <w:spacing w:after="0" w:line="205" w:lineRule="auto"/>
        <w:framePr w:w="300" w:h="128" w:wrap="auto" w:vAnchor="page" w:hAnchor="page" w:x="500" w:y="3994"/>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No.</w:t>
      </w:r>
    </w:p>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67" w:lineRule="exact"/>
        <w:rPr>
          <w:rFonts w:ascii="Arial" w:cs="Arial" w:eastAsia="Arial" w:hAnsi="Arial"/>
          <w:sz w:val="13"/>
          <w:szCs w:val="13"/>
          <w:b w:val="1"/>
          <w:bCs w:val="1"/>
          <w:u w:val="single" w:color="auto"/>
          <w:color w:val="auto"/>
        </w:rPr>
      </w:pPr>
    </w:p>
    <w:p>
      <w:pPr>
        <w:ind w:right="600" w:firstLine="648"/>
        <w:spacing w:after="0" w:line="342" w:lineRule="auto"/>
        <w:rPr>
          <w:sz w:val="20"/>
          <w:szCs w:val="20"/>
          <w:color w:val="auto"/>
        </w:rPr>
      </w:pPr>
      <w:r>
        <w:rPr>
          <w:rFonts w:ascii="Arial" w:cs="Arial" w:eastAsia="Arial" w:hAnsi="Arial"/>
          <w:sz w:val="16"/>
          <w:szCs w:val="16"/>
          <w:color w:val="auto"/>
        </w:rPr>
        <w:t>On November 6, 2023, NN, Inc. (the “Company”) issued a press release announcing the Company’s financial results for the quarter ended September 30, 2023. The full text of the press release is furnished as Exhibit 99.1 to this Current Report on Form 8-K (the "Current Report").</w:t>
      </w:r>
    </w:p>
    <w:p>
      <w:pPr>
        <w:spacing w:after="0" w:line="16" w:lineRule="exact"/>
        <w:rPr>
          <w:rFonts w:ascii="Arial" w:cs="Arial" w:eastAsia="Arial" w:hAnsi="Arial"/>
          <w:sz w:val="13"/>
          <w:szCs w:val="13"/>
          <w:b w:val="1"/>
          <w:bCs w:val="1"/>
          <w:u w:val="single" w:color="auto"/>
          <w:color w:val="auto"/>
        </w:rPr>
      </w:pPr>
    </w:p>
    <w:p>
      <w:pPr>
        <w:ind w:firstLine="648"/>
        <w:spacing w:after="0" w:line="257" w:lineRule="auto"/>
        <w:rPr>
          <w:sz w:val="20"/>
          <w:szCs w:val="20"/>
          <w:color w:val="auto"/>
        </w:rPr>
      </w:pPr>
      <w:r>
        <w:rPr>
          <w:rFonts w:ascii="Arial" w:cs="Arial" w:eastAsia="Arial" w:hAnsi="Arial"/>
          <w:sz w:val="18"/>
          <w:szCs w:val="18"/>
          <w:color w:val="auto"/>
        </w:rPr>
        <w:t>Pursuant to the rules and regulations of the U.S. Securities and Exchange Commission (the “SEC”), the information furnished pursuant to Item 2.02 of this Current Report (including Exhibit 99.1) is deemed to have been furnished and shall not be deemed to be “filed” for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373" w:lineRule="exact"/>
        <w:rPr>
          <w:rFonts w:ascii="Arial" w:cs="Arial" w:eastAsia="Arial" w:hAnsi="Arial"/>
          <w:sz w:val="13"/>
          <w:szCs w:val="13"/>
          <w:b w:val="1"/>
          <w:bCs w:val="1"/>
          <w:u w:val="single" w:color="auto"/>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67" w:lineRule="exact"/>
        <w:rPr>
          <w:rFonts w:ascii="Arial" w:cs="Arial" w:eastAsia="Arial" w:hAnsi="Arial"/>
          <w:sz w:val="13"/>
          <w:szCs w:val="13"/>
          <w:b w:val="1"/>
          <w:bCs w:val="1"/>
          <w:u w:val="single" w:color="auto"/>
          <w:color w:val="auto"/>
        </w:rPr>
      </w:pPr>
    </w:p>
    <w:p>
      <w:pPr>
        <w:ind w:left="440" w:hanging="387"/>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311" w:lineRule="exact"/>
        <w:rPr>
          <w:rFonts w:ascii="Arial" w:cs="Arial" w:eastAsia="Arial" w:hAnsi="Arial"/>
          <w:sz w:val="13"/>
          <w:szCs w:val="13"/>
          <w:b w:val="1"/>
          <w:bCs w:val="1"/>
          <w:u w:val="single" w:color="auto"/>
          <w:color w:val="auto"/>
        </w:rPr>
      </w:pPr>
    </w:p>
    <w:p>
      <w:pPr>
        <w:ind w:left="880"/>
        <w:spacing w:after="0"/>
        <w:rPr>
          <w:sz w:val="20"/>
          <w:szCs w:val="20"/>
          <w:color w:val="auto"/>
        </w:rPr>
      </w:pPr>
      <w:r>
        <w:rPr>
          <w:rFonts w:ascii="Arial" w:cs="Arial" w:eastAsia="Arial" w:hAnsi="Arial"/>
          <w:sz w:val="14"/>
          <w:szCs w:val="14"/>
          <w:b w:val="1"/>
          <w:bCs w:val="1"/>
          <w:u w:val="single" w:color="auto"/>
          <w:color w:val="auto"/>
        </w:rPr>
        <w:t>Description of Exhibit</w:t>
      </w:r>
    </w:p>
    <w:p>
      <w:pPr>
        <w:spacing w:after="0" w:line="77" w:lineRule="exact"/>
        <w:rPr>
          <w:rFonts w:ascii="Arial" w:cs="Arial" w:eastAsia="Arial" w:hAnsi="Arial"/>
          <w:sz w:val="13"/>
          <w:szCs w:val="13"/>
          <w:b w:val="1"/>
          <w:bCs w:val="1"/>
          <w:u w:val="single" w:color="auto"/>
          <w:color w:val="auto"/>
        </w:rPr>
      </w:pPr>
    </w:p>
    <w:p>
      <w:pPr>
        <w:ind w:left="880"/>
        <w:spacing w:after="0"/>
        <w:rPr>
          <w:sz w:val="20"/>
          <w:szCs w:val="20"/>
          <w:color w:val="auto"/>
        </w:rPr>
      </w:pPr>
      <w:r>
        <w:rPr>
          <w:rFonts w:ascii="Arial" w:cs="Arial" w:eastAsia="Arial" w:hAnsi="Arial"/>
          <w:sz w:val="18"/>
          <w:szCs w:val="18"/>
          <w:u w:val="single" w:color="auto"/>
          <w:color w:val="0000FF"/>
        </w:rPr>
        <w:t>Press Release issued by NN, Inc., dated November 6, 2023</w:t>
      </w:r>
    </w:p>
    <w:p>
      <w:pPr>
        <w:spacing w:after="0" w:line="23" w:lineRule="exact"/>
        <w:rPr>
          <w:rFonts w:ascii="Arial" w:cs="Arial" w:eastAsia="Arial" w:hAnsi="Arial"/>
          <w:sz w:val="13"/>
          <w:szCs w:val="13"/>
          <w:b w:val="1"/>
          <w:bCs w:val="1"/>
          <w:u w:val="single" w:color="auto"/>
          <w:color w:val="auto"/>
        </w:rPr>
      </w:pPr>
    </w:p>
    <w:p>
      <w:pPr>
        <w:ind w:left="200"/>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right="440" w:firstLine="445"/>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November 6, 2023</w:t>
      </w:r>
    </w:p>
    <w:p>
      <w:pPr>
        <w:spacing w:after="0" w:line="200" w:lineRule="exact"/>
        <w:rPr>
          <w:sz w:val="20"/>
          <w:szCs w:val="20"/>
          <w:color w:val="auto"/>
        </w:rPr>
      </w:pPr>
    </w:p>
    <w:p>
      <w:pPr>
        <w:spacing w:after="0" w:line="264" w:lineRule="exact"/>
        <w:rPr>
          <w:sz w:val="20"/>
          <w:szCs w:val="20"/>
          <w:color w:val="auto"/>
        </w:rPr>
      </w:pPr>
    </w:p>
    <w:tbl>
      <w:tblPr>
        <w:tblLayout w:type="fixed"/>
        <w:tblInd w:w="440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3920" w:type="dxa"/>
            <w:vAlign w:val="bottom"/>
          </w:tcPr>
          <w:p>
            <w:pPr>
              <w:spacing w:after="0"/>
              <w:rPr>
                <w:sz w:val="20"/>
                <w:szCs w:val="20"/>
                <w:color w:val="auto"/>
              </w:rPr>
            </w:pPr>
          </w:p>
        </w:tc>
      </w:tr>
      <w:tr>
        <w:trPr>
          <w:trHeight w:val="527"/>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36"/>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bl>
    <w:p>
      <w:pPr>
        <w:sectPr>
          <w:pgSz w:w="11900" w:h="16838" w:orient="portrait"/>
          <w:cols w:equalWidth="0" w:num="1">
            <w:col w:w="9220"/>
          </w:cols>
          <w:pgMar w:left="1340" w:top="891" w:right="1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671195</wp:posOffset>
            </wp:positionV>
            <wp:extent cx="1285875" cy="1259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5875" cy="125984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988060</wp:posOffset>
            </wp:positionV>
            <wp:extent cx="192849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84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Charlote, NC 28277</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NN, INC. REPORTS FINANCIAL RESULTS FOR THIRD QUARTER 2023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Executon against the transformaton plan drives margin expansion, adjusted EBITDA growth, and strong free cash fow</w:t>
      </w:r>
    </w:p>
    <w:p>
      <w:pPr>
        <w:spacing w:after="0" w:line="270" w:lineRule="exact"/>
        <w:rPr>
          <w:sz w:val="20"/>
          <w:szCs w:val="20"/>
          <w:color w:val="auto"/>
        </w:rPr>
      </w:pPr>
    </w:p>
    <w:p>
      <w:pPr>
        <w:jc w:val="center"/>
        <w:spacing w:after="0" w:line="274" w:lineRule="auto"/>
        <w:rPr>
          <w:sz w:val="20"/>
          <w:szCs w:val="20"/>
          <w:color w:val="auto"/>
        </w:rPr>
      </w:pPr>
      <w:r>
        <w:rPr>
          <w:rFonts w:ascii="Arial" w:cs="Arial" w:eastAsia="Arial" w:hAnsi="Arial"/>
          <w:sz w:val="20"/>
          <w:szCs w:val="20"/>
          <w:i w:val="1"/>
          <w:iCs w:val="1"/>
          <w:color w:val="auto"/>
        </w:rPr>
        <w:t>Company launches longer-term value improvement initatves to refocus growth programs, enhance sales teams, reenter the medical market, and implement Total Cost Productvity program globally</w:t>
      </w:r>
    </w:p>
    <w:p>
      <w:pPr>
        <w:spacing w:after="0" w:line="204" w:lineRule="exact"/>
        <w:rPr>
          <w:sz w:val="20"/>
          <w:szCs w:val="20"/>
          <w:color w:val="auto"/>
        </w:rPr>
      </w:pPr>
    </w:p>
    <w:p>
      <w:pPr>
        <w:ind w:right="100"/>
        <w:spacing w:after="0" w:line="302" w:lineRule="auto"/>
        <w:rPr>
          <w:sz w:val="20"/>
          <w:szCs w:val="20"/>
          <w:color w:val="auto"/>
        </w:rPr>
      </w:pPr>
      <w:r>
        <w:rPr>
          <w:rFonts w:ascii="Arial" w:cs="Arial" w:eastAsia="Arial" w:hAnsi="Arial"/>
          <w:sz w:val="19"/>
          <w:szCs w:val="19"/>
          <w:b w:val="1"/>
          <w:bCs w:val="1"/>
          <w:color w:val="auto"/>
        </w:rPr>
        <w:t xml:space="preserve">CHARLOTTE, N.C., November 6, 2023 </w:t>
      </w:r>
      <w:r>
        <w:rPr>
          <w:rFonts w:ascii="Arial" w:cs="Arial" w:eastAsia="Arial" w:hAnsi="Arial"/>
          <w:sz w:val="19"/>
          <w:szCs w:val="19"/>
          <w:color w:val="auto"/>
        </w:rPr>
        <w:t>– NN, Inc. (NASDAQ: NNBR), a global diversifed industrial company that manufactures high-precision</w:t>
      </w:r>
      <w:r>
        <w:rPr>
          <w:rFonts w:ascii="Arial" w:cs="Arial" w:eastAsia="Arial" w:hAnsi="Arial"/>
          <w:sz w:val="19"/>
          <w:szCs w:val="19"/>
          <w:b w:val="1"/>
          <w:bCs w:val="1"/>
          <w:color w:val="auto"/>
        </w:rPr>
        <w:t xml:space="preserve"> </w:t>
      </w:r>
      <w:r>
        <w:rPr>
          <w:rFonts w:ascii="Arial" w:cs="Arial" w:eastAsia="Arial" w:hAnsi="Arial"/>
          <w:sz w:val="19"/>
          <w:szCs w:val="19"/>
          <w:color w:val="auto"/>
        </w:rPr>
        <w:t>components and assemblies, today reported its fnancial results for the third quarter ended September 30, 2023.</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and Strategic Highlights</w:t>
      </w:r>
    </w:p>
    <w:p>
      <w:pPr>
        <w:spacing w:after="0" w:line="5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Net sales of $124.4 million, down 2.2% versus prior year period;</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Operatng loss of $2.7 million and adjusted EBITDA of $14.5 million;</w:t>
      </w:r>
    </w:p>
    <w:p>
      <w:pPr>
        <w:spacing w:after="0" w:line="33" w:lineRule="exact"/>
        <w:rPr>
          <w:rFonts w:ascii="Arial" w:cs="Arial" w:eastAsia="Arial" w:hAnsi="Arial"/>
          <w:sz w:val="22"/>
          <w:szCs w:val="22"/>
          <w:color w:val="auto"/>
        </w:rPr>
      </w:pPr>
    </w:p>
    <w:p>
      <w:pPr>
        <w:ind w:left="660" w:right="260" w:hanging="328"/>
        <w:spacing w:after="0" w:line="24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Free cash fow of $11.3 million, up signifcantly versus prior period with positve free cash fow generaton of $17 million over the trailing year;</w:t>
      </w:r>
    </w:p>
    <w:p>
      <w:pPr>
        <w:ind w:left="660" w:right="1100" w:hanging="328"/>
        <w:spacing w:after="0" w:line="268" w:lineRule="auto"/>
        <w:tabs>
          <w:tab w:leader="none" w:pos="651" w:val="left"/>
        </w:tabs>
        <w:numPr>
          <w:ilvl w:val="0"/>
          <w:numId w:val="3"/>
        </w:numPr>
        <w:rPr>
          <w:rFonts w:ascii="Arial" w:cs="Arial" w:eastAsia="Arial" w:hAnsi="Arial"/>
          <w:sz w:val="20"/>
          <w:szCs w:val="20"/>
          <w:color w:val="auto"/>
        </w:rPr>
      </w:pPr>
      <w:r>
        <w:rPr>
          <w:rFonts w:ascii="Arial" w:cs="Arial" w:eastAsia="Arial" w:hAnsi="Arial"/>
          <w:sz w:val="20"/>
          <w:szCs w:val="20"/>
          <w:color w:val="auto"/>
        </w:rPr>
        <w:t>Reduced leverage rato to 3.37x, down sequentally from 3.87x, supported by improved adjusted EBITDA and cash fow performance;</w:t>
      </w:r>
    </w:p>
    <w:p>
      <w:pPr>
        <w:spacing w:after="0" w:line="10"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Key program wins including atractve awards in EV electric power steering markets;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Tightened full-year forecast ranges for net sales and adjusted EBITDA while raising free cash fow forecast;</w:t>
      </w:r>
    </w:p>
    <w:p>
      <w:pPr>
        <w:spacing w:after="0" w:line="3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1"/>
          <w:szCs w:val="21"/>
          <w:color w:val="auto"/>
        </w:rPr>
      </w:pPr>
      <w:r>
        <w:rPr>
          <w:rFonts w:ascii="Arial" w:cs="Arial" w:eastAsia="Arial" w:hAnsi="Arial"/>
          <w:sz w:val="19"/>
          <w:szCs w:val="19"/>
          <w:color w:val="auto"/>
        </w:rPr>
        <w:t>Successfully supplemented the executve management team with new Chief Operatng Ofcer and Chief Procurement Ofcer;</w:t>
      </w:r>
    </w:p>
    <w:p>
      <w:pPr>
        <w:spacing w:after="0" w:line="39" w:lineRule="exact"/>
        <w:rPr>
          <w:rFonts w:ascii="Arial" w:cs="Arial" w:eastAsia="Arial" w:hAnsi="Arial"/>
          <w:sz w:val="21"/>
          <w:szCs w:val="21"/>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Reentered medical market through creaton of NN Medical, the Company’s new medical device division; and</w:t>
      </w:r>
    </w:p>
    <w:p>
      <w:pPr>
        <w:spacing w:after="0" w:line="46" w:lineRule="exact"/>
        <w:rPr>
          <w:rFonts w:ascii="Arial" w:cs="Arial" w:eastAsia="Arial" w:hAnsi="Arial"/>
          <w:sz w:val="22"/>
          <w:szCs w:val="22"/>
          <w:color w:val="auto"/>
        </w:rPr>
      </w:pPr>
    </w:p>
    <w:p>
      <w:pPr>
        <w:ind w:left="660" w:right="200" w:hanging="328"/>
        <w:spacing w:after="0" w:line="250"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Launched multple long-term strategic initatves to drive enhanced cash fows and shareholder value, focused on growth and cost productvity improvement.</w:t>
      </w:r>
    </w:p>
    <w:p>
      <w:pPr>
        <w:spacing w:after="0" w:line="226"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Harold Bevis, President and Chief Executve Ofcer, commented, “In our frst quarter with the newly supplemented management team, we delivered improved operatng results and made signifcant progress against many of our strategic transformaton initatves. We’ve been intently focused on fxing and/or exitng unproftable business, diligently managing our working capital, and implementng rigorous cost productvity and margin expansion programs across the organizaton. The early stages of our strategy to increase organizatonal commitment around our transformaton strategy can be clearly seen in our strong free cash fow performance this period. I’m encouraged by the early results of these initatves and believe there is much more to accomplish.”</w:t>
      </w:r>
    </w:p>
    <w:p>
      <w:pPr>
        <w:sectPr>
          <w:pgSz w:w="11900" w:h="16838" w:orient="portrait"/>
          <w:cols w:equalWidth="0" w:num="1">
            <w:col w:w="11240"/>
          </w:cols>
          <w:pgMar w:left="320" w:top="126" w:right="339" w:bottom="1440" w:gutter="0" w:footer="0" w:header="0"/>
        </w:sectPr>
      </w:pPr>
    </w:p>
    <w:p>
      <w:pPr>
        <w:spacing w:after="0" w:line="366"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6" w:right="339" w:bottom="1440" w:gutter="0" w:footer="0" w:header="0"/>
          <w:type w:val="continuous"/>
        </w:sectPr>
      </w:pPr>
    </w:p>
    <w:bookmarkStart w:id="4" w:name="page5"/>
    <w:bookmarkEnd w:id="4"/>
    <w:p>
      <w:pPr>
        <w:ind w:right="80"/>
        <w:spacing w:after="0" w:line="260" w:lineRule="auto"/>
        <w:rPr>
          <w:sz w:val="20"/>
          <w:szCs w:val="20"/>
          <w:color w:val="auto"/>
        </w:rPr>
      </w:pPr>
      <w:r>
        <w:rPr>
          <w:rFonts w:ascii="Arial" w:cs="Arial" w:eastAsia="Arial" w:hAnsi="Arial"/>
          <w:sz w:val="20"/>
          <w:szCs w:val="20"/>
          <w:color w:val="auto"/>
        </w:rPr>
        <w:t>Bevis contnued, “We’ve also made considerable progress against many of our commercial goals by leveraging existng customers and markets where we have strong reputatons which is helping us win new business. Although we’re encouraged by our new business wins year-to-date and current partnerships, we’re partcularly excited about our new market opportunites. Subsequent to quarter-end, we created a division focused on the medical device market, and we are very confdent in our ability to leverage our existng footprint and technical market knowhow to immediately win new, proftable business. Along with medical, there are multple organic entry opportunites such as electric shielding that further strengthen our confdence in our ability to achieve our commercial goals. We look forward to utlizing our unique capabilites and in-depth understanding of market value creaton in precision machining and stampings and further applying them to newer markets and customers.”</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Michael Felcher, Senior Vice President and Chief Financial Ofcer, added, “We’re pleased with the margin expansion and growth showcased in the third quarter which supported expansion of both our adjusted EBITDA and operatng income. Our cost reducton eforts and aggressive strategic actons to eradicate unproftable parts of the business have already positvely impacted our results, and we contnue to expect roughly $10 million in adjusted EBITDA improvement once we’ve completed this work. We’re also encouraged by the free cash fow generaton of our business which helped to reduce our leverage profle to 3.37x. While our demand outlook for the year remains the same, the recent tracton we’ve gained on our initatves aimed at cash fow generaton, improving adjusted EBITDA results, and lowering our leverage are supportve to our improving forward expectatons.”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 Quarter GAAP Results</w:t>
      </w:r>
    </w:p>
    <w:p>
      <w:pPr>
        <w:spacing w:after="0" w:line="67"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Net sales were $124.4 million, a decrease of 2.2% from the third quarter of 2022, primarily due to reduced volume, partally ofset by higher customer pricing and favorable foreign exchange efects.</w:t>
      </w:r>
    </w:p>
    <w:p>
      <w:pPr>
        <w:spacing w:after="0" w:line="150" w:lineRule="exact"/>
        <w:rPr>
          <w:sz w:val="20"/>
          <w:szCs w:val="20"/>
          <w:color w:val="auto"/>
        </w:rPr>
      </w:pPr>
    </w:p>
    <w:p>
      <w:pPr>
        <w:ind w:right="220"/>
        <w:spacing w:after="0" w:line="271" w:lineRule="auto"/>
        <w:rPr>
          <w:sz w:val="20"/>
          <w:szCs w:val="20"/>
          <w:color w:val="auto"/>
        </w:rPr>
      </w:pPr>
      <w:r>
        <w:rPr>
          <w:rFonts w:ascii="Arial" w:cs="Arial" w:eastAsia="Arial" w:hAnsi="Arial"/>
          <w:sz w:val="20"/>
          <w:szCs w:val="20"/>
          <w:color w:val="auto"/>
        </w:rPr>
        <w:t>Loss from operatons was $2.7 million compared to a loss from operatons of $2.1 million in the third quarter of 2022. The increase in loss from operatons was primarily driven by lower volumes and increased wages and stock compensaton expense, partally ofset by cost savings initatves.</w:t>
      </w:r>
    </w:p>
    <w:p>
      <w:pPr>
        <w:spacing w:after="0" w:line="139" w:lineRule="exact"/>
        <w:rPr>
          <w:sz w:val="20"/>
          <w:szCs w:val="20"/>
          <w:color w:val="auto"/>
        </w:rPr>
      </w:pPr>
    </w:p>
    <w:p>
      <w:pPr>
        <w:jc w:val="both"/>
        <w:ind w:right="260"/>
        <w:spacing w:after="0" w:line="271" w:lineRule="auto"/>
        <w:rPr>
          <w:sz w:val="20"/>
          <w:szCs w:val="20"/>
          <w:color w:val="auto"/>
        </w:rPr>
      </w:pPr>
      <w:r>
        <w:rPr>
          <w:rFonts w:ascii="Arial" w:cs="Arial" w:eastAsia="Arial" w:hAnsi="Arial"/>
          <w:sz w:val="20"/>
          <w:szCs w:val="20"/>
          <w:color w:val="auto"/>
        </w:rPr>
        <w:t>Income from operatons for Power Solutons was $3.9 million compared to income from operatons of $2.6 million for the same period in 2022. Loss from operatons for Mobile Solutons was $1.3 million compared to loss from operatons of $0.5 million for the same period in 2022.</w:t>
      </w:r>
    </w:p>
    <w:p>
      <w:pPr>
        <w:spacing w:after="0" w:line="152" w:lineRule="exact"/>
        <w:rPr>
          <w:sz w:val="20"/>
          <w:szCs w:val="20"/>
          <w:color w:val="auto"/>
        </w:rPr>
      </w:pPr>
    </w:p>
    <w:p>
      <w:pPr>
        <w:ind w:right="580"/>
        <w:spacing w:after="0" w:line="274" w:lineRule="auto"/>
        <w:rPr>
          <w:sz w:val="20"/>
          <w:szCs w:val="20"/>
          <w:color w:val="auto"/>
        </w:rPr>
      </w:pPr>
      <w:r>
        <w:rPr>
          <w:rFonts w:ascii="Arial" w:cs="Arial" w:eastAsia="Arial" w:hAnsi="Arial"/>
          <w:sz w:val="20"/>
          <w:szCs w:val="20"/>
          <w:color w:val="auto"/>
        </w:rPr>
        <w:t>Net loss was $5.1 million compared to net loss of $2.2 million for the same period in 2022. The increase in net loss is primarily due to reduced sales volume and unfavorable warrant revaluatons.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 Quarter Adjusted Results</w:t>
      </w:r>
    </w:p>
    <w:p>
      <w:pPr>
        <w:spacing w:after="0" w:line="202" w:lineRule="exact"/>
        <w:rPr>
          <w:sz w:val="20"/>
          <w:szCs w:val="20"/>
          <w:color w:val="auto"/>
        </w:rPr>
      </w:pPr>
    </w:p>
    <w:p>
      <w:pPr>
        <w:ind w:right="200"/>
        <w:spacing w:after="0" w:line="265" w:lineRule="auto"/>
        <w:rPr>
          <w:sz w:val="20"/>
          <w:szCs w:val="20"/>
          <w:color w:val="auto"/>
        </w:rPr>
      </w:pPr>
      <w:r>
        <w:rPr>
          <w:rFonts w:ascii="Arial" w:cs="Arial" w:eastAsia="Arial" w:hAnsi="Arial"/>
          <w:sz w:val="20"/>
          <w:szCs w:val="20"/>
          <w:color w:val="auto"/>
        </w:rPr>
        <w:t>Adjusted income from operatons for the third quarter of 2023 was $3.7 million compared to adjusted income from operatons of $2.5 million for the same period in 2022. Adjusted EBITDA was $14.5 million, or 11.6% of sales, compared to $11.8 million, or 9.3% of sales, for the same period in 2022. Adjusted net income was $0.1 million, or $0.01 per diluted share, compared to adjusted net income of $1.5 million, or $0.03 per diluted share, for the same period in 2022.</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Free cash fow was a generaton of cash of $11.3 million compared to a use of cash of $4.4 million for the same period in 2022.</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Power Solutons</w:t>
      </w:r>
    </w:p>
    <w:p>
      <w:pPr>
        <w:spacing w:after="0" w:line="202"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Net sales for the third quarter of 2023 were $45.5 million compared to $51.1 million in the third quarter of 2022, a decrease of 11.0% or $5.6 million. The decrease in sales was primarily due to lower volume, partally ofset by higher pricing and favorable foreign exchange efects. Adjusted income from operatons was $7.1 million compared to adjusted income from operatons of $5.8 million in the third quarter of 2022. The increase in adjusted income from operatons was primarily due to facility closure savings, partally ofset by lower volumes.</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7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Mobile Solutons</w:t>
      </w:r>
    </w:p>
    <w:p>
      <w:pPr>
        <w:spacing w:after="0" w:line="81" w:lineRule="exact"/>
        <w:rPr>
          <w:sz w:val="20"/>
          <w:szCs w:val="20"/>
          <w:color w:val="auto"/>
        </w:rPr>
      </w:pPr>
    </w:p>
    <w:p>
      <w:pPr>
        <w:ind w:right="280"/>
        <w:spacing w:after="0" w:line="262" w:lineRule="auto"/>
        <w:rPr>
          <w:sz w:val="20"/>
          <w:szCs w:val="20"/>
          <w:color w:val="auto"/>
        </w:rPr>
      </w:pPr>
      <w:r>
        <w:rPr>
          <w:rFonts w:ascii="Arial" w:cs="Arial" w:eastAsia="Arial" w:hAnsi="Arial"/>
          <w:sz w:val="20"/>
          <w:szCs w:val="20"/>
          <w:color w:val="auto"/>
        </w:rPr>
        <w:t>Net sales for the third quarter of 2023 were $79.0 million compared to $76.1 million in the third quarter of 2022, an increase of 3.7% or $2.8 million. The increase in sales was primarily due to higher customer pricing, partally ofset by lower volume and unfavorable foreign exchange efects. Adjusted income from operatons was $1.6 million compared to adjusted income from operatons of $0.7 million in the third quarter of 2022. The increase in adjusted income from operatons was primarily driven by a $1.1 million beneft from a customer setlement as well as reductons to indirect labor.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2023 Outlook</w:t>
      </w:r>
    </w:p>
    <w:p>
      <w:pPr>
        <w:spacing w:after="0" w:line="67" w:lineRule="exact"/>
        <w:rPr>
          <w:sz w:val="20"/>
          <w:szCs w:val="20"/>
          <w:color w:val="auto"/>
        </w:rPr>
      </w:pPr>
    </w:p>
    <w:p>
      <w:pPr>
        <w:ind w:right="420"/>
        <w:spacing w:after="0" w:line="271" w:lineRule="auto"/>
        <w:rPr>
          <w:sz w:val="20"/>
          <w:szCs w:val="20"/>
          <w:color w:val="auto"/>
        </w:rPr>
      </w:pPr>
      <w:r>
        <w:rPr>
          <w:rFonts w:ascii="Arial" w:cs="Arial" w:eastAsia="Arial" w:hAnsi="Arial"/>
          <w:sz w:val="20"/>
          <w:szCs w:val="20"/>
          <w:color w:val="auto"/>
        </w:rPr>
        <w:t>Based on fnancial results for thus far year to date, as well as expectatons for the remainder of the year, the Company has narrowed its ranged outlook for revenues and Adjusted EBITDA and raised the range of free cash fow expectatons for the full year. Full-year 2023 fnancial outlook is as follows:</w:t>
      </w:r>
    </w:p>
    <w:p>
      <w:pPr>
        <w:spacing w:after="0" w:line="13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in the range of $487 million to $497 million;</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 in the range of $40 million to $44 million; and</w:t>
      </w:r>
    </w:p>
    <w:p>
      <w:pPr>
        <w:spacing w:after="0" w:line="40"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Free cash fow in the range of $10 million to $14 million.</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Michael Felcher, Senior Vice President and Chief Financial Ofcer, commented, “We are tghtening our sales and proftability guidance for the full-year 2023 to align with our year-to-date results and our expectatons for consistent demand levels year-over-year. Despite broader macro headwinds, we are making great progress in improving our margins and cash generatng capabilites and thus are raising our fscal year outlook for free cash fow. Our transformaton strategy is working, and our enhanced management team is well positoned to accelerate our plan and execute well within our targets for sales, adjusted EBITDA, and free cash fow.”</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925"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81"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discuss its results during its quarterly investor conference call on November 7, 2023, at 9:00 a.m. ET. The call and supplemental</w:t>
      </w:r>
    </w:p>
    <w:p>
      <w:pPr>
        <w:spacing w:after="0" w:line="43" w:lineRule="exact"/>
        <w:rPr>
          <w:rFonts w:ascii="Arial" w:cs="Arial" w:eastAsia="Arial" w:hAnsi="Arial"/>
          <w:sz w:val="18"/>
          <w:szCs w:val="18"/>
          <w:color w:val="auto"/>
        </w:rPr>
      </w:pPr>
    </w:p>
    <w:p>
      <w:pPr>
        <w:ind w:right="40"/>
        <w:spacing w:after="0" w:line="267" w:lineRule="auto"/>
        <w:rPr>
          <w:rFonts w:ascii="Arial" w:cs="Arial" w:eastAsia="Arial" w:hAnsi="Arial"/>
          <w:sz w:val="18"/>
          <w:szCs w:val="18"/>
          <w:color w:val="auto"/>
        </w:rPr>
      </w:pPr>
      <w:r>
        <w:rPr>
          <w:rFonts w:ascii="Arial" w:cs="Arial" w:eastAsia="Arial" w:hAnsi="Arial"/>
          <w:sz w:val="20"/>
          <w:szCs w:val="20"/>
          <w:color w:val="auto"/>
        </w:rPr>
        <w:t>presentaton may be accessed via NN's website, www.nninc.com. The conference call can also be accessed by dialing 1-877-255-4315 or 1-412-317-6579. For those who are unavailable to listen to the live broadcast, a replay will be available shortly afer the call untl November 7, 2024.</w:t>
      </w:r>
    </w:p>
    <w:p>
      <w:pPr>
        <w:spacing w:after="0" w:line="143" w:lineRule="exact"/>
        <w:rPr>
          <w:sz w:val="20"/>
          <w:szCs w:val="20"/>
          <w:color w:val="auto"/>
        </w:rPr>
      </w:pPr>
    </w:p>
    <w:p>
      <w:pPr>
        <w:ind w:right="280" w:firstLine="8"/>
        <w:spacing w:after="0" w:line="265" w:lineRule="auto"/>
        <w:tabs>
          <w:tab w:leader="none" w:pos="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discloses in this press release the non-GAAP fnancial measures of adjusted income (loss) from operatons, adjusted EBITDA, adjusted net income (loss), adjusted net income (loss) per diluted common share, and free cash fow. Each of these non-GAAP fnancial measures provides supplementary informaton about the impacts of restructuring and integraton expense, acquisiton and transiton expenses, foreign exchange impacts on inter-company loans, amortzaton of intangibles and deferred fnancing costs, and other non-operatng impacts on our business.</w:t>
      </w:r>
    </w:p>
    <w:p>
      <w:pPr>
        <w:spacing w:after="0" w:line="148" w:lineRule="exact"/>
        <w:rPr>
          <w:sz w:val="20"/>
          <w:szCs w:val="20"/>
          <w:color w:val="auto"/>
        </w:rPr>
      </w:pPr>
    </w:p>
    <w:p>
      <w:pPr>
        <w:jc w:val="both"/>
        <w:ind w:right="200"/>
        <w:spacing w:after="0" w:line="265" w:lineRule="auto"/>
        <w:rPr>
          <w:sz w:val="20"/>
          <w:szCs w:val="20"/>
          <w:color w:val="auto"/>
        </w:rPr>
      </w:pPr>
      <w:r>
        <w:rPr>
          <w:rFonts w:ascii="Arial" w:cs="Arial" w:eastAsia="Arial" w:hAnsi="Arial"/>
          <w:sz w:val="20"/>
          <w:szCs w:val="20"/>
          <w:color w:val="auto"/>
        </w:rPr>
        <w:t>The fnancial tables found later in this press release include a reconciliaton of adjusted income (loss) from operatons, adjusted operatng margin, adjusted EBITDA, adjusted EBITDA margin, adjusted net income (loss), adjusted net income (loss) per diluted share, free cash fow to the U.S. GAAP fnancial measures of income (loss) from operatons, net income (loss), net income (loss) per diluted common share, and cash provided (used) by operatng actvites.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NN, Inc</w:t>
      </w:r>
      <w:r>
        <w:rPr>
          <w:rFonts w:ascii="Arial" w:cs="Arial" w:eastAsia="Arial" w:hAnsi="Arial"/>
          <w:sz w:val="20"/>
          <w:szCs w:val="20"/>
          <w:b w:val="1"/>
          <w:bCs w:val="1"/>
          <w:color w:val="auto"/>
        </w:rPr>
        <w:t>.</w:t>
      </w:r>
    </w:p>
    <w:p>
      <w:pPr>
        <w:spacing w:after="0" w:line="67" w:lineRule="exact"/>
        <w:rPr>
          <w:sz w:val="20"/>
          <w:szCs w:val="20"/>
          <w:color w:val="auto"/>
        </w:rPr>
      </w:pPr>
    </w:p>
    <w:p>
      <w:pPr>
        <w:ind w:right="440"/>
        <w:spacing w:after="0" w:line="265" w:lineRule="auto"/>
        <w:rPr>
          <w:sz w:val="20"/>
          <w:szCs w:val="20"/>
          <w:color w:val="auto"/>
        </w:rPr>
      </w:pPr>
      <w:r>
        <w:rPr>
          <w:rFonts w:ascii="Arial" w:cs="Arial" w:eastAsia="Arial" w:hAnsi="Arial"/>
          <w:sz w:val="20"/>
          <w:szCs w:val="20"/>
          <w:color w:val="auto"/>
        </w:rPr>
        <w:t>NN, Inc., a global diversifed industrial company, combines advanced engineering and producton capabilites with in-depth materials science expertse to design and manufacture high-precision components and assemblies for a variety of markets on a global basis. Headquartered in Charlote, North Carolina, NN has facilites in North America, Europe, South America, and Asia. For more informaton about the company and its products, please visit www.nninc.com.</w:t>
      </w:r>
    </w:p>
    <w:p>
      <w:pPr>
        <w:spacing w:after="0" w:line="169"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i w:val="1"/>
          <w:iCs w:val="1"/>
          <w:color w:val="auto"/>
        </w:rPr>
        <w:t>Except for specifc historical informaton, many of the maters discussed in this press release may express or imply projectons of revenues or expenditures, statements of plans and objectves or future operatons or statements of future economic performance. These statements may discuss goals, intentons and expectatons as to future trends, plans, events, results of operatons or fnancial conditon, or state other informaton relatng to NN, Inc. based on current beliefs of management as well as assumptons made by, and informaton currently available to, management. Forward-looking statements generally will be accompanied by words such as “antcipate,” “believe,” “could,” “estmate,” “expect,” “forecast,” “guidance,” “intend,” “may,”, “will” “possible,” “potental,” “predict,” “project” or other similar words, phrases or expressions. Forward-looking statements involve a number of risks and uncertaintes that are outside of management’s control and that may cause actual results to be materially diferent from such forward-looking statements. Such factors include, among others, general economic conditons and economic conditons in the industrial sector; the impacts of pandemics, epidemics, disease outbreaks and other public health crises, including the COVID-19 pandemic, on our fnancial conditon, business operatons and liquidity; compettve infuences; risks that current customers will commence or increase captve producton; risks of capacity underutlizaton; quality issues; material changes in the costs and availability of raw materials; economic, social, politcal and geopolitcal instability, currency fuctuaton, and other risks of doing business outside of the United States; infatonary pressures and changes in the cost or availability of materials, supply chain shortages and disruptons, and the availability of labor; our dependence on certain major customers, some of whom are not partes to long-term agreements (and/or are terminable on short notce); the impact of acquisitons and divesttures; our ability to hire or retain key personnel; the level of our indebtedness; the restrictons contained in our debt agreements; our ability to obtain fnancing at favorable rates, if at all, and to refnance existng debt as it matures; unantcipated difcultes integratng acquisitons; new laws and governmental regulatons; the impact of climate change on our operatons; and cyber liability or potental liability for breaches of our or our service providers’ informaton technology systems or business operatons disruptons. The foregoing factors should not be construed as exhaustve and should be read in conjuncton with the sectons enttled “Risk Factors” and “Management’s Discussion and Analysis of Financial Conditon and Results of Operatons” included in the Company’s flings made with the Securites and Exchange Commission. Any forward-looking statement speaks only as of the date of this press release, and the Company undertakes no obligaton to publicly update or review any forward-looking statement, whether as a result of new informaton, future developments or otherwise, except as required by law. New risks and uncertaintes may emerge from tme to tme, and it is not possible for the Company to predict their occurrence or how they will afect the Company. The Company qualifes all forward-looking statements by these cautonary statements.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Joe Caminit or Alec Steinberg, Investors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Tim Peters, Media</w:t>
      </w:r>
    </w:p>
    <w:p>
      <w:pPr>
        <w:spacing w:after="0"/>
        <w:rPr>
          <w:sz w:val="20"/>
          <w:szCs w:val="20"/>
          <w:color w:val="auto"/>
        </w:rPr>
      </w:pPr>
      <w:r>
        <w:rPr>
          <w:rFonts w:ascii="Arial" w:cs="Arial" w:eastAsia="Arial" w:hAnsi="Arial"/>
          <w:sz w:val="20"/>
          <w:szCs w:val="20"/>
          <w:color w:val="auto"/>
        </w:rPr>
        <w:t>NNBR@alpha-ir.com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312-445-2870</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Financial Tables Follow</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92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6"/>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2022</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380,726</w:t>
            </w:r>
          </w:p>
        </w:tc>
      </w:tr>
      <w:tr>
        <w:trPr>
          <w:trHeight w:val="188"/>
        </w:trPr>
        <w:tc>
          <w:tcPr>
            <w:tcW w:w="5900" w:type="dxa"/>
            <w:vAlign w:val="bottom"/>
          </w:tcPr>
          <w:p>
            <w:pPr>
              <w:ind w:left="20"/>
              <w:spacing w:after="0" w:line="189" w:lineRule="exact"/>
              <w:rPr>
                <w:sz w:val="20"/>
                <w:szCs w:val="20"/>
                <w:color w:val="auto"/>
              </w:rPr>
            </w:pPr>
            <w:r>
              <w:rPr>
                <w:rFonts w:ascii="Arial" w:cs="Arial" w:eastAsia="Arial" w:hAnsi="Arial"/>
                <w:sz w:val="18"/>
                <w:szCs w:val="18"/>
                <w:color w:val="auto"/>
                <w:w w:val="98"/>
              </w:rPr>
              <w:t>Cost of sales (exclusive of depreciation and amortization shown separately</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0"/>
        </w:trPr>
        <w:tc>
          <w:tcPr>
            <w:tcW w:w="5900" w:type="dxa"/>
            <w:vAlign w:val="bottom"/>
          </w:tcPr>
          <w:p>
            <w:pPr>
              <w:ind w:left="360"/>
              <w:spacing w:after="0"/>
              <w:rPr>
                <w:sz w:val="20"/>
                <w:szCs w:val="20"/>
                <w:color w:val="auto"/>
              </w:rPr>
            </w:pPr>
            <w:r>
              <w:rPr>
                <w:rFonts w:ascii="Arial" w:cs="Arial" w:eastAsia="Arial" w:hAnsi="Arial"/>
                <w:sz w:val="18"/>
                <w:szCs w:val="18"/>
                <w:color w:val="auto"/>
              </w:rPr>
              <w:t>below)</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104,543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108,033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320,648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316,500</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38,453</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11,577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33,962</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(10,051)</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w:t>
            </w:r>
          </w:p>
        </w:tc>
      </w:tr>
      <w:tr>
        <w:trPr>
          <w:trHeight w:val="168"/>
        </w:trPr>
        <w:tc>
          <w:tcPr>
            <w:tcW w:w="59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4"/>
              </w:rPr>
              <w:t>Loss before benefit (provision) for income taxes and share of net income from</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3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joint venture</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(16,505)</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(1,514)</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net income from joint venture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(14,084)</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5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loss: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Foreign currency transaction loss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(13,543)</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900" w:type="dxa"/>
            <w:vAlign w:val="bottom"/>
          </w:tcPr>
          <w:p>
            <w:pPr>
              <w:ind w:left="460"/>
              <w:spacing w:after="0"/>
              <w:rPr>
                <w:sz w:val="20"/>
                <w:szCs w:val="20"/>
                <w:color w:val="auto"/>
              </w:rPr>
            </w:pPr>
            <w:r>
              <w:rPr>
                <w:rFonts w:ascii="Arial" w:cs="Arial" w:eastAsia="Arial" w:hAnsi="Arial"/>
                <w:sz w:val="18"/>
                <w:szCs w:val="18"/>
                <w:color w:val="auto"/>
              </w:rPr>
              <w:t>Change in fair value, net of tax</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2,464</w:t>
            </w:r>
          </w:p>
        </w:tc>
      </w:tr>
      <w:tr>
        <w:trPr>
          <w:trHeight w:val="229"/>
        </w:trPr>
        <w:tc>
          <w:tcPr>
            <w:tcW w:w="5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Reclassification adjustments included in net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(11,130)</w:t>
            </w:r>
          </w:p>
        </w:tc>
      </w:tr>
      <w:tr>
        <w:trPr>
          <w:trHeight w:val="221"/>
        </w:trPr>
        <w:tc>
          <w:tcPr>
            <w:tcW w:w="59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Comprehensive loss</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(8,578)</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(9,080)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(34,811)</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(25,214)</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Shares used to calculate basic and diluted net loss per share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47,539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44,711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46,410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44,670</w:t>
            </w:r>
          </w:p>
        </w:tc>
      </w:tr>
      <w:tr>
        <w:trPr>
          <w:trHeight w:val="562"/>
        </w:trPr>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w:t>
            </w:r>
          </w:p>
        </w:tc>
      </w:tr>
    </w:tbl>
    <w:p>
      <w:pPr>
        <w:sectPr>
          <w:pgSz w:w="11900" w:h="16838" w:orient="portrait"/>
          <w:cols w:equalWidth="0" w:num="1">
            <w:col w:w="11240"/>
          </w:cols>
          <w:pgMar w:left="320" w:top="945" w:right="339" w:bottom="1440" w:gutter="0" w:footer="0" w:header="0"/>
        </w:sectPr>
      </w:pPr>
    </w:p>
    <w:bookmarkStart w:id="8" w:name="page9"/>
    <w:bookmarkEnd w:id="8"/>
    <w:p>
      <w:pPr>
        <w:ind w:left="5300"/>
        <w:spacing w:after="0"/>
        <w:rPr>
          <w:sz w:val="20"/>
          <w:szCs w:val="20"/>
          <w:color w:val="auto"/>
        </w:rPr>
      </w:pPr>
      <w:r>
        <w:rPr>
          <w:rFonts w:ascii="Arial" w:cs="Arial" w:eastAsia="Arial" w:hAnsi="Arial"/>
          <w:sz w:val="18"/>
          <w:szCs w:val="18"/>
          <w:b w:val="1"/>
          <w:bCs w:val="1"/>
          <w:color w:val="auto"/>
        </w:rPr>
        <w:t>NN, Inc.</w:t>
      </w:r>
    </w:p>
    <w:p>
      <w:pPr>
        <w:spacing w:after="0" w:line="6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600" w:type="dxa"/>
            <w:vAlign w:val="bottom"/>
            <w:tcBorders>
              <w:bottom w:val="single" w:sz="8" w:color="BFE4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60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BFE4FF"/>
          </w:tcPr>
          <w:p>
            <w:pPr>
              <w:spacing w:after="0"/>
              <w:rPr>
                <w:sz w:val="18"/>
                <w:szCs w:val="18"/>
                <w:color w:val="auto"/>
              </w:rPr>
            </w:pPr>
          </w:p>
        </w:tc>
        <w:tc>
          <w:tcPr>
            <w:tcW w:w="112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110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BFE4FF"/>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21,790</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12,808</w:t>
            </w:r>
          </w:p>
        </w:tc>
        <w:tc>
          <w:tcPr>
            <w:tcW w:w="0" w:type="dxa"/>
            <w:vAlign w:val="bottom"/>
          </w:tcPr>
          <w:p>
            <w:pPr>
              <w:spacing w:after="0"/>
              <w:rPr>
                <w:sz w:val="1"/>
                <w:szCs w:val="1"/>
                <w:color w:val="auto"/>
              </w:rPr>
            </w:pPr>
          </w:p>
        </w:tc>
      </w:tr>
      <w:tr>
        <w:trPr>
          <w:trHeight w:val="229"/>
        </w:trPr>
        <w:tc>
          <w:tcPr>
            <w:tcW w:w="860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73,229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74,129</w:t>
            </w:r>
          </w:p>
        </w:tc>
        <w:tc>
          <w:tcPr>
            <w:tcW w:w="0" w:type="dxa"/>
            <w:vAlign w:val="bottom"/>
          </w:tcPr>
          <w:p>
            <w:pPr>
              <w:spacing w:after="0"/>
              <w:rPr>
                <w:sz w:val="1"/>
                <w:szCs w:val="1"/>
                <w:color w:val="auto"/>
              </w:rPr>
            </w:pPr>
          </w:p>
        </w:tc>
      </w:tr>
      <w:tr>
        <w:trPr>
          <w:trHeight w:val="229"/>
        </w:trPr>
        <w:tc>
          <w:tcPr>
            <w:tcW w:w="8600" w:type="dxa"/>
            <w:vAlign w:val="bottom"/>
            <w:shd w:val="clear" w:color="auto" w:fill="BFE4FF"/>
          </w:tcPr>
          <w:p>
            <w:pPr>
              <w:ind w:left="2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70,917</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80,682</w:t>
            </w:r>
          </w:p>
        </w:tc>
        <w:tc>
          <w:tcPr>
            <w:tcW w:w="0" w:type="dxa"/>
            <w:vAlign w:val="bottom"/>
          </w:tcPr>
          <w:p>
            <w:pPr>
              <w:spacing w:after="0"/>
              <w:rPr>
                <w:sz w:val="1"/>
                <w:szCs w:val="1"/>
                <w:color w:val="auto"/>
              </w:rPr>
            </w:pPr>
          </w:p>
        </w:tc>
      </w:tr>
      <w:tr>
        <w:trPr>
          <w:trHeight w:val="230"/>
        </w:trPr>
        <w:tc>
          <w:tcPr>
            <w:tcW w:w="8600" w:type="dxa"/>
            <w:vAlign w:val="bottom"/>
          </w:tcPr>
          <w:p>
            <w:pPr>
              <w:ind w:left="240"/>
              <w:spacing w:after="0"/>
              <w:rPr>
                <w:sz w:val="20"/>
                <w:szCs w:val="20"/>
                <w:color w:val="auto"/>
              </w:rPr>
            </w:pPr>
            <w:r>
              <w:rPr>
                <w:rFonts w:ascii="Arial" w:cs="Arial" w:eastAsia="Arial" w:hAnsi="Arial"/>
                <w:sz w:val="18"/>
                <w:szCs w:val="18"/>
                <w:color w:val="auto"/>
              </w:rPr>
              <w:t>Income tax receivable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12,164</w:t>
            </w:r>
          </w:p>
        </w:tc>
        <w:tc>
          <w:tcPr>
            <w:tcW w:w="0" w:type="dxa"/>
            <w:vAlign w:val="bottom"/>
          </w:tcPr>
          <w:p>
            <w:pPr>
              <w:spacing w:after="0"/>
              <w:rPr>
                <w:sz w:val="1"/>
                <w:szCs w:val="1"/>
                <w:color w:val="auto"/>
              </w:rPr>
            </w:pPr>
          </w:p>
        </w:tc>
      </w:tr>
      <w:tr>
        <w:trPr>
          <w:trHeight w:val="229"/>
        </w:trPr>
        <w:tc>
          <w:tcPr>
            <w:tcW w:w="8600" w:type="dxa"/>
            <w:vAlign w:val="bottom"/>
            <w:shd w:val="clear" w:color="auto" w:fill="BFE4FF"/>
          </w:tcPr>
          <w:p>
            <w:pPr>
              <w:ind w:left="240"/>
              <w:spacing w:after="0"/>
              <w:rPr>
                <w:sz w:val="20"/>
                <w:szCs w:val="20"/>
                <w:color w:val="auto"/>
              </w:rPr>
            </w:pPr>
            <w:r>
              <w:rPr>
                <w:rFonts w:ascii="Arial" w:cs="Arial" w:eastAsia="Arial" w:hAnsi="Arial"/>
                <w:sz w:val="18"/>
                <w:szCs w:val="18"/>
                <w:color w:val="auto"/>
              </w:rPr>
              <w:t>Prepaid assets</w:t>
            </w: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3,800</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BFE4FF"/>
            </w:tcBorders>
          </w:tcPr>
          <w:p>
            <w:pPr>
              <w:ind w:left="24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11,339</w:t>
            </w:r>
          </w:p>
        </w:tc>
        <w:tc>
          <w:tcPr>
            <w:tcW w:w="12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23"/>
        </w:trPr>
        <w:tc>
          <w:tcPr>
            <w:tcW w:w="8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193,257</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191,700</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185,707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197,637</w:t>
            </w:r>
          </w:p>
        </w:tc>
        <w:tc>
          <w:tcPr>
            <w:tcW w:w="0" w:type="dxa"/>
            <w:vAlign w:val="bottom"/>
          </w:tcPr>
          <w:p>
            <w:pPr>
              <w:spacing w:after="0"/>
              <w:rPr>
                <w:sz w:val="1"/>
                <w:szCs w:val="1"/>
                <w:color w:val="auto"/>
              </w:rPr>
            </w:pPr>
          </w:p>
        </w:tc>
      </w:tr>
      <w:tr>
        <w:trPr>
          <w:trHeight w:val="229"/>
        </w:trPr>
        <w:tc>
          <w:tcPr>
            <w:tcW w:w="8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43,549</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46,713</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72,891</w:t>
            </w:r>
          </w:p>
        </w:tc>
        <w:tc>
          <w:tcPr>
            <w:tcW w:w="0" w:type="dxa"/>
            <w:vAlign w:val="bottom"/>
          </w:tcPr>
          <w:p>
            <w:pPr>
              <w:spacing w:after="0"/>
              <w:rPr>
                <w:sz w:val="1"/>
                <w:szCs w:val="1"/>
                <w:color w:val="auto"/>
              </w:rPr>
            </w:pPr>
          </w:p>
        </w:tc>
      </w:tr>
      <w:tr>
        <w:trPr>
          <w:trHeight w:val="230"/>
        </w:trPr>
        <w:tc>
          <w:tcPr>
            <w:tcW w:w="8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Investment in joint venture</w:t>
            </w: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29,131</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31,802</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8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BFE4FF"/>
          </w:tcPr>
          <w:p>
            <w:pPr>
              <w:spacing w:after="0"/>
              <w:rPr>
                <w:sz w:val="19"/>
                <w:szCs w:val="19"/>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6,688</w:t>
            </w:r>
          </w:p>
        </w:tc>
        <w:tc>
          <w:tcPr>
            <w:tcW w:w="12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520,698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546,127</w:t>
            </w:r>
          </w:p>
        </w:tc>
        <w:tc>
          <w:tcPr>
            <w:tcW w:w="0" w:type="dxa"/>
            <w:vAlign w:val="bottom"/>
          </w:tcPr>
          <w:p>
            <w:pPr>
              <w:spacing w:after="0"/>
              <w:rPr>
                <w:sz w:val="1"/>
                <w:szCs w:val="1"/>
                <w:color w:val="auto"/>
              </w:rPr>
            </w:pPr>
          </w:p>
        </w:tc>
      </w:tr>
      <w:tr>
        <w:trPr>
          <w:trHeight w:val="20"/>
        </w:trPr>
        <w:tc>
          <w:tcPr>
            <w:tcW w:w="8600" w:type="dxa"/>
            <w:vAlign w:val="bottom"/>
            <w:tcBorders>
              <w:bottom w:val="single" w:sz="8" w:color="BFE4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0" w:type="dxa"/>
            <w:vAlign w:val="bottom"/>
            <w:shd w:val="clear" w:color="auto" w:fill="BFE4FF"/>
          </w:tcPr>
          <w:p>
            <w:pPr>
              <w:ind w:left="20"/>
              <w:spacing w:after="0" w:line="196" w:lineRule="exact"/>
              <w:rPr>
                <w:sz w:val="20"/>
                <w:szCs w:val="20"/>
                <w:color w:val="auto"/>
              </w:rPr>
            </w:pPr>
            <w:r>
              <w:rPr>
                <w:rFonts w:ascii="Arial" w:cs="Arial" w:eastAsia="Arial" w:hAnsi="Arial"/>
                <w:sz w:val="18"/>
                <w:szCs w:val="18"/>
                <w:b w:val="1"/>
                <w:bCs w:val="1"/>
                <w:color w:val="auto"/>
              </w:rPr>
              <w:t>Liabilities, Preferred Stock, and Stockholders’ Equity</w:t>
            </w:r>
          </w:p>
        </w:tc>
        <w:tc>
          <w:tcPr>
            <w:tcW w:w="140" w:type="dxa"/>
            <w:vAlign w:val="bottom"/>
            <w:shd w:val="clear" w:color="auto" w:fill="BFE4FF"/>
          </w:tcPr>
          <w:p>
            <w:pPr>
              <w:spacing w:after="0"/>
              <w:rPr>
                <w:sz w:val="17"/>
                <w:szCs w:val="17"/>
                <w:color w:val="auto"/>
              </w:rPr>
            </w:pPr>
          </w:p>
        </w:tc>
        <w:tc>
          <w:tcPr>
            <w:tcW w:w="112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60" w:type="dxa"/>
            <w:vAlign w:val="bottom"/>
            <w:shd w:val="clear" w:color="auto" w:fill="BFE4FF"/>
          </w:tcPr>
          <w:p>
            <w:pPr>
              <w:spacing w:after="0"/>
              <w:rPr>
                <w:sz w:val="17"/>
                <w:szCs w:val="17"/>
                <w:color w:val="auto"/>
              </w:rPr>
            </w:pPr>
          </w:p>
        </w:tc>
        <w:tc>
          <w:tcPr>
            <w:tcW w:w="110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BFE4FF"/>
          </w:tcPr>
          <w:p>
            <w:pPr>
              <w:ind w:left="2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49,347</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45,871</w:t>
            </w:r>
          </w:p>
        </w:tc>
        <w:tc>
          <w:tcPr>
            <w:tcW w:w="0" w:type="dxa"/>
            <w:vAlign w:val="bottom"/>
          </w:tcPr>
          <w:p>
            <w:pPr>
              <w:spacing w:after="0"/>
              <w:rPr>
                <w:sz w:val="1"/>
                <w:szCs w:val="1"/>
                <w:color w:val="auto"/>
              </w:rPr>
            </w:pPr>
          </w:p>
        </w:tc>
      </w:tr>
      <w:tr>
        <w:trPr>
          <w:trHeight w:val="229"/>
        </w:trPr>
        <w:tc>
          <w:tcPr>
            <w:tcW w:w="8600" w:type="dxa"/>
            <w:vAlign w:val="bottom"/>
          </w:tcPr>
          <w:p>
            <w:pPr>
              <w:ind w:left="240"/>
              <w:spacing w:after="0"/>
              <w:rPr>
                <w:sz w:val="20"/>
                <w:szCs w:val="20"/>
                <w:color w:val="auto"/>
              </w:rPr>
            </w:pPr>
            <w:r>
              <w:rPr>
                <w:rFonts w:ascii="Arial" w:cs="Arial" w:eastAsia="Arial" w:hAnsi="Arial"/>
                <w:sz w:val="18"/>
                <w:szCs w:val="18"/>
                <w:color w:val="auto"/>
              </w:rPr>
              <w:t>Accrued salaries, wages and benefits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11,671</w:t>
            </w:r>
          </w:p>
        </w:tc>
        <w:tc>
          <w:tcPr>
            <w:tcW w:w="0" w:type="dxa"/>
            <w:vAlign w:val="bottom"/>
          </w:tcPr>
          <w:p>
            <w:pPr>
              <w:spacing w:after="0"/>
              <w:rPr>
                <w:sz w:val="1"/>
                <w:szCs w:val="1"/>
                <w:color w:val="auto"/>
              </w:rPr>
            </w:pPr>
          </w:p>
        </w:tc>
      </w:tr>
      <w:tr>
        <w:trPr>
          <w:trHeight w:val="230"/>
        </w:trPr>
        <w:tc>
          <w:tcPr>
            <w:tcW w:w="8600" w:type="dxa"/>
            <w:vAlign w:val="bottom"/>
            <w:shd w:val="clear" w:color="auto" w:fill="BFE4FF"/>
          </w:tcPr>
          <w:p>
            <w:pPr>
              <w:ind w:left="240"/>
              <w:spacing w:after="0"/>
              <w:rPr>
                <w:sz w:val="20"/>
                <w:szCs w:val="20"/>
                <w:color w:val="auto"/>
              </w:rPr>
            </w:pPr>
            <w:r>
              <w:rPr>
                <w:rFonts w:ascii="Arial" w:cs="Arial" w:eastAsia="Arial" w:hAnsi="Arial"/>
                <w:sz w:val="18"/>
                <w:szCs w:val="18"/>
                <w:color w:val="auto"/>
              </w:rPr>
              <w:t>Income tax payable</w:t>
            </w: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29"/>
        </w:trPr>
        <w:tc>
          <w:tcPr>
            <w:tcW w:w="8600" w:type="dxa"/>
            <w:vAlign w:val="bottom"/>
          </w:tcPr>
          <w:p>
            <w:pPr>
              <w:ind w:left="240"/>
              <w:spacing w:after="0"/>
              <w:rPr>
                <w:sz w:val="20"/>
                <w:szCs w:val="20"/>
                <w:color w:val="auto"/>
              </w:rPr>
            </w:pPr>
            <w:r>
              <w:rPr>
                <w:rFonts w:ascii="Arial" w:cs="Arial" w:eastAsia="Arial" w:hAnsi="Arial"/>
                <w:sz w:val="18"/>
                <w:szCs w:val="18"/>
                <w:color w:val="auto"/>
              </w:rPr>
              <w:t>Short-term debt and current maturities of long-term debt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30"/>
        </w:trPr>
        <w:tc>
          <w:tcPr>
            <w:tcW w:w="8600" w:type="dxa"/>
            <w:vAlign w:val="bottom"/>
            <w:shd w:val="clear" w:color="auto" w:fill="BFE4FF"/>
          </w:tcPr>
          <w:p>
            <w:pPr>
              <w:ind w:left="24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5,407</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BFE4FF"/>
            </w:tcBorders>
          </w:tcPr>
          <w:p>
            <w:pPr>
              <w:ind w:left="2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13,483</w:t>
            </w:r>
          </w:p>
        </w:tc>
        <w:tc>
          <w:tcPr>
            <w:tcW w:w="12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23"/>
        </w:trPr>
        <w:tc>
          <w:tcPr>
            <w:tcW w:w="8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88,519</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78,806</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30"/>
        </w:trPr>
        <w:tc>
          <w:tcPr>
            <w:tcW w:w="8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145,892</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149,389</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51,411</w:t>
            </w:r>
          </w:p>
        </w:tc>
        <w:tc>
          <w:tcPr>
            <w:tcW w:w="0" w:type="dxa"/>
            <w:vAlign w:val="bottom"/>
          </w:tcPr>
          <w:p>
            <w:pPr>
              <w:spacing w:after="0"/>
              <w:rPr>
                <w:sz w:val="1"/>
                <w:szCs w:val="1"/>
                <w:color w:val="auto"/>
              </w:rPr>
            </w:pPr>
          </w:p>
        </w:tc>
      </w:tr>
      <w:tr>
        <w:trPr>
          <w:trHeight w:val="230"/>
        </w:trPr>
        <w:tc>
          <w:tcPr>
            <w:tcW w:w="8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BFE4FF"/>
          </w:tcPr>
          <w:p>
            <w:pPr>
              <w:spacing w:after="0"/>
              <w:rPr>
                <w:sz w:val="19"/>
                <w:szCs w:val="19"/>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16,288</w:t>
            </w:r>
          </w:p>
        </w:tc>
        <w:tc>
          <w:tcPr>
            <w:tcW w:w="12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302,677</w:t>
            </w:r>
          </w:p>
        </w:tc>
        <w:tc>
          <w:tcPr>
            <w:tcW w:w="12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295,162</w:t>
            </w:r>
          </w:p>
        </w:tc>
        <w:tc>
          <w:tcPr>
            <w:tcW w:w="0" w:type="dxa"/>
            <w:vAlign w:val="bottom"/>
          </w:tcPr>
          <w:p>
            <w:pPr>
              <w:spacing w:after="0"/>
              <w:rPr>
                <w:sz w:val="1"/>
                <w:szCs w:val="1"/>
                <w:color w:val="auto"/>
              </w:rPr>
            </w:pPr>
          </w:p>
        </w:tc>
      </w:tr>
      <w:tr>
        <w:trPr>
          <w:trHeight w:val="210"/>
        </w:trPr>
        <w:tc>
          <w:tcPr>
            <w:tcW w:w="8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BFE4FF"/>
          </w:tcPr>
          <w:p>
            <w:pPr>
              <w:spacing w:after="0"/>
              <w:rPr>
                <w:sz w:val="18"/>
                <w:szCs w:val="18"/>
                <w:color w:val="auto"/>
              </w:rPr>
            </w:pPr>
          </w:p>
        </w:tc>
        <w:tc>
          <w:tcPr>
            <w:tcW w:w="112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110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Series D perpetual preferred stock</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74,295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64,701</w:t>
            </w:r>
          </w:p>
        </w:tc>
        <w:tc>
          <w:tcPr>
            <w:tcW w:w="0" w:type="dxa"/>
            <w:vAlign w:val="bottom"/>
          </w:tcPr>
          <w:p>
            <w:pPr>
              <w:spacing w:after="0"/>
              <w:rPr>
                <w:sz w:val="1"/>
                <w:szCs w:val="1"/>
                <w:color w:val="auto"/>
              </w:rPr>
            </w:pPr>
          </w:p>
        </w:tc>
      </w:tr>
      <w:tr>
        <w:trPr>
          <w:trHeight w:val="230"/>
        </w:trPr>
        <w:tc>
          <w:tcPr>
            <w:tcW w:w="8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1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8600" w:type="dxa"/>
            <w:vAlign w:val="bottom"/>
            <w:shd w:val="clear" w:color="auto" w:fill="BFE4FF"/>
          </w:tcPr>
          <w:p>
            <w:pPr>
              <w:ind w:left="2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460,382</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468,143</w:t>
            </w:r>
          </w:p>
        </w:tc>
        <w:tc>
          <w:tcPr>
            <w:tcW w:w="0" w:type="dxa"/>
            <w:vAlign w:val="bottom"/>
          </w:tcPr>
          <w:p>
            <w:pPr>
              <w:spacing w:after="0"/>
              <w:rPr>
                <w:sz w:val="1"/>
                <w:szCs w:val="1"/>
                <w:color w:val="auto"/>
              </w:rPr>
            </w:pPr>
          </w:p>
        </w:tc>
      </w:tr>
      <w:tr>
        <w:trPr>
          <w:trHeight w:val="230"/>
        </w:trPr>
        <w:tc>
          <w:tcPr>
            <w:tcW w:w="860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(274,807)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(245,198)</w:t>
            </w:r>
          </w:p>
        </w:tc>
        <w:tc>
          <w:tcPr>
            <w:tcW w:w="0" w:type="dxa"/>
            <w:vAlign w:val="bottom"/>
          </w:tcPr>
          <w:p>
            <w:pPr>
              <w:spacing w:after="0"/>
              <w:rPr>
                <w:sz w:val="1"/>
                <w:szCs w:val="1"/>
                <w:color w:val="auto"/>
              </w:rPr>
            </w:pPr>
          </w:p>
        </w:tc>
      </w:tr>
      <w:tr>
        <w:trPr>
          <w:trHeight w:val="230"/>
        </w:trPr>
        <w:tc>
          <w:tcPr>
            <w:tcW w:w="8600" w:type="dxa"/>
            <w:vAlign w:val="bottom"/>
            <w:shd w:val="clear" w:color="auto" w:fill="BFE4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shd w:val="clear" w:color="auto" w:fill="BFE4FF"/>
          </w:tcPr>
          <w:p>
            <w:pPr>
              <w:spacing w:after="0"/>
              <w:rPr>
                <w:sz w:val="19"/>
                <w:szCs w:val="19"/>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(42,322)</w:t>
            </w:r>
          </w:p>
        </w:tc>
        <w:tc>
          <w:tcPr>
            <w:tcW w:w="12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(37,120)</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143,726</w:t>
            </w:r>
          </w:p>
        </w:tc>
        <w:tc>
          <w:tcPr>
            <w:tcW w:w="12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186,264</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liabilities, preferred stock, and stockholders’ equity</w:t>
            </w: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520,698</w:t>
            </w: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546,127</w:t>
            </w:r>
          </w:p>
        </w:tc>
        <w:tc>
          <w:tcPr>
            <w:tcW w:w="0" w:type="dxa"/>
            <w:vAlign w:val="bottom"/>
          </w:tcPr>
          <w:p>
            <w:pPr>
              <w:spacing w:after="0"/>
              <w:rPr>
                <w:sz w:val="1"/>
                <w:szCs w:val="1"/>
                <w:color w:val="auto"/>
              </w:rPr>
            </w:pPr>
          </w:p>
        </w:tc>
      </w:tr>
      <w:tr>
        <w:trPr>
          <w:trHeight w:val="20"/>
        </w:trPr>
        <w:tc>
          <w:tcPr>
            <w:tcW w:w="86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112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94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r>
      <w:tr>
        <w:trPr>
          <w:trHeight w:val="192"/>
        </w:trPr>
        <w:tc>
          <w:tcPr>
            <w:tcW w:w="8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6"/>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3"/>
              </w:rPr>
              <w:t>2022</w:t>
            </w: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(29,609)</w:t>
            </w:r>
          </w:p>
        </w:tc>
        <w:tc>
          <w:tcPr>
            <w:tcW w:w="14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(14,084)</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83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34,643</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33,962</w:t>
            </w:r>
          </w:p>
        </w:tc>
      </w:tr>
      <w:tr>
        <w:trPr>
          <w:trHeight w:val="229"/>
        </w:trPr>
        <w:tc>
          <w:tcPr>
            <w:tcW w:w="8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debt issuance costs and discount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29"/>
        </w:trPr>
        <w:tc>
          <w:tcPr>
            <w:tcW w:w="8380" w:type="dxa"/>
            <w:vAlign w:val="bottom"/>
          </w:tcPr>
          <w:p>
            <w:pPr>
              <w:ind w:left="240"/>
              <w:spacing w:after="0"/>
              <w:rPr>
                <w:sz w:val="20"/>
                <w:szCs w:val="20"/>
                <w:color w:val="auto"/>
              </w:rPr>
            </w:pPr>
            <w:r>
              <w:rPr>
                <w:rFonts w:ascii="Arial" w:cs="Arial" w:eastAsia="Arial" w:hAnsi="Arial"/>
                <w:sz w:val="18"/>
                <w:szCs w:val="18"/>
                <w:color w:val="auto"/>
              </w:rPr>
              <w:t>Paid-in-kind interest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1,491</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derivative loss (gain), net of cash settlements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r>
      <w:tr>
        <w:trPr>
          <w:trHeight w:val="229"/>
        </w:trPr>
        <w:tc>
          <w:tcPr>
            <w:tcW w:w="8380" w:type="dxa"/>
            <w:vAlign w:val="bottom"/>
          </w:tcPr>
          <w:p>
            <w:pPr>
              <w:ind w:left="240"/>
              <w:spacing w:after="0"/>
              <w:rPr>
                <w:sz w:val="20"/>
                <w:szCs w:val="20"/>
                <w:color w:val="auto"/>
              </w:rPr>
            </w:pPr>
            <w:r>
              <w:rPr>
                <w:rFonts w:ascii="Arial" w:cs="Arial" w:eastAsia="Arial" w:hAnsi="Arial"/>
                <w:sz w:val="18"/>
                <w:szCs w:val="18"/>
                <w:color w:val="auto"/>
              </w:rPr>
              <w:t>Share of net income from joint venture, net of cash dividends received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851</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2,310</w:t>
            </w:r>
          </w:p>
        </w:tc>
      </w:tr>
      <w:tr>
        <w:trPr>
          <w:trHeight w:val="230"/>
        </w:trPr>
        <w:tc>
          <w:tcPr>
            <w:tcW w:w="8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r>
      <w:tr>
        <w:trPr>
          <w:trHeight w:val="229"/>
        </w:trPr>
        <w:tc>
          <w:tcPr>
            <w:tcW w:w="838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(1,531)</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(1,831)</w:t>
            </w:r>
          </w:p>
        </w:tc>
      </w:tr>
      <w:tr>
        <w:trPr>
          <w:trHeight w:val="229"/>
        </w:trPr>
        <w:tc>
          <w:tcPr>
            <w:tcW w:w="8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r>
      <w:tr>
        <w:trPr>
          <w:trHeight w:val="230"/>
        </w:trPr>
        <w:tc>
          <w:tcPr>
            <w:tcW w:w="838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(15,667)</w:t>
            </w:r>
          </w:p>
        </w:tc>
      </w:tr>
      <w:tr>
        <w:trPr>
          <w:trHeight w:val="230"/>
        </w:trPr>
        <w:tc>
          <w:tcPr>
            <w:tcW w:w="838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9,692</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(11,314)</w:t>
            </w:r>
          </w:p>
        </w:tc>
      </w:tr>
      <w:tr>
        <w:trPr>
          <w:trHeight w:val="229"/>
        </w:trPr>
        <w:tc>
          <w:tcPr>
            <w:tcW w:w="8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w:t>
            </w:r>
          </w:p>
        </w:tc>
      </w:tr>
      <w:tr>
        <w:trPr>
          <w:trHeight w:val="229"/>
        </w:trPr>
        <w:tc>
          <w:tcPr>
            <w:tcW w:w="8380" w:type="dxa"/>
            <w:vAlign w:val="bottom"/>
          </w:tcPr>
          <w:p>
            <w:pPr>
              <w:ind w:left="460"/>
              <w:spacing w:after="0"/>
              <w:rPr>
                <w:sz w:val="20"/>
                <w:szCs w:val="20"/>
                <w:color w:val="auto"/>
              </w:rPr>
            </w:pPr>
            <w:r>
              <w:rPr>
                <w:rFonts w:ascii="Arial" w:cs="Arial" w:eastAsia="Arial" w:hAnsi="Arial"/>
                <w:sz w:val="18"/>
                <w:szCs w:val="18"/>
                <w:color w:val="auto"/>
              </w:rPr>
              <w:t>Income taxes receivable and payable,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8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23,890</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r>
      <w:tr>
        <w:trPr>
          <w:trHeight w:val="21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(16,292)</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(14,011)</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plant,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(13,416)</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(13,551)</w:t>
            </w:r>
          </w:p>
        </w:tc>
      </w:tr>
      <w:tr>
        <w:trPr>
          <w:trHeight w:val="21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Proceeds from long-term debt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32,000</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long-term debt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(55,522)</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(28,158)</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Cash paid for debt issuance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short-term debt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flows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(1,324)</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8,982</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(16,105)</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12,808</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28,656</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21,790</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94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Reconciliation of GAAP Income (Loss) from Operations to Non-GAAP Adjusted Income (Loss) from Operations</w:t>
      </w:r>
    </w:p>
    <w:p>
      <w:pPr>
        <w:sectPr>
          <w:pgSz w:w="11900" w:h="16838" w:orient="portrait"/>
          <w:cols w:equalWidth="0" w:num="1">
            <w:col w:w="11240"/>
          </w:cols>
          <w:pgMar w:left="320" w:top="945" w:right="339" w:bottom="1440" w:gutter="0" w:footer="0" w:header="0"/>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2300" w:type="dxa"/>
            <w:vAlign w:val="bottom"/>
            <w:gridSpan w:val="6"/>
          </w:tcPr>
          <w:p>
            <w:pPr>
              <w:ind w:left="20"/>
              <w:spacing w:after="0"/>
              <w:rPr>
                <w:sz w:val="20"/>
                <w:szCs w:val="20"/>
                <w:color w:val="auto"/>
              </w:rPr>
            </w:pPr>
            <w:r>
              <w:rPr>
                <w:rFonts w:ascii="Arial" w:cs="Arial" w:eastAsia="Arial" w:hAnsi="Arial"/>
                <w:sz w:val="16"/>
                <w:szCs w:val="16"/>
                <w:b w:val="1"/>
                <w:bCs w:val="1"/>
                <w:color w:val="auto"/>
                <w:w w:val="92"/>
              </w:rPr>
              <w:t>Three Months Ended September</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30,</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color w:val="auto"/>
              </w:rPr>
              <w:t>NN, Inc. Consolidated</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BFE4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0"/>
        </w:trPr>
        <w:tc>
          <w:tcPr>
            <w:tcW w:w="294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loss from operations</w:t>
            </w:r>
          </w:p>
        </w:tc>
        <w:tc>
          <w:tcPr>
            <w:tcW w:w="220" w:type="dxa"/>
            <w:vAlign w:val="bottom"/>
            <w:shd w:val="clear" w:color="auto" w:fill="BFE4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(2,739)</w:t>
            </w:r>
          </w:p>
        </w:tc>
        <w:tc>
          <w:tcPr>
            <w:tcW w:w="460" w:type="dxa"/>
            <w:vAlign w:val="bottom"/>
            <w:gridSpan w:val="3"/>
            <w:shd w:val="clear" w:color="auto" w:fill="BFE4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(2,117)</w:t>
            </w: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2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46"/>
        </w:trPr>
        <w:tc>
          <w:tcPr>
            <w:tcW w:w="29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Personnel costs (1)</w:t>
            </w:r>
          </w:p>
        </w:tc>
        <w:tc>
          <w:tcPr>
            <w:tcW w:w="220" w:type="dxa"/>
            <w:vAlign w:val="bottom"/>
            <w:shd w:val="clear" w:color="auto" w:fill="BFE4FF"/>
          </w:tcPr>
          <w:p>
            <w:pPr>
              <w:spacing w:after="0"/>
              <w:rPr>
                <w:sz w:val="21"/>
                <w:szCs w:val="21"/>
                <w:color w:val="auto"/>
              </w:rPr>
            </w:pPr>
          </w:p>
        </w:tc>
        <w:tc>
          <w:tcPr>
            <w:tcW w:w="7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903</w:t>
            </w:r>
          </w:p>
        </w:tc>
        <w:tc>
          <w:tcPr>
            <w:tcW w:w="12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240" w:type="dxa"/>
            <w:vAlign w:val="bottom"/>
            <w:shd w:val="clear" w:color="auto" w:fill="BFE4FF"/>
          </w:tcPr>
          <w:p>
            <w:pPr>
              <w:spacing w:after="0"/>
              <w:rPr>
                <w:sz w:val="21"/>
                <w:szCs w:val="21"/>
                <w:color w:val="auto"/>
              </w:rPr>
            </w:pPr>
          </w:p>
        </w:tc>
        <w:tc>
          <w:tcPr>
            <w:tcW w:w="8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Facility costs (2)</w:t>
            </w:r>
          </w:p>
        </w:tc>
        <w:tc>
          <w:tcPr>
            <w:tcW w:w="2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46"/>
        </w:trPr>
        <w:tc>
          <w:tcPr>
            <w:tcW w:w="2940" w:type="dxa"/>
            <w:vAlign w:val="bottom"/>
            <w:shd w:val="clear" w:color="auto" w:fill="BFE4FF"/>
          </w:tcPr>
          <w:p>
            <w:pPr>
              <w:ind w:left="20"/>
              <w:spacing w:after="0"/>
              <w:rPr>
                <w:sz w:val="20"/>
                <w:szCs w:val="20"/>
                <w:color w:val="auto"/>
              </w:rPr>
            </w:pPr>
            <w:r>
              <w:rPr>
                <w:rFonts w:ascii="Arial" w:cs="Arial" w:eastAsia="Arial" w:hAnsi="Arial"/>
                <w:sz w:val="16"/>
                <w:szCs w:val="16"/>
                <w:color w:val="auto"/>
              </w:rPr>
              <w:t>Amortization of intangibles</w:t>
            </w:r>
          </w:p>
        </w:tc>
        <w:tc>
          <w:tcPr>
            <w:tcW w:w="220" w:type="dxa"/>
            <w:vAlign w:val="bottom"/>
            <w:tcBorders>
              <w:bottom w:val="single" w:sz="8" w:color="auto"/>
            </w:tcBorders>
            <w:shd w:val="clear" w:color="auto" w:fill="BFE4FF"/>
          </w:tcPr>
          <w:p>
            <w:pPr>
              <w:spacing w:after="0"/>
              <w:rPr>
                <w:sz w:val="21"/>
                <w:szCs w:val="21"/>
                <w:color w:val="auto"/>
              </w:rPr>
            </w:pPr>
          </w:p>
        </w:tc>
        <w:tc>
          <w:tcPr>
            <w:tcW w:w="76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3,563</w:t>
            </w:r>
          </w:p>
        </w:tc>
        <w:tc>
          <w:tcPr>
            <w:tcW w:w="120" w:type="dxa"/>
            <w:vAlign w:val="bottom"/>
            <w:tcBorders>
              <w:bottom w:val="single" w:sz="8" w:color="auto"/>
            </w:tcBorders>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240" w:type="dxa"/>
            <w:vAlign w:val="bottom"/>
            <w:tcBorders>
              <w:bottom w:val="single" w:sz="8" w:color="auto"/>
            </w:tcBorders>
            <w:shd w:val="clear" w:color="auto" w:fill="BFE4FF"/>
          </w:tcPr>
          <w:p>
            <w:pPr>
              <w:spacing w:after="0"/>
              <w:rPr>
                <w:sz w:val="21"/>
                <w:szCs w:val="21"/>
                <w:color w:val="auto"/>
              </w:rPr>
            </w:pPr>
          </w:p>
        </w:tc>
        <w:tc>
          <w:tcPr>
            <w:tcW w:w="86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3,587</w:t>
            </w:r>
          </w:p>
        </w:tc>
        <w:tc>
          <w:tcPr>
            <w:tcW w:w="0" w:type="dxa"/>
            <w:vAlign w:val="bottom"/>
          </w:tcPr>
          <w:p>
            <w:pPr>
              <w:spacing w:after="0"/>
              <w:rPr>
                <w:sz w:val="1"/>
                <w:szCs w:val="1"/>
                <w:color w:val="auto"/>
              </w:rPr>
            </w:pPr>
          </w:p>
        </w:tc>
      </w:tr>
      <w:tr>
        <w:trPr>
          <w:trHeight w:val="200"/>
        </w:trPr>
        <w:tc>
          <w:tcPr>
            <w:tcW w:w="2940" w:type="dxa"/>
            <w:vAlign w:val="bottom"/>
          </w:tcPr>
          <w:p>
            <w:pPr>
              <w:ind w:left="20"/>
              <w:spacing w:after="0"/>
              <w:rPr>
                <w:sz w:val="20"/>
                <w:szCs w:val="20"/>
                <w:color w:val="auto"/>
              </w:rPr>
            </w:pPr>
            <w:r>
              <w:rPr>
                <w:rFonts w:ascii="Arial" w:cs="Arial" w:eastAsia="Arial" w:hAnsi="Arial"/>
                <w:sz w:val="16"/>
                <w:szCs w:val="16"/>
                <w:color w:val="auto"/>
              </w:rPr>
              <w:t>Non-GAAP adjusted income from</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3,652</w:t>
            </w:r>
          </w:p>
        </w:tc>
        <w:tc>
          <w:tcPr>
            <w:tcW w:w="46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color w:val="auto"/>
              </w:rPr>
              <w:t>2,472</w:t>
            </w:r>
          </w:p>
        </w:tc>
        <w:tc>
          <w:tcPr>
            <w:tcW w:w="0" w:type="dxa"/>
            <w:vAlign w:val="bottom"/>
          </w:tcPr>
          <w:p>
            <w:pPr>
              <w:spacing w:after="0"/>
              <w:rPr>
                <w:sz w:val="1"/>
                <w:szCs w:val="1"/>
                <w:color w:val="auto"/>
              </w:rPr>
            </w:pPr>
          </w:p>
        </w:tc>
      </w:tr>
      <w:tr>
        <w:trPr>
          <w:trHeight w:val="199"/>
        </w:trPr>
        <w:tc>
          <w:tcPr>
            <w:tcW w:w="2940" w:type="dxa"/>
            <w:vAlign w:val="bottom"/>
          </w:tcPr>
          <w:p>
            <w:pPr>
              <w:ind w:left="360"/>
              <w:spacing w:after="0"/>
              <w:rPr>
                <w:sz w:val="20"/>
                <w:szCs w:val="20"/>
                <w:color w:val="auto"/>
              </w:rPr>
            </w:pPr>
            <w:r>
              <w:rPr>
                <w:rFonts w:ascii="Arial" w:cs="Arial" w:eastAsia="Arial" w:hAnsi="Arial"/>
                <w:sz w:val="16"/>
                <w:szCs w:val="16"/>
                <w:color w:val="auto"/>
              </w:rPr>
              <w:t>operations (a)</w:t>
            </w:r>
          </w:p>
        </w:tc>
        <w:tc>
          <w:tcPr>
            <w:tcW w:w="2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460" w:type="dxa"/>
            <w:vAlign w:val="bottom"/>
            <w:gridSpan w:val="3"/>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tcBorders>
              <w:bottom w:val="single" w:sz="8" w:color="BFE4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shd w:val="clear" w:color="auto" w:fill="BFE4FF"/>
          </w:tcPr>
          <w:p>
            <w:pPr>
              <w:spacing w:after="0"/>
              <w:rPr>
                <w:sz w:val="15"/>
                <w:szCs w:val="15"/>
                <w:color w:val="auto"/>
              </w:rPr>
            </w:pPr>
          </w:p>
        </w:tc>
        <w:tc>
          <w:tcPr>
            <w:tcW w:w="220" w:type="dxa"/>
            <w:vAlign w:val="bottom"/>
            <w:shd w:val="clear" w:color="auto" w:fill="BFE4FF"/>
          </w:tcPr>
          <w:p>
            <w:pPr>
              <w:spacing w:after="0"/>
              <w:rPr>
                <w:sz w:val="15"/>
                <w:szCs w:val="15"/>
                <w:color w:val="auto"/>
              </w:rPr>
            </w:pPr>
          </w:p>
        </w:tc>
        <w:tc>
          <w:tcPr>
            <w:tcW w:w="76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240" w:type="dxa"/>
            <w:vAlign w:val="bottom"/>
            <w:shd w:val="clear" w:color="auto" w:fill="BFE4FF"/>
          </w:tcPr>
          <w:p>
            <w:pPr>
              <w:spacing w:after="0"/>
              <w:rPr>
                <w:sz w:val="15"/>
                <w:szCs w:val="15"/>
                <w:color w:val="auto"/>
              </w:rPr>
            </w:pPr>
          </w:p>
        </w:tc>
        <w:tc>
          <w:tcPr>
            <w:tcW w:w="86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940" w:type="dxa"/>
            <w:vAlign w:val="bottom"/>
          </w:tcPr>
          <w:p>
            <w:pPr>
              <w:ind w:left="20"/>
              <w:spacing w:after="0"/>
              <w:rPr>
                <w:sz w:val="20"/>
                <w:szCs w:val="20"/>
                <w:color w:val="auto"/>
              </w:rPr>
            </w:pPr>
            <w:r>
              <w:rPr>
                <w:rFonts w:ascii="Arial" w:cs="Arial" w:eastAsia="Arial" w:hAnsi="Arial"/>
                <w:sz w:val="16"/>
                <w:szCs w:val="16"/>
                <w:color w:val="auto"/>
                <w:w w:val="99"/>
              </w:rPr>
              <w:t>Non-GAAP adjusted operating margin (3)</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53"/>
        </w:trPr>
        <w:tc>
          <w:tcPr>
            <w:tcW w:w="294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sales</w:t>
            </w:r>
          </w:p>
        </w:tc>
        <w:tc>
          <w:tcPr>
            <w:tcW w:w="220" w:type="dxa"/>
            <w:vAlign w:val="bottom"/>
            <w:shd w:val="clear" w:color="auto" w:fill="BFE4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124,443</w:t>
            </w:r>
          </w:p>
        </w:tc>
        <w:tc>
          <w:tcPr>
            <w:tcW w:w="460" w:type="dxa"/>
            <w:vAlign w:val="bottom"/>
            <w:gridSpan w:val="3"/>
            <w:shd w:val="clear" w:color="auto" w:fill="BFE4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127,297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w:t>
            </w:r>
          </w:p>
        </w:tc>
      </w:tr>
      <w:tr>
        <w:trPr>
          <w:trHeight w:val="237"/>
        </w:trPr>
        <w:tc>
          <w:tcPr>
            <w:tcW w:w="29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September 30,</w:t>
            </w:r>
          </w:p>
        </w:tc>
      </w:tr>
      <w:tr>
        <w:trPr>
          <w:trHeight w:val="240"/>
        </w:trPr>
        <w:tc>
          <w:tcPr>
            <w:tcW w:w="296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Power Solutions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BFE4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r>
      <w:tr>
        <w:trPr>
          <w:trHeight w:val="226"/>
        </w:trPr>
        <w:tc>
          <w:tcPr>
            <w:tcW w:w="296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income from operations</w:t>
            </w:r>
          </w:p>
        </w:tc>
        <w:tc>
          <w:tcPr>
            <w:tcW w:w="24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3,936</w:t>
            </w:r>
          </w:p>
        </w:tc>
        <w:tc>
          <w:tcPr>
            <w:tcW w:w="120" w:type="dxa"/>
            <w:vAlign w:val="bottom"/>
            <w:shd w:val="clear" w:color="auto" w:fill="BFE4FF"/>
          </w:tcPr>
          <w:p>
            <w:pPr>
              <w:spacing w:after="0"/>
              <w:rPr>
                <w:sz w:val="19"/>
                <w:szCs w:val="19"/>
                <w:color w:val="auto"/>
              </w:rPr>
            </w:pPr>
          </w:p>
        </w:tc>
        <w:tc>
          <w:tcPr>
            <w:tcW w:w="24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2,582</w:t>
            </w: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2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174</w:t>
            </w:r>
          </w:p>
        </w:tc>
      </w:tr>
      <w:tr>
        <w:trPr>
          <w:trHeight w:val="246"/>
        </w:trPr>
        <w:tc>
          <w:tcPr>
            <w:tcW w:w="2960" w:type="dxa"/>
            <w:vAlign w:val="bottom"/>
            <w:shd w:val="clear" w:color="auto" w:fill="BFE4FF"/>
          </w:tcPr>
          <w:p>
            <w:pPr>
              <w:ind w:left="20"/>
              <w:spacing w:after="0"/>
              <w:rPr>
                <w:sz w:val="20"/>
                <w:szCs w:val="20"/>
                <w:color w:val="auto"/>
              </w:rPr>
            </w:pPr>
            <w:r>
              <w:rPr>
                <w:rFonts w:ascii="Arial" w:cs="Arial" w:eastAsia="Arial" w:hAnsi="Arial"/>
                <w:sz w:val="16"/>
                <w:szCs w:val="16"/>
                <w:color w:val="auto"/>
              </w:rPr>
              <w:t>Personnel costs (1)</w:t>
            </w:r>
          </w:p>
        </w:tc>
        <w:tc>
          <w:tcPr>
            <w:tcW w:w="240" w:type="dxa"/>
            <w:vAlign w:val="bottom"/>
            <w:shd w:val="clear" w:color="auto" w:fill="BFE4FF"/>
          </w:tcPr>
          <w:p>
            <w:pPr>
              <w:spacing w:after="0"/>
              <w:rPr>
                <w:sz w:val="21"/>
                <w:szCs w:val="21"/>
                <w:color w:val="auto"/>
              </w:rPr>
            </w:pPr>
          </w:p>
        </w:tc>
        <w:tc>
          <w:tcPr>
            <w:tcW w:w="84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BFE4FF"/>
          </w:tcPr>
          <w:p>
            <w:pPr>
              <w:spacing w:after="0"/>
              <w:rPr>
                <w:sz w:val="21"/>
                <w:szCs w:val="21"/>
                <w:color w:val="auto"/>
              </w:rPr>
            </w:pPr>
          </w:p>
        </w:tc>
        <w:tc>
          <w:tcPr>
            <w:tcW w:w="240" w:type="dxa"/>
            <w:vAlign w:val="bottom"/>
            <w:shd w:val="clear" w:color="auto" w:fill="BFE4FF"/>
          </w:tcPr>
          <w:p>
            <w:pPr>
              <w:spacing w:after="0"/>
              <w:rPr>
                <w:sz w:val="21"/>
                <w:szCs w:val="21"/>
                <w:color w:val="auto"/>
              </w:rPr>
            </w:pPr>
          </w:p>
        </w:tc>
        <w:tc>
          <w:tcPr>
            <w:tcW w:w="84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Facility costs (2)</w:t>
            </w: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300</w:t>
            </w:r>
          </w:p>
        </w:tc>
      </w:tr>
      <w:tr>
        <w:trPr>
          <w:trHeight w:val="246"/>
        </w:trPr>
        <w:tc>
          <w:tcPr>
            <w:tcW w:w="2960" w:type="dxa"/>
            <w:vAlign w:val="bottom"/>
            <w:shd w:val="clear" w:color="auto" w:fill="BFE4FF"/>
          </w:tcPr>
          <w:p>
            <w:pPr>
              <w:ind w:left="20"/>
              <w:spacing w:after="0"/>
              <w:rPr>
                <w:sz w:val="20"/>
                <w:szCs w:val="20"/>
                <w:color w:val="auto"/>
              </w:rPr>
            </w:pPr>
            <w:r>
              <w:rPr>
                <w:rFonts w:ascii="Arial" w:cs="Arial" w:eastAsia="Arial" w:hAnsi="Arial"/>
                <w:sz w:val="16"/>
                <w:szCs w:val="16"/>
                <w:color w:val="auto"/>
              </w:rPr>
              <w:t>Amortization of intangibles</w:t>
            </w:r>
          </w:p>
        </w:tc>
        <w:tc>
          <w:tcPr>
            <w:tcW w:w="240" w:type="dxa"/>
            <w:vAlign w:val="bottom"/>
            <w:tcBorders>
              <w:bottom w:val="single" w:sz="8" w:color="auto"/>
            </w:tcBorders>
            <w:shd w:val="clear" w:color="auto" w:fill="BFE4FF"/>
          </w:tcPr>
          <w:p>
            <w:pPr>
              <w:spacing w:after="0"/>
              <w:rPr>
                <w:sz w:val="21"/>
                <w:szCs w:val="21"/>
                <w:color w:val="auto"/>
              </w:rPr>
            </w:pPr>
          </w:p>
        </w:tc>
        <w:tc>
          <w:tcPr>
            <w:tcW w:w="84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2,725</w:t>
            </w:r>
          </w:p>
        </w:tc>
        <w:tc>
          <w:tcPr>
            <w:tcW w:w="120" w:type="dxa"/>
            <w:vAlign w:val="bottom"/>
            <w:shd w:val="clear" w:color="auto" w:fill="BFE4FF"/>
          </w:tcPr>
          <w:p>
            <w:pPr>
              <w:spacing w:after="0"/>
              <w:rPr>
                <w:sz w:val="21"/>
                <w:szCs w:val="21"/>
                <w:color w:val="auto"/>
              </w:rPr>
            </w:pPr>
          </w:p>
        </w:tc>
        <w:tc>
          <w:tcPr>
            <w:tcW w:w="240" w:type="dxa"/>
            <w:vAlign w:val="bottom"/>
            <w:tcBorders>
              <w:bottom w:val="single" w:sz="8" w:color="auto"/>
            </w:tcBorders>
            <w:shd w:val="clear" w:color="auto" w:fill="BFE4FF"/>
          </w:tcPr>
          <w:p>
            <w:pPr>
              <w:spacing w:after="0"/>
              <w:rPr>
                <w:sz w:val="21"/>
                <w:szCs w:val="21"/>
                <w:color w:val="auto"/>
              </w:rPr>
            </w:pPr>
          </w:p>
        </w:tc>
        <w:tc>
          <w:tcPr>
            <w:tcW w:w="84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2,749</w:t>
            </w:r>
          </w:p>
        </w:tc>
      </w:tr>
      <w:tr>
        <w:trPr>
          <w:trHeight w:val="186"/>
        </w:trPr>
        <w:tc>
          <w:tcPr>
            <w:tcW w:w="2960" w:type="dxa"/>
            <w:vAlign w:val="bottom"/>
          </w:tcPr>
          <w:p>
            <w:pPr>
              <w:ind w:left="20"/>
              <w:spacing w:after="0"/>
              <w:rPr>
                <w:sz w:val="20"/>
                <w:szCs w:val="20"/>
                <w:color w:val="auto"/>
              </w:rPr>
            </w:pPr>
            <w:r>
              <w:rPr>
                <w:rFonts w:ascii="Arial" w:cs="Arial" w:eastAsia="Arial" w:hAnsi="Arial"/>
                <w:sz w:val="16"/>
                <w:szCs w:val="16"/>
                <w:color w:val="auto"/>
              </w:rPr>
              <w:t>Non-GAAP adjusted income from</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9"/>
        </w:trPr>
        <w:tc>
          <w:tcPr>
            <w:tcW w:w="2960" w:type="dxa"/>
            <w:vAlign w:val="bottom"/>
          </w:tcPr>
          <w:p>
            <w:pPr>
              <w:ind w:left="360"/>
              <w:spacing w:after="0"/>
              <w:rPr>
                <w:sz w:val="20"/>
                <w:szCs w:val="20"/>
                <w:color w:val="auto"/>
              </w:rPr>
            </w:pPr>
            <w:r>
              <w:rPr>
                <w:rFonts w:ascii="Arial" w:cs="Arial" w:eastAsia="Arial" w:hAnsi="Arial"/>
                <w:sz w:val="16"/>
                <w:szCs w:val="16"/>
                <w:color w:val="auto"/>
              </w:rPr>
              <w:t>operations (a)</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7,107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5,805</w:t>
            </w:r>
          </w:p>
        </w:tc>
      </w:tr>
      <w:tr>
        <w:trPr>
          <w:trHeight w:val="20"/>
        </w:trPr>
        <w:tc>
          <w:tcPr>
            <w:tcW w:w="296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0"/>
        </w:trPr>
        <w:tc>
          <w:tcPr>
            <w:tcW w:w="2960" w:type="dxa"/>
            <w:vAlign w:val="bottom"/>
            <w:shd w:val="clear" w:color="auto" w:fill="BFE4FF"/>
          </w:tcPr>
          <w:p>
            <w:pPr>
              <w:spacing w:after="0"/>
              <w:rPr>
                <w:sz w:val="20"/>
                <w:szCs w:val="20"/>
                <w:color w:val="auto"/>
              </w:rPr>
            </w:pPr>
          </w:p>
        </w:tc>
        <w:tc>
          <w:tcPr>
            <w:tcW w:w="240" w:type="dxa"/>
            <w:vAlign w:val="bottom"/>
            <w:shd w:val="clear" w:color="auto" w:fill="BFE4FF"/>
          </w:tcPr>
          <w:p>
            <w:pPr>
              <w:spacing w:after="0"/>
              <w:rPr>
                <w:sz w:val="20"/>
                <w:szCs w:val="20"/>
                <w:color w:val="auto"/>
              </w:rPr>
            </w:pPr>
          </w:p>
        </w:tc>
        <w:tc>
          <w:tcPr>
            <w:tcW w:w="84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240" w:type="dxa"/>
            <w:vAlign w:val="bottom"/>
            <w:shd w:val="clear" w:color="auto" w:fill="BFE4FF"/>
          </w:tcPr>
          <w:p>
            <w:pPr>
              <w:spacing w:after="0"/>
              <w:rPr>
                <w:sz w:val="20"/>
                <w:szCs w:val="20"/>
                <w:color w:val="auto"/>
              </w:rPr>
            </w:pPr>
          </w:p>
        </w:tc>
        <w:tc>
          <w:tcPr>
            <w:tcW w:w="840" w:type="dxa"/>
            <w:vAlign w:val="bottom"/>
            <w:shd w:val="clear" w:color="auto" w:fill="BFE4FF"/>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Mobile Solutions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loss from operations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40"/>
        </w:trPr>
        <w:tc>
          <w:tcPr>
            <w:tcW w:w="2940" w:type="dxa"/>
            <w:vAlign w:val="bottom"/>
          </w:tcPr>
          <w:p>
            <w:pPr>
              <w:ind w:left="20"/>
              <w:spacing w:after="0"/>
              <w:rPr>
                <w:sz w:val="20"/>
                <w:szCs w:val="20"/>
                <w:color w:val="auto"/>
              </w:rPr>
            </w:pPr>
            <w:r>
              <w:rPr>
                <w:rFonts w:ascii="Arial" w:cs="Arial" w:eastAsia="Arial" w:hAnsi="Arial"/>
                <w:sz w:val="16"/>
                <w:szCs w:val="16"/>
                <w:color w:val="auto"/>
              </w:rPr>
              <w:t>Personnel costs (1)</w:t>
            </w:r>
          </w:p>
        </w:tc>
        <w:tc>
          <w:tcPr>
            <w:tcW w:w="260" w:type="dxa"/>
            <w:vAlign w:val="bottom"/>
          </w:tcPr>
          <w:p>
            <w:pPr>
              <w:spacing w:after="0"/>
              <w:rPr>
                <w:sz w:val="20"/>
                <w:szCs w:val="20"/>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Facility costs (2)</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40"/>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intangibles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adjusted income from</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operations (a)</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199"/>
        </w:trPr>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of net income from joint venture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1,424</w:t>
            </w:r>
          </w:p>
        </w:tc>
        <w:tc>
          <w:tcPr>
            <w:tcW w:w="0" w:type="dxa"/>
            <w:vAlign w:val="bottom"/>
          </w:tcPr>
          <w:p>
            <w:pPr>
              <w:spacing w:after="0"/>
              <w:rPr>
                <w:sz w:val="1"/>
                <w:szCs w:val="1"/>
                <w:color w:val="auto"/>
              </w:rPr>
            </w:pPr>
          </w:p>
        </w:tc>
      </w:tr>
      <w:tr>
        <w:trPr>
          <w:trHeight w:val="200"/>
        </w:trPr>
        <w:tc>
          <w:tcPr>
            <w:tcW w:w="2940" w:type="dxa"/>
            <w:vAlign w:val="bottom"/>
          </w:tcPr>
          <w:p>
            <w:pPr>
              <w:ind w:left="20"/>
              <w:spacing w:after="0"/>
              <w:rPr>
                <w:sz w:val="20"/>
                <w:szCs w:val="20"/>
                <w:color w:val="auto"/>
              </w:rPr>
            </w:pPr>
            <w:r>
              <w:rPr>
                <w:rFonts w:ascii="Arial" w:cs="Arial" w:eastAsia="Arial" w:hAnsi="Arial"/>
                <w:sz w:val="16"/>
                <w:szCs w:val="16"/>
                <w:color w:val="auto"/>
              </w:rPr>
              <w:t>Non-GAAP adjusted income from</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color w:val="auto"/>
              </w:rPr>
              <w:t>3,299</w:t>
            </w:r>
          </w:p>
        </w:tc>
        <w:tc>
          <w:tcPr>
            <w:tcW w:w="100" w:type="dxa"/>
            <w:vAlign w:val="bottom"/>
          </w:tcPr>
          <w:p>
            <w:pPr>
              <w:spacing w:after="0"/>
              <w:rPr>
                <w:sz w:val="17"/>
                <w:szCs w:val="17"/>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04"/>
        </w:trPr>
        <w:tc>
          <w:tcPr>
            <w:tcW w:w="2940" w:type="dxa"/>
            <w:vAlign w:val="bottom"/>
          </w:tcPr>
          <w:p>
            <w:pPr>
              <w:ind w:left="340"/>
              <w:spacing w:after="0"/>
              <w:rPr>
                <w:sz w:val="20"/>
                <w:szCs w:val="20"/>
                <w:color w:val="auto"/>
              </w:rPr>
            </w:pPr>
            <w:r>
              <w:rPr>
                <w:rFonts w:ascii="Arial" w:cs="Arial" w:eastAsia="Arial" w:hAnsi="Arial"/>
                <w:sz w:val="16"/>
                <w:szCs w:val="16"/>
                <w:color w:val="auto"/>
              </w:rPr>
              <w:t>operations with JV (a)</w:t>
            </w:r>
          </w:p>
        </w:tc>
        <w:tc>
          <w:tcPr>
            <w:tcW w:w="2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940" w:type="dxa"/>
            <w:vAlign w:val="bottom"/>
          </w:tcPr>
          <w:p>
            <w:pPr>
              <w:ind w:left="20"/>
              <w:spacing w:after="0"/>
              <w:rPr>
                <w:sz w:val="20"/>
                <w:szCs w:val="20"/>
                <w:color w:val="auto"/>
              </w:rPr>
            </w:pPr>
            <w:r>
              <w:rPr>
                <w:rFonts w:ascii="Arial" w:cs="Arial" w:eastAsia="Arial" w:hAnsi="Arial"/>
                <w:sz w:val="16"/>
                <w:szCs w:val="16"/>
                <w:color w:val="auto"/>
                <w:w w:val="99"/>
              </w:rPr>
              <w:t>Non-GAAP adjusted operating margin (3)</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net sales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78,961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76,122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1820" w:type="dxa"/>
            <w:vAlign w:val="bottom"/>
            <w:gridSpan w:val="4"/>
          </w:tcPr>
          <w:p>
            <w:pPr>
              <w:jc w:val="center"/>
              <w:ind w:left="179"/>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6"/>
                <w:szCs w:val="16"/>
                <w:color w:val="auto"/>
              </w:rPr>
            </w:pPr>
          </w:p>
        </w:tc>
      </w:tr>
      <w:tr>
        <w:trPr>
          <w:trHeight w:val="237"/>
        </w:trPr>
        <w:tc>
          <w:tcPr>
            <w:tcW w:w="31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820" w:type="dxa"/>
            <w:vAlign w:val="bottom"/>
            <w:tcBorders>
              <w:bottom w:val="single" w:sz="8" w:color="auto"/>
            </w:tcBorders>
            <w:gridSpan w:val="4"/>
          </w:tcPr>
          <w:p>
            <w:pPr>
              <w:jc w:val="center"/>
              <w:ind w:left="179"/>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Borders>
              <w:bottom w:val="single" w:sz="8" w:color="auto"/>
            </w:tcBorders>
          </w:tcPr>
          <w:p>
            <w:pPr>
              <w:spacing w:after="0"/>
              <w:rPr>
                <w:sz w:val="20"/>
                <w:szCs w:val="20"/>
                <w:color w:val="auto"/>
              </w:rPr>
            </w:pPr>
          </w:p>
        </w:tc>
      </w:tr>
      <w:tr>
        <w:trPr>
          <w:trHeight w:val="240"/>
        </w:trPr>
        <w:tc>
          <w:tcPr>
            <w:tcW w:w="316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Elimination</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BFE4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20"/>
                <w:szCs w:val="20"/>
                <w:color w:val="auto"/>
              </w:rPr>
            </w:pPr>
          </w:p>
        </w:tc>
      </w:tr>
      <w:tr>
        <w:trPr>
          <w:trHeight w:val="226"/>
        </w:trPr>
        <w:tc>
          <w:tcPr>
            <w:tcW w:w="316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sales</w:t>
            </w:r>
          </w:p>
        </w:tc>
        <w:tc>
          <w:tcPr>
            <w:tcW w:w="720" w:type="dxa"/>
            <w:vAlign w:val="bottom"/>
            <w:shd w:val="clear" w:color="auto" w:fill="BFE4FF"/>
          </w:tcPr>
          <w:p>
            <w:pPr>
              <w:jc w:val="right"/>
              <w:ind w:right="53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BFE4FF"/>
          </w:tcPr>
          <w:p>
            <w:pPr>
              <w:spacing w:after="0"/>
              <w:rPr>
                <w:sz w:val="19"/>
                <w:szCs w:val="19"/>
                <w:color w:val="auto"/>
              </w:rPr>
            </w:pPr>
          </w:p>
        </w:tc>
        <w:tc>
          <w:tcPr>
            <w:tcW w:w="720" w:type="dxa"/>
            <w:vAlign w:val="bottom"/>
            <w:shd w:val="clear" w:color="auto" w:fill="BFE4FF"/>
          </w:tcPr>
          <w:p>
            <w:pPr>
              <w:jc w:val="right"/>
              <w:ind w:right="53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51</w:t>
            </w:r>
          </w:p>
        </w:tc>
      </w:tr>
    </w:tbl>
    <w:p>
      <w:pPr>
        <w:spacing w:after="0" w:line="1124" w:lineRule="exact"/>
        <w:rPr>
          <w:sz w:val="20"/>
          <w:szCs w:val="20"/>
          <w:color w:val="auto"/>
        </w:rPr>
      </w:pPr>
    </w:p>
    <w:p>
      <w:pPr>
        <w:sectPr>
          <w:pgSz w:w="11900" w:h="16838" w:orient="portrait"/>
          <w:cols w:equalWidth="0" w:num="2">
            <w:col w:w="5240" w:space="640"/>
            <w:col w:w="5360"/>
          </w:cols>
          <w:pgMar w:left="320" w:top="945"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860" w:type="dxa"/>
            <w:vAlign w:val="bottom"/>
          </w:tcPr>
          <w:p>
            <w:pPr>
              <w:ind w:left="20"/>
              <w:spacing w:after="0"/>
              <w:rPr>
                <w:sz w:val="20"/>
                <w:szCs w:val="20"/>
                <w:color w:val="auto"/>
              </w:rPr>
            </w:pPr>
            <w:r>
              <w:rPr>
                <w:rFonts w:ascii="Arial" w:cs="Arial" w:eastAsia="Arial" w:hAnsi="Arial"/>
                <w:sz w:val="16"/>
                <w:szCs w:val="16"/>
                <w:color w:val="auto"/>
                <w:w w:val="96"/>
              </w:rPr>
              <w:t>Non-GAAP adjusted operating margin (3)</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15.6 %</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11.4 %</w:t>
            </w:r>
          </w:p>
        </w:tc>
      </w:tr>
      <w:tr>
        <w:trPr>
          <w:trHeight w:val="253"/>
        </w:trPr>
        <w:tc>
          <w:tcPr>
            <w:tcW w:w="286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sales</w:t>
            </w:r>
          </w:p>
        </w:tc>
        <w:tc>
          <w:tcPr>
            <w:tcW w:w="3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BFE4FF"/>
          </w:tcPr>
          <w:p>
            <w:pPr>
              <w:jc w:val="right"/>
              <w:ind w:right="179"/>
              <w:spacing w:after="0"/>
              <w:rPr>
                <w:sz w:val="20"/>
                <w:szCs w:val="20"/>
                <w:color w:val="auto"/>
              </w:rPr>
            </w:pPr>
            <w:r>
              <w:rPr>
                <w:rFonts w:ascii="Arial" w:cs="Arial" w:eastAsia="Arial" w:hAnsi="Arial"/>
                <w:sz w:val="16"/>
                <w:szCs w:val="16"/>
                <w:color w:val="auto"/>
              </w:rPr>
              <w:t>45,484</w:t>
            </w:r>
          </w:p>
        </w:tc>
        <w:tc>
          <w:tcPr>
            <w:tcW w:w="32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51,124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20" w:hanging="316"/>
        <w:spacing w:after="0"/>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Personnel costs include recruitment, retention, relocation, and severance costs</w:t>
      </w:r>
    </w:p>
    <w:p>
      <w:pPr>
        <w:spacing w:after="0" w:line="72" w:lineRule="exact"/>
        <w:rPr>
          <w:rFonts w:ascii="Arial" w:cs="Arial" w:eastAsia="Arial" w:hAnsi="Arial"/>
          <w:sz w:val="16"/>
          <w:szCs w:val="16"/>
          <w:color w:val="auto"/>
        </w:rPr>
      </w:pPr>
    </w:p>
    <w:p>
      <w:pPr>
        <w:ind w:left="1620" w:hanging="316"/>
        <w:spacing w:after="0"/>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Facility costs include costs of opening / closing facilities and relocation / exit of manufacturing operations</w:t>
      </w:r>
    </w:p>
    <w:p>
      <w:pPr>
        <w:spacing w:after="0" w:line="59" w:lineRule="exact"/>
        <w:rPr>
          <w:rFonts w:ascii="Arial" w:cs="Arial" w:eastAsia="Arial" w:hAnsi="Arial"/>
          <w:sz w:val="16"/>
          <w:szCs w:val="16"/>
          <w:color w:val="auto"/>
        </w:rPr>
      </w:pPr>
    </w:p>
    <w:p>
      <w:pPr>
        <w:ind w:left="1620" w:hanging="316"/>
        <w:spacing w:after="0"/>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Non-GAAP adjusted operating margin = Non-GAAP adjusted income (loss) from operations / GAAP net sales</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945" w:right="339" w:bottom="1440" w:gutter="0" w:footer="0" w:header="0"/>
          <w:type w:val="continuous"/>
        </w:sectPr>
      </w:pPr>
    </w:p>
    <w:bookmarkStart w:id="11" w:name="page12"/>
    <w:bookmarkEnd w:id="11"/>
    <w:p>
      <w:pPr>
        <w:ind w:left="1560"/>
        <w:spacing w:after="0"/>
        <w:rPr>
          <w:sz w:val="20"/>
          <w:szCs w:val="20"/>
          <w:color w:val="auto"/>
        </w:rPr>
      </w:pPr>
      <w:r>
        <w:rPr>
          <w:rFonts w:ascii="Arial" w:cs="Arial" w:eastAsia="Arial" w:hAnsi="Arial"/>
          <w:sz w:val="18"/>
          <w:szCs w:val="18"/>
          <w:b w:val="1"/>
          <w:bCs w:val="1"/>
          <w:color w:val="auto"/>
        </w:rPr>
        <w:t>Reconciliation of GAAP Net Income (Loss) to Non-GAAP Adjusted EBITDA</w:t>
      </w:r>
    </w:p>
    <w:p>
      <w:pPr>
        <w:spacing w:after="0" w:line="162"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w w:val="93"/>
              </w:rPr>
              <w:t>Three Months Ended September 30,</w:t>
            </w:r>
          </w:p>
        </w:tc>
      </w:tr>
      <w:tr>
        <w:trPr>
          <w:trHeight w:val="213"/>
        </w:trPr>
        <w:tc>
          <w:tcPr>
            <w:tcW w:w="468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BFE4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26"/>
        </w:trPr>
        <w:tc>
          <w:tcPr>
            <w:tcW w:w="468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loss</w:t>
            </w: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(5,057)</w:t>
            </w: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(2,215)</w:t>
            </w:r>
          </w:p>
        </w:tc>
      </w:tr>
    </w:tbl>
    <w:p>
      <w:pPr>
        <w:spacing w:after="0" w:line="257" w:lineRule="exact"/>
        <w:rPr>
          <w:sz w:val="20"/>
          <w:szCs w:val="20"/>
          <w:color w:val="auto"/>
        </w:rPr>
      </w:pPr>
    </w:p>
    <w:tbl>
      <w:tblPr>
        <w:tblLayout w:type="fixed"/>
        <w:tblInd w:w="720" w:type="dxa"/>
        <w:tblCellMar>
          <w:top w:w="0" w:type="dxa"/>
          <w:left w:w="0" w:type="dxa"/>
          <w:bottom w:w="0" w:type="dxa"/>
          <w:right w:w="0" w:type="dxa"/>
        </w:tblCellMar>
      </w:tblPr>
      <w:tr>
        <w:trPr>
          <w:trHeight w:val="229"/>
        </w:trPr>
        <w:tc>
          <w:tcPr>
            <w:tcW w:w="4680" w:type="dxa"/>
            <w:vAlign w:val="bottom"/>
            <w:shd w:val="clear" w:color="auto" w:fill="BFE4FF"/>
          </w:tcPr>
          <w:p>
            <w:pPr>
              <w:ind w:left="20"/>
              <w:spacing w:after="0"/>
              <w:rPr>
                <w:sz w:val="20"/>
                <w:szCs w:val="20"/>
                <w:color w:val="auto"/>
              </w:rPr>
            </w:pPr>
            <w:r>
              <w:rPr>
                <w:rFonts w:ascii="Arial" w:cs="Arial" w:eastAsia="Arial" w:hAnsi="Arial"/>
                <w:sz w:val="18"/>
                <w:szCs w:val="18"/>
                <w:color w:val="auto"/>
              </w:rPr>
              <w:t>Benefit for income taxes</w:t>
            </w:r>
          </w:p>
        </w:tc>
        <w:tc>
          <w:tcPr>
            <w:tcW w:w="380" w:type="dxa"/>
            <w:vAlign w:val="bottom"/>
            <w:shd w:val="clear" w:color="auto" w:fill="BFE4FF"/>
          </w:tcPr>
          <w:p>
            <w:pPr>
              <w:spacing w:after="0"/>
              <w:rPr>
                <w:sz w:val="19"/>
                <w:szCs w:val="19"/>
                <w:color w:val="auto"/>
              </w:rPr>
            </w:pPr>
          </w:p>
        </w:tc>
        <w:tc>
          <w:tcPr>
            <w:tcW w:w="100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100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(1,068)</w:t>
            </w:r>
          </w:p>
        </w:tc>
      </w:tr>
      <w:tr>
        <w:trPr>
          <w:trHeight w:val="213"/>
        </w:trPr>
        <w:tc>
          <w:tcPr>
            <w:tcW w:w="46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5,739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3,746</w:t>
            </w:r>
          </w:p>
        </w:tc>
      </w:tr>
      <w:tr>
        <w:trPr>
          <w:trHeight w:val="246"/>
        </w:trPr>
        <w:tc>
          <w:tcPr>
            <w:tcW w:w="4680" w:type="dxa"/>
            <w:vAlign w:val="bottom"/>
            <w:shd w:val="clear" w:color="auto" w:fill="BFE4FF"/>
          </w:tcPr>
          <w:p>
            <w:pPr>
              <w:ind w:left="20"/>
              <w:spacing w:after="0"/>
              <w:rPr>
                <w:sz w:val="20"/>
                <w:szCs w:val="20"/>
                <w:color w:val="auto"/>
              </w:rPr>
            </w:pPr>
            <w:r>
              <w:rPr>
                <w:rFonts w:ascii="Arial" w:cs="Arial" w:eastAsia="Arial" w:hAnsi="Arial"/>
                <w:sz w:val="16"/>
                <w:szCs w:val="16"/>
                <w:color w:val="auto"/>
              </w:rPr>
              <w:t>Change in fair value of preferred stock derivatives and warrants</w:t>
            </w:r>
          </w:p>
        </w:tc>
        <w:tc>
          <w:tcPr>
            <w:tcW w:w="380" w:type="dxa"/>
            <w:vAlign w:val="bottom"/>
            <w:shd w:val="clear" w:color="auto" w:fill="BFE4FF"/>
          </w:tcPr>
          <w:p>
            <w:pPr>
              <w:spacing w:after="0"/>
              <w:rPr>
                <w:sz w:val="21"/>
                <w:szCs w:val="21"/>
                <w:color w:val="auto"/>
              </w:rPr>
            </w:pPr>
          </w:p>
        </w:tc>
        <w:tc>
          <w:tcPr>
            <w:tcW w:w="100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(2,104)</w:t>
            </w:r>
          </w:p>
        </w:tc>
        <w:tc>
          <w:tcPr>
            <w:tcW w:w="120" w:type="dxa"/>
            <w:vAlign w:val="bottom"/>
            <w:shd w:val="clear" w:color="auto" w:fill="BFE4FF"/>
          </w:tcPr>
          <w:p>
            <w:pPr>
              <w:spacing w:after="0"/>
              <w:rPr>
                <w:sz w:val="21"/>
                <w:szCs w:val="21"/>
                <w:color w:val="auto"/>
              </w:rPr>
            </w:pPr>
          </w:p>
        </w:tc>
        <w:tc>
          <w:tcPr>
            <w:tcW w:w="380" w:type="dxa"/>
            <w:vAlign w:val="bottom"/>
            <w:shd w:val="clear" w:color="auto" w:fill="BFE4FF"/>
          </w:tcPr>
          <w:p>
            <w:pPr>
              <w:spacing w:after="0"/>
              <w:rPr>
                <w:sz w:val="21"/>
                <w:szCs w:val="21"/>
                <w:color w:val="auto"/>
              </w:rPr>
            </w:pPr>
          </w:p>
        </w:tc>
        <w:tc>
          <w:tcPr>
            <w:tcW w:w="100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(1,623)</w:t>
            </w:r>
          </w:p>
        </w:tc>
      </w:tr>
      <w:tr>
        <w:trPr>
          <w:trHeight w:val="213"/>
        </w:trPr>
        <w:tc>
          <w:tcPr>
            <w:tcW w:w="46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11,577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11,193</w:t>
            </w:r>
          </w:p>
        </w:tc>
      </w:tr>
      <w:tr>
        <w:trPr>
          <w:trHeight w:val="219"/>
        </w:trPr>
        <w:tc>
          <w:tcPr>
            <w:tcW w:w="468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Professional fees</w:t>
            </w:r>
          </w:p>
        </w:tc>
        <w:tc>
          <w:tcPr>
            <w:tcW w:w="380" w:type="dxa"/>
            <w:vAlign w:val="bottom"/>
            <w:shd w:val="clear" w:color="auto" w:fill="BFE4FF"/>
          </w:tcPr>
          <w:p>
            <w:pPr>
              <w:spacing w:after="0"/>
              <w:rPr>
                <w:sz w:val="19"/>
                <w:szCs w:val="19"/>
                <w:color w:val="auto"/>
              </w:rPr>
            </w:pPr>
          </w:p>
        </w:tc>
        <w:tc>
          <w:tcPr>
            <w:tcW w:w="10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32</w:t>
            </w:r>
          </w:p>
        </w:tc>
        <w:tc>
          <w:tcPr>
            <w:tcW w:w="12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10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341</w:t>
            </w:r>
          </w:p>
        </w:tc>
      </w:tr>
      <w:tr>
        <w:trPr>
          <w:trHeight w:val="240"/>
        </w:trPr>
        <w:tc>
          <w:tcPr>
            <w:tcW w:w="4680" w:type="dxa"/>
            <w:vAlign w:val="bottom"/>
          </w:tcPr>
          <w:p>
            <w:pPr>
              <w:ind w:left="20"/>
              <w:spacing w:after="0"/>
              <w:rPr>
                <w:sz w:val="20"/>
                <w:szCs w:val="20"/>
                <w:color w:val="auto"/>
              </w:rPr>
            </w:pPr>
            <w:r>
              <w:rPr>
                <w:rFonts w:ascii="Arial" w:cs="Arial" w:eastAsia="Arial" w:hAnsi="Arial"/>
                <w:sz w:val="16"/>
                <w:szCs w:val="16"/>
                <w:color w:val="auto"/>
              </w:rPr>
              <w:t>Personnel costs (1)</w:t>
            </w:r>
          </w:p>
        </w:tc>
        <w:tc>
          <w:tcPr>
            <w:tcW w:w="38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903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17</w:t>
            </w:r>
          </w:p>
        </w:tc>
      </w:tr>
      <w:tr>
        <w:trPr>
          <w:trHeight w:val="219"/>
        </w:trPr>
        <w:tc>
          <w:tcPr>
            <w:tcW w:w="4680" w:type="dxa"/>
            <w:vAlign w:val="bottom"/>
            <w:shd w:val="clear" w:color="auto" w:fill="BFE4FF"/>
          </w:tcPr>
          <w:p>
            <w:pPr>
              <w:ind w:left="20"/>
              <w:spacing w:after="0"/>
              <w:rPr>
                <w:sz w:val="20"/>
                <w:szCs w:val="20"/>
                <w:color w:val="auto"/>
              </w:rPr>
            </w:pPr>
            <w:r>
              <w:rPr>
                <w:rFonts w:ascii="Arial" w:cs="Arial" w:eastAsia="Arial" w:hAnsi="Arial"/>
                <w:sz w:val="16"/>
                <w:szCs w:val="16"/>
                <w:color w:val="auto"/>
              </w:rPr>
              <w:t>Facility costs (2)</w:t>
            </w:r>
          </w:p>
        </w:tc>
        <w:tc>
          <w:tcPr>
            <w:tcW w:w="380" w:type="dxa"/>
            <w:vAlign w:val="bottom"/>
            <w:shd w:val="clear" w:color="auto" w:fill="BFE4FF"/>
          </w:tcPr>
          <w:p>
            <w:pPr>
              <w:spacing w:after="0"/>
              <w:rPr>
                <w:sz w:val="19"/>
                <w:szCs w:val="19"/>
                <w:color w:val="auto"/>
              </w:rPr>
            </w:pPr>
          </w:p>
        </w:tc>
        <w:tc>
          <w:tcPr>
            <w:tcW w:w="10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1,893</w:t>
            </w:r>
          </w:p>
        </w:tc>
        <w:tc>
          <w:tcPr>
            <w:tcW w:w="12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10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644</w:t>
            </w:r>
          </w:p>
        </w:tc>
      </w:tr>
      <w:tr>
        <w:trPr>
          <w:trHeight w:val="240"/>
        </w:trPr>
        <w:tc>
          <w:tcPr>
            <w:tcW w:w="4680" w:type="dxa"/>
            <w:vAlign w:val="bottom"/>
          </w:tcPr>
          <w:p>
            <w:pPr>
              <w:ind w:left="20"/>
              <w:spacing w:after="0"/>
              <w:rPr>
                <w:sz w:val="20"/>
                <w:szCs w:val="20"/>
                <w:color w:val="auto"/>
              </w:rPr>
            </w:pPr>
            <w:r>
              <w:rPr>
                <w:rFonts w:ascii="Arial" w:cs="Arial" w:eastAsia="Arial" w:hAnsi="Arial"/>
                <w:sz w:val="16"/>
                <w:szCs w:val="16"/>
                <w:color w:val="auto"/>
              </w:rPr>
              <w:t>Non-cash stock compensation</w:t>
            </w:r>
          </w:p>
        </w:tc>
        <w:tc>
          <w:tcPr>
            <w:tcW w:w="38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1,208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307</w:t>
            </w:r>
          </w:p>
        </w:tc>
      </w:tr>
      <w:tr>
        <w:trPr>
          <w:trHeight w:val="243"/>
        </w:trPr>
        <w:tc>
          <w:tcPr>
            <w:tcW w:w="4680" w:type="dxa"/>
            <w:vAlign w:val="bottom"/>
            <w:shd w:val="clear" w:color="auto" w:fill="BFE4FF"/>
          </w:tcPr>
          <w:p>
            <w:pPr>
              <w:ind w:left="20"/>
              <w:spacing w:after="0"/>
              <w:rPr>
                <w:sz w:val="20"/>
                <w:szCs w:val="20"/>
                <w:color w:val="auto"/>
              </w:rPr>
            </w:pPr>
            <w:r>
              <w:rPr>
                <w:rFonts w:ascii="Arial" w:cs="Arial" w:eastAsia="Arial" w:hAnsi="Arial"/>
                <w:sz w:val="16"/>
                <w:szCs w:val="16"/>
                <w:color w:val="auto"/>
              </w:rPr>
              <w:t>Non-cash foreign exchange (gain) on inter-company loans</w:t>
            </w:r>
          </w:p>
        </w:tc>
        <w:tc>
          <w:tcPr>
            <w:tcW w:w="380" w:type="dxa"/>
            <w:vAlign w:val="bottom"/>
            <w:tcBorders>
              <w:bottom w:val="single" w:sz="8" w:color="auto"/>
            </w:tcBorders>
            <w:shd w:val="clear" w:color="auto" w:fill="BFE4FF"/>
          </w:tcPr>
          <w:p>
            <w:pPr>
              <w:spacing w:after="0"/>
              <w:rPr>
                <w:sz w:val="21"/>
                <w:szCs w:val="21"/>
                <w:color w:val="auto"/>
              </w:rPr>
            </w:pPr>
          </w:p>
        </w:tc>
        <w:tc>
          <w:tcPr>
            <w:tcW w:w="10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520</w:t>
            </w:r>
          </w:p>
        </w:tc>
        <w:tc>
          <w:tcPr>
            <w:tcW w:w="120" w:type="dxa"/>
            <w:vAlign w:val="bottom"/>
            <w:shd w:val="clear" w:color="auto" w:fill="BFE4FF"/>
          </w:tcPr>
          <w:p>
            <w:pPr>
              <w:spacing w:after="0"/>
              <w:rPr>
                <w:sz w:val="21"/>
                <w:szCs w:val="21"/>
                <w:color w:val="auto"/>
              </w:rPr>
            </w:pPr>
          </w:p>
        </w:tc>
        <w:tc>
          <w:tcPr>
            <w:tcW w:w="380" w:type="dxa"/>
            <w:vAlign w:val="bottom"/>
            <w:tcBorders>
              <w:bottom w:val="single" w:sz="8" w:color="auto"/>
            </w:tcBorders>
            <w:shd w:val="clear" w:color="auto" w:fill="BFE4FF"/>
          </w:tcPr>
          <w:p>
            <w:pPr>
              <w:spacing w:after="0"/>
              <w:rPr>
                <w:sz w:val="21"/>
                <w:szCs w:val="21"/>
                <w:color w:val="auto"/>
              </w:rPr>
            </w:pPr>
          </w:p>
        </w:tc>
        <w:tc>
          <w:tcPr>
            <w:tcW w:w="10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444</w:t>
            </w:r>
          </w:p>
        </w:tc>
      </w:tr>
      <w:tr>
        <w:trPr>
          <w:trHeight w:val="212"/>
        </w:trPr>
        <w:tc>
          <w:tcPr>
            <w:tcW w:w="4680" w:type="dxa"/>
            <w:vAlign w:val="bottom"/>
          </w:tcPr>
          <w:p>
            <w:pPr>
              <w:ind w:left="20"/>
              <w:spacing w:after="0"/>
              <w:rPr>
                <w:sz w:val="20"/>
                <w:szCs w:val="20"/>
                <w:color w:val="auto"/>
              </w:rPr>
            </w:pPr>
            <w:r>
              <w:rPr>
                <w:rFonts w:ascii="Arial" w:cs="Arial" w:eastAsia="Arial" w:hAnsi="Arial"/>
                <w:sz w:val="16"/>
                <w:szCs w:val="16"/>
                <w:color w:val="auto"/>
              </w:rPr>
              <w:t>Non-GAAP adjusted EBITDA (b)</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14,466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11,786</w:t>
            </w:r>
          </w:p>
        </w:tc>
      </w:tr>
      <w:tr>
        <w:trPr>
          <w:trHeight w:val="20"/>
        </w:trPr>
        <w:tc>
          <w:tcPr>
            <w:tcW w:w="468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468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10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1000" w:type="dxa"/>
            <w:vAlign w:val="bottom"/>
            <w:shd w:val="clear" w:color="auto" w:fill="BFE4FF"/>
          </w:tcPr>
          <w:p>
            <w:pPr>
              <w:spacing w:after="0"/>
              <w:rPr>
                <w:sz w:val="19"/>
                <w:szCs w:val="19"/>
                <w:color w:val="auto"/>
              </w:rPr>
            </w:pPr>
          </w:p>
        </w:tc>
      </w:tr>
      <w:tr>
        <w:trPr>
          <w:trHeight w:val="213"/>
        </w:trPr>
        <w:tc>
          <w:tcPr>
            <w:tcW w:w="4680" w:type="dxa"/>
            <w:vAlign w:val="bottom"/>
          </w:tcPr>
          <w:p>
            <w:pPr>
              <w:ind w:left="20"/>
              <w:spacing w:after="0"/>
              <w:rPr>
                <w:sz w:val="20"/>
                <w:szCs w:val="20"/>
                <w:color w:val="auto"/>
              </w:rPr>
            </w:pPr>
            <w:r>
              <w:rPr>
                <w:rFonts w:ascii="Arial" w:cs="Arial" w:eastAsia="Arial" w:hAnsi="Arial"/>
                <w:sz w:val="16"/>
                <w:szCs w:val="16"/>
                <w:color w:val="auto"/>
              </w:rPr>
              <w:t>Non-GAAP adjusted EBITDA margin (4)</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9.3 %</w:t>
            </w:r>
          </w:p>
        </w:tc>
      </w:tr>
      <w:tr>
        <w:trPr>
          <w:trHeight w:val="246"/>
        </w:trPr>
        <w:tc>
          <w:tcPr>
            <w:tcW w:w="468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sales</w:t>
            </w:r>
          </w:p>
        </w:tc>
        <w:tc>
          <w:tcPr>
            <w:tcW w:w="380" w:type="dxa"/>
            <w:vAlign w:val="bottom"/>
            <w:shd w:val="clear" w:color="auto" w:fill="BFE4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124,443</w:t>
            </w:r>
          </w:p>
        </w:tc>
        <w:tc>
          <w:tcPr>
            <w:tcW w:w="120" w:type="dxa"/>
            <w:vAlign w:val="bottom"/>
            <w:shd w:val="clear" w:color="auto" w:fill="BFE4FF"/>
          </w:tcPr>
          <w:p>
            <w:pPr>
              <w:spacing w:after="0"/>
              <w:rPr>
                <w:sz w:val="21"/>
                <w:szCs w:val="21"/>
                <w:color w:val="auto"/>
              </w:rPr>
            </w:pPr>
          </w:p>
        </w:tc>
        <w:tc>
          <w:tcPr>
            <w:tcW w:w="380" w:type="dxa"/>
            <w:vAlign w:val="bottom"/>
            <w:shd w:val="clear" w:color="auto" w:fill="BFE4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127,297</w:t>
            </w:r>
          </w:p>
        </w:tc>
      </w:tr>
    </w:tbl>
    <w:p>
      <w:pPr>
        <w:spacing w:after="0" w:line="274" w:lineRule="exact"/>
        <w:rPr>
          <w:sz w:val="20"/>
          <w:szCs w:val="20"/>
          <w:color w:val="auto"/>
        </w:rPr>
      </w:pPr>
    </w:p>
    <w:p>
      <w:pPr>
        <w:ind w:left="980" w:hanging="23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Personnel costs include recruitment, retention, relocation, and severance costs</w:t>
      </w:r>
    </w:p>
    <w:p>
      <w:pPr>
        <w:spacing w:after="0" w:line="59" w:lineRule="exact"/>
        <w:rPr>
          <w:rFonts w:ascii="Arial" w:cs="Arial" w:eastAsia="Arial" w:hAnsi="Arial"/>
          <w:sz w:val="16"/>
          <w:szCs w:val="16"/>
          <w:color w:val="auto"/>
        </w:rPr>
      </w:pPr>
    </w:p>
    <w:p>
      <w:pPr>
        <w:ind w:left="980" w:hanging="23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Facility costs include costs of opening / closing facilities and relocation / exit of manufacturing operations</w:t>
      </w:r>
    </w:p>
    <w:p>
      <w:pPr>
        <w:spacing w:after="0" w:line="59" w:lineRule="exact"/>
        <w:rPr>
          <w:rFonts w:ascii="Arial" w:cs="Arial" w:eastAsia="Arial" w:hAnsi="Arial"/>
          <w:sz w:val="16"/>
          <w:szCs w:val="16"/>
          <w:color w:val="auto"/>
        </w:rPr>
      </w:pPr>
    </w:p>
    <w:p>
      <w:pPr>
        <w:ind w:left="980" w:hanging="23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Non-GAAP adjusted operating margin = Non-GAAP adjusted income (loss) from operations / GAAP net sales</w:t>
      </w:r>
    </w:p>
    <w:p>
      <w:pPr>
        <w:spacing w:after="0" w:line="194" w:lineRule="exact"/>
        <w:rPr>
          <w:rFonts w:ascii="Arial" w:cs="Arial" w:eastAsia="Arial" w:hAnsi="Arial"/>
          <w:sz w:val="16"/>
          <w:szCs w:val="16"/>
          <w:color w:val="auto"/>
        </w:rPr>
      </w:pPr>
    </w:p>
    <w:p>
      <w:pPr>
        <w:ind w:left="980" w:hanging="23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Non-GAAP adjusted EBITDA margin = Non-GAAP adjusted EBITDA / GAAP net sales</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120"/>
          </w:cols>
          <w:pgMar w:left="1440" w:top="945" w:right="339" w:bottom="1440" w:gutter="0" w:footer="0" w:header="0"/>
        </w:sectPr>
      </w:pPr>
    </w:p>
    <w:bookmarkStart w:id="12" w:name="page13"/>
    <w:bookmarkEnd w:id="12"/>
    <w:p>
      <w:pPr>
        <w:jc w:val="center"/>
        <w:ind w:right="560"/>
        <w:spacing w:after="0" w:line="282" w:lineRule="auto"/>
        <w:rPr>
          <w:sz w:val="20"/>
          <w:szCs w:val="20"/>
          <w:color w:val="auto"/>
        </w:rPr>
      </w:pPr>
      <w:r>
        <w:rPr>
          <w:rFonts w:ascii="Arial" w:cs="Arial" w:eastAsia="Arial" w:hAnsi="Arial"/>
          <w:sz w:val="18"/>
          <w:szCs w:val="18"/>
          <w:b w:val="1"/>
          <w:bCs w:val="1"/>
          <w:color w:val="auto"/>
        </w:rPr>
        <w:t>Reconciliation of GAAP Net Income (Loss) to Non-GAAP Adjusted Net Income and GAAP Net Income (Loss) per Diluted Common Share to Non-GAAP Adjusted Net Income (Loss) per Diluted Common Share</w:t>
      </w:r>
    </w:p>
    <w:p>
      <w:pPr>
        <w:spacing w:after="0" w:line="99"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w w:val="93"/>
              </w:rPr>
              <w:t>Three Months Ended September 30,</w:t>
            </w:r>
          </w:p>
        </w:tc>
      </w:tr>
      <w:tr>
        <w:trPr>
          <w:trHeight w:val="213"/>
        </w:trPr>
        <w:tc>
          <w:tcPr>
            <w:tcW w:w="604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BFE4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26"/>
        </w:trPr>
        <w:tc>
          <w:tcPr>
            <w:tcW w:w="6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loss</w:t>
            </w: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(5,057)</w:t>
            </w:r>
          </w:p>
        </w:tc>
        <w:tc>
          <w:tcPr>
            <w:tcW w:w="160" w:type="dxa"/>
            <w:vAlign w:val="bottom"/>
            <w:shd w:val="clear" w:color="auto" w:fill="BFE4FF"/>
          </w:tcPr>
          <w:p>
            <w:pPr>
              <w:spacing w:after="0"/>
              <w:rPr>
                <w:sz w:val="19"/>
                <w:szCs w:val="19"/>
                <w:color w:val="auto"/>
              </w:rPr>
            </w:pPr>
          </w:p>
        </w:tc>
        <w:tc>
          <w:tcPr>
            <w:tcW w:w="32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(2,215)</w:t>
            </w:r>
          </w:p>
        </w:tc>
      </w:tr>
      <w:tr>
        <w:trPr>
          <w:trHeight w:val="270"/>
        </w:trPr>
        <w:tc>
          <w:tcPr>
            <w:tcW w:w="6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16"/>
        </w:trPr>
        <w:tc>
          <w:tcPr>
            <w:tcW w:w="6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professional fees</w:t>
            </w:r>
          </w:p>
        </w:tc>
        <w:tc>
          <w:tcPr>
            <w:tcW w:w="140" w:type="dxa"/>
            <w:vAlign w:val="bottom"/>
            <w:shd w:val="clear" w:color="auto" w:fill="BFE4FF"/>
          </w:tcPr>
          <w:p>
            <w:pPr>
              <w:spacing w:after="0"/>
              <w:rPr>
                <w:sz w:val="18"/>
                <w:szCs w:val="18"/>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341</w:t>
            </w:r>
          </w:p>
        </w:tc>
      </w:tr>
      <w:tr>
        <w:trPr>
          <w:trHeight w:val="240"/>
        </w:trPr>
        <w:tc>
          <w:tcPr>
            <w:tcW w:w="6040" w:type="dxa"/>
            <w:vAlign w:val="bottom"/>
          </w:tcPr>
          <w:p>
            <w:pPr>
              <w:ind w:left="20"/>
              <w:spacing w:after="0"/>
              <w:rPr>
                <w:sz w:val="20"/>
                <w:szCs w:val="20"/>
                <w:color w:val="auto"/>
              </w:rPr>
            </w:pPr>
            <w:r>
              <w:rPr>
                <w:rFonts w:ascii="Arial" w:cs="Arial" w:eastAsia="Arial" w:hAnsi="Arial"/>
                <w:sz w:val="16"/>
                <w:szCs w:val="16"/>
                <w:color w:val="auto"/>
              </w:rPr>
              <w:t>Pre-tax personnel costs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6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facility costs</w:t>
            </w:r>
          </w:p>
        </w:tc>
        <w:tc>
          <w:tcPr>
            <w:tcW w:w="1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1,893</w:t>
            </w:r>
          </w:p>
        </w:tc>
        <w:tc>
          <w:tcPr>
            <w:tcW w:w="16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644</w:t>
            </w:r>
          </w:p>
        </w:tc>
      </w:tr>
      <w:tr>
        <w:trPr>
          <w:trHeight w:val="240"/>
        </w:trPr>
        <w:tc>
          <w:tcPr>
            <w:tcW w:w="6040" w:type="dxa"/>
            <w:vAlign w:val="bottom"/>
          </w:tcPr>
          <w:p>
            <w:pPr>
              <w:ind w:left="20"/>
              <w:spacing w:after="0"/>
              <w:rPr>
                <w:sz w:val="20"/>
                <w:szCs w:val="20"/>
                <w:color w:val="auto"/>
              </w:rPr>
            </w:pPr>
            <w:r>
              <w:rPr>
                <w:rFonts w:ascii="Arial" w:cs="Arial" w:eastAsia="Arial" w:hAnsi="Arial"/>
                <w:sz w:val="16"/>
                <w:szCs w:val="16"/>
                <w:color w:val="auto"/>
              </w:rPr>
              <w:t>Non-cash foreign exchange (gain) on inter-company loans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444</w:t>
            </w:r>
          </w:p>
        </w:tc>
      </w:tr>
      <w:tr>
        <w:trPr>
          <w:trHeight w:val="219"/>
        </w:trPr>
        <w:tc>
          <w:tcPr>
            <w:tcW w:w="6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change in fair value of preferred stock derivatives and warrants</w:t>
            </w:r>
          </w:p>
        </w:tc>
        <w:tc>
          <w:tcPr>
            <w:tcW w:w="1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(2,104)</w:t>
            </w:r>
          </w:p>
        </w:tc>
        <w:tc>
          <w:tcPr>
            <w:tcW w:w="16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(1,623)</w:t>
            </w: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Pre-tax amortization of intangibles and deferred financing costs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4,092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3,946</w:t>
            </w:r>
          </w:p>
        </w:tc>
      </w:tr>
      <w:tr>
        <w:trPr>
          <w:trHeight w:val="219"/>
        </w:trPr>
        <w:tc>
          <w:tcPr>
            <w:tcW w:w="6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Tax effect of adjustments reflected above (c)</w:t>
            </w:r>
          </w:p>
        </w:tc>
        <w:tc>
          <w:tcPr>
            <w:tcW w:w="1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(162)</w:t>
            </w:r>
          </w:p>
        </w:tc>
        <w:tc>
          <w:tcPr>
            <w:tcW w:w="16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(800)</w:t>
            </w: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Non-GAAP discrete tax adjustments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749</w:t>
            </w:r>
          </w:p>
        </w:tc>
      </w:tr>
      <w:tr>
        <w:trPr>
          <w:trHeight w:val="238"/>
        </w:trPr>
        <w:tc>
          <w:tcPr>
            <w:tcW w:w="604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Non-GAAP adjusted net income (loss) (d)</w:t>
            </w:r>
          </w:p>
        </w:tc>
        <w:tc>
          <w:tcPr>
            <w:tcW w:w="1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117</w:t>
            </w:r>
          </w:p>
        </w:tc>
        <w:tc>
          <w:tcPr>
            <w:tcW w:w="160" w:type="dxa"/>
            <w:vAlign w:val="bottom"/>
            <w:tcBorders>
              <w:top w:val="single" w:sz="8" w:color="BFE4FF"/>
              <w:bottom w:val="single" w:sz="8" w:color="BFE4FF"/>
            </w:tcBorders>
            <w:shd w:val="clear" w:color="auto" w:fill="BFE4FF"/>
          </w:tcPr>
          <w:p>
            <w:pPr>
              <w:spacing w:after="0"/>
              <w:rPr>
                <w:sz w:val="20"/>
                <w:szCs w:val="20"/>
                <w:color w:val="auto"/>
              </w:rPr>
            </w:pPr>
          </w:p>
        </w:tc>
        <w:tc>
          <w:tcPr>
            <w:tcW w:w="320" w:type="dxa"/>
            <w:vAlign w:val="bottom"/>
            <w:tcBorders>
              <w:top w:val="single" w:sz="8" w:color="auto"/>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1,503</w:t>
            </w:r>
          </w:p>
        </w:tc>
      </w:tr>
      <w:tr>
        <w:trPr>
          <w:trHeight w:val="20"/>
        </w:trPr>
        <w:tc>
          <w:tcPr>
            <w:tcW w:w="604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1220" w:type="dxa"/>
            <w:vAlign w:val="bottom"/>
            <w:tcBorders>
              <w:top w:val="single" w:sz="8" w:color="BFE4FF"/>
              <w:bottom w:val="single" w:sz="8" w:color="auto"/>
            </w:tcBorders>
          </w:tcPr>
          <w:p>
            <w:pPr>
              <w:spacing w:after="0" w:line="20" w:lineRule="exact"/>
              <w:rPr>
                <w:sz w:val="1"/>
                <w:szCs w:val="1"/>
                <w:color w:val="auto"/>
              </w:rPr>
            </w:pPr>
          </w:p>
        </w:tc>
        <w:tc>
          <w:tcPr>
            <w:tcW w:w="160" w:type="dxa"/>
            <w:vAlign w:val="bottom"/>
            <w:tcBorders>
              <w:top w:val="single" w:sz="8" w:color="BFE4FF"/>
            </w:tcBorders>
          </w:tcPr>
          <w:p>
            <w:pPr>
              <w:spacing w:after="0" w:line="20" w:lineRule="exact"/>
              <w:rPr>
                <w:sz w:val="1"/>
                <w:szCs w:val="1"/>
                <w:color w:val="auto"/>
              </w:rPr>
            </w:pPr>
          </w:p>
        </w:tc>
        <w:tc>
          <w:tcPr>
            <w:tcW w:w="1380" w:type="dxa"/>
            <w:vAlign w:val="bottom"/>
            <w:tcBorders>
              <w:top w:val="single" w:sz="8" w:color="BFE4FF"/>
              <w:bottom w:val="single" w:sz="8" w:color="auto"/>
            </w:tcBorders>
            <w:gridSpan w:val="2"/>
          </w:tcPr>
          <w:p>
            <w:pPr>
              <w:spacing w:after="0" w:line="20" w:lineRule="exact"/>
              <w:rPr>
                <w:sz w:val="1"/>
                <w:szCs w:val="1"/>
                <w:color w:val="auto"/>
              </w:rPr>
            </w:pPr>
          </w:p>
        </w:tc>
      </w:tr>
      <w:tr>
        <w:trPr>
          <w:trHeight w:val="427"/>
        </w:trPr>
        <w:tc>
          <w:tcPr>
            <w:tcW w:w="6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w w:val="93"/>
              </w:rPr>
              <w:t>Three Months Ended September 30,</w:t>
            </w:r>
          </w:p>
        </w:tc>
      </w:tr>
      <w:tr>
        <w:trPr>
          <w:trHeight w:val="213"/>
        </w:trPr>
        <w:tc>
          <w:tcPr>
            <w:tcW w:w="604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i w:val="1"/>
                <w:iCs w:val="1"/>
                <w:color w:val="auto"/>
              </w:rPr>
              <w:t>(per diluted common share)</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BFE4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26"/>
        </w:trPr>
        <w:tc>
          <w:tcPr>
            <w:tcW w:w="6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loss per diluted common share</w:t>
            </w: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(0.18)</w:t>
            </w:r>
          </w:p>
        </w:tc>
        <w:tc>
          <w:tcPr>
            <w:tcW w:w="160" w:type="dxa"/>
            <w:vAlign w:val="bottom"/>
            <w:shd w:val="clear" w:color="auto" w:fill="BFE4FF"/>
          </w:tcPr>
          <w:p>
            <w:pPr>
              <w:spacing w:after="0"/>
              <w:rPr>
                <w:sz w:val="19"/>
                <w:szCs w:val="19"/>
                <w:color w:val="auto"/>
              </w:rPr>
            </w:pPr>
          </w:p>
        </w:tc>
        <w:tc>
          <w:tcPr>
            <w:tcW w:w="32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(0.11)</w:t>
            </w:r>
          </w:p>
        </w:tc>
      </w:tr>
      <w:tr>
        <w:trPr>
          <w:trHeight w:val="270"/>
        </w:trPr>
        <w:tc>
          <w:tcPr>
            <w:tcW w:w="6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16"/>
        </w:trPr>
        <w:tc>
          <w:tcPr>
            <w:tcW w:w="6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professional fees</w:t>
            </w:r>
          </w:p>
        </w:tc>
        <w:tc>
          <w:tcPr>
            <w:tcW w:w="140" w:type="dxa"/>
            <w:vAlign w:val="bottom"/>
            <w:shd w:val="clear" w:color="auto" w:fill="BFE4FF"/>
          </w:tcPr>
          <w:p>
            <w:pPr>
              <w:spacing w:after="0"/>
              <w:rPr>
                <w:sz w:val="18"/>
                <w:szCs w:val="18"/>
                <w:color w:val="auto"/>
              </w:rPr>
            </w:pPr>
          </w:p>
        </w:tc>
        <w:tc>
          <w:tcPr>
            <w:tcW w:w="1380" w:type="dxa"/>
            <w:vAlign w:val="bottom"/>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BFE4FF"/>
          </w:tcPr>
          <w:p>
            <w:pPr>
              <w:spacing w:after="0"/>
              <w:rPr>
                <w:sz w:val="18"/>
                <w:szCs w:val="18"/>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0.01</w:t>
            </w:r>
          </w:p>
        </w:tc>
      </w:tr>
      <w:tr>
        <w:trPr>
          <w:trHeight w:val="240"/>
        </w:trPr>
        <w:tc>
          <w:tcPr>
            <w:tcW w:w="6040" w:type="dxa"/>
            <w:vAlign w:val="bottom"/>
          </w:tcPr>
          <w:p>
            <w:pPr>
              <w:ind w:left="20"/>
              <w:spacing w:after="0"/>
              <w:rPr>
                <w:sz w:val="20"/>
                <w:szCs w:val="20"/>
                <w:color w:val="auto"/>
              </w:rPr>
            </w:pPr>
            <w:r>
              <w:rPr>
                <w:rFonts w:ascii="Arial" w:cs="Arial" w:eastAsia="Arial" w:hAnsi="Arial"/>
                <w:sz w:val="16"/>
                <w:szCs w:val="16"/>
                <w:color w:val="auto"/>
              </w:rPr>
              <w:t>Pre-tax personnel costs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6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facility costs</w:t>
            </w:r>
          </w:p>
        </w:tc>
        <w:tc>
          <w:tcPr>
            <w:tcW w:w="140" w:type="dxa"/>
            <w:vAlign w:val="bottom"/>
            <w:shd w:val="clear" w:color="auto" w:fill="BFE4FF"/>
          </w:tcPr>
          <w:p>
            <w:pPr>
              <w:spacing w:after="0"/>
              <w:rPr>
                <w:sz w:val="21"/>
                <w:szCs w:val="21"/>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0.04</w:t>
            </w:r>
          </w:p>
        </w:tc>
        <w:tc>
          <w:tcPr>
            <w:tcW w:w="160" w:type="dxa"/>
            <w:vAlign w:val="bottom"/>
            <w:shd w:val="clear" w:color="auto" w:fill="BFE4FF"/>
          </w:tcPr>
          <w:p>
            <w:pPr>
              <w:spacing w:after="0"/>
              <w:rPr>
                <w:sz w:val="21"/>
                <w:szCs w:val="21"/>
                <w:color w:val="auto"/>
              </w:rPr>
            </w:pPr>
          </w:p>
        </w:tc>
        <w:tc>
          <w:tcPr>
            <w:tcW w:w="320" w:type="dxa"/>
            <w:vAlign w:val="bottom"/>
            <w:shd w:val="clear" w:color="auto" w:fill="BFE4FF"/>
          </w:tcPr>
          <w:p>
            <w:pPr>
              <w:spacing w:after="0"/>
              <w:rPr>
                <w:sz w:val="21"/>
                <w:szCs w:val="21"/>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0.01</w:t>
            </w: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Pre-tax foreign exchange (gain) loss on inter-company loans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9"/>
        </w:trPr>
        <w:tc>
          <w:tcPr>
            <w:tcW w:w="6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change in fair value of preferred stock derivatives and warrants</w:t>
            </w:r>
          </w:p>
        </w:tc>
        <w:tc>
          <w:tcPr>
            <w:tcW w:w="140" w:type="dxa"/>
            <w:vAlign w:val="bottom"/>
            <w:shd w:val="clear" w:color="auto" w:fill="BFE4FF"/>
          </w:tcPr>
          <w:p>
            <w:pPr>
              <w:spacing w:after="0"/>
              <w:rPr>
                <w:sz w:val="19"/>
                <w:szCs w:val="19"/>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(0.04)</w:t>
            </w:r>
          </w:p>
        </w:tc>
        <w:tc>
          <w:tcPr>
            <w:tcW w:w="16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(0.04)</w:t>
            </w: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Pre-tax amortization of intangibles and deferred financing costs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0.09</w:t>
            </w:r>
          </w:p>
        </w:tc>
      </w:tr>
      <w:tr>
        <w:trPr>
          <w:trHeight w:val="219"/>
        </w:trPr>
        <w:tc>
          <w:tcPr>
            <w:tcW w:w="6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Tax effect of adjustments reflected above (c)</w:t>
            </w:r>
          </w:p>
        </w:tc>
        <w:tc>
          <w:tcPr>
            <w:tcW w:w="140" w:type="dxa"/>
            <w:vAlign w:val="bottom"/>
            <w:shd w:val="clear" w:color="auto" w:fill="BFE4FF"/>
          </w:tcPr>
          <w:p>
            <w:pPr>
              <w:spacing w:after="0"/>
              <w:rPr>
                <w:sz w:val="19"/>
                <w:szCs w:val="19"/>
                <w:color w:val="auto"/>
              </w:rPr>
            </w:pPr>
          </w:p>
        </w:tc>
        <w:tc>
          <w:tcPr>
            <w:tcW w:w="1380" w:type="dxa"/>
            <w:vAlign w:val="bottom"/>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(0.02)</w:t>
            </w: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Non-GAAP discrete tax adjustments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6"/>
        </w:trPr>
        <w:tc>
          <w:tcPr>
            <w:tcW w:w="6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Preferred stock cumulative dividends and deemed dividends</w:t>
            </w:r>
          </w:p>
        </w:tc>
        <w:tc>
          <w:tcPr>
            <w:tcW w:w="140" w:type="dxa"/>
            <w:vAlign w:val="bottom"/>
            <w:tcBorders>
              <w:bottom w:val="single" w:sz="8" w:color="auto"/>
            </w:tcBorders>
            <w:shd w:val="clear" w:color="auto" w:fill="BFE4FF"/>
          </w:tcPr>
          <w:p>
            <w:pPr>
              <w:spacing w:after="0"/>
              <w:rPr>
                <w:sz w:val="18"/>
                <w:szCs w:val="18"/>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0.07</w:t>
            </w:r>
          </w:p>
        </w:tc>
        <w:tc>
          <w:tcPr>
            <w:tcW w:w="160" w:type="dxa"/>
            <w:vAlign w:val="bottom"/>
            <w:shd w:val="clear" w:color="auto" w:fill="BFE4FF"/>
          </w:tcPr>
          <w:p>
            <w:pPr>
              <w:spacing w:after="0"/>
              <w:rPr>
                <w:sz w:val="18"/>
                <w:szCs w:val="18"/>
                <w:color w:val="auto"/>
              </w:rPr>
            </w:pPr>
          </w:p>
        </w:tc>
        <w:tc>
          <w:tcPr>
            <w:tcW w:w="320" w:type="dxa"/>
            <w:vAlign w:val="bottom"/>
            <w:tcBorders>
              <w:bottom w:val="single" w:sz="8" w:color="auto"/>
            </w:tcBorders>
            <w:shd w:val="clear" w:color="auto" w:fill="BFE4FF"/>
          </w:tcPr>
          <w:p>
            <w:pPr>
              <w:spacing w:after="0"/>
              <w:rPr>
                <w:sz w:val="18"/>
                <w:szCs w:val="18"/>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0.06</w:t>
            </w: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Non-GAAP adjusted net income (loss) per diluted common share (d)</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r>
      <w:tr>
        <w:trPr>
          <w:trHeight w:val="20"/>
        </w:trPr>
        <w:tc>
          <w:tcPr>
            <w:tcW w:w="6040" w:type="dxa"/>
            <w:vAlign w:val="bottom"/>
            <w:tcBorders>
              <w:bottom w:val="single" w:sz="8" w:color="BFE4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BFE4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6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Shares used to calculate net earnings (loss) per share</w:t>
            </w:r>
          </w:p>
        </w:tc>
        <w:tc>
          <w:tcPr>
            <w:tcW w:w="140" w:type="dxa"/>
            <w:vAlign w:val="bottom"/>
            <w:shd w:val="clear" w:color="auto" w:fill="BFE4FF"/>
          </w:tcPr>
          <w:p>
            <w:pPr>
              <w:spacing w:after="0"/>
              <w:rPr>
                <w:sz w:val="18"/>
                <w:szCs w:val="18"/>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47,539</w:t>
            </w:r>
          </w:p>
        </w:tc>
        <w:tc>
          <w:tcPr>
            <w:tcW w:w="16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44,711</w:t>
            </w: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660"/>
          </w:cols>
          <w:pgMar w:left="900" w:top="945" w:right="339" w:bottom="1440" w:gutter="0" w:footer="0" w:header="0"/>
        </w:sectPr>
      </w:pPr>
    </w:p>
    <w:bookmarkStart w:id="13" w:name="page14"/>
    <w:bookmarkEnd w:id="13"/>
    <w:p>
      <w:pPr>
        <w:ind w:left="2280"/>
        <w:spacing w:after="0"/>
        <w:rPr>
          <w:sz w:val="20"/>
          <w:szCs w:val="20"/>
          <w:color w:val="auto"/>
        </w:rPr>
      </w:pPr>
      <w:r>
        <w:rPr>
          <w:rFonts w:ascii="Arial" w:cs="Arial" w:eastAsia="Arial" w:hAnsi="Arial"/>
          <w:sz w:val="18"/>
          <w:szCs w:val="18"/>
          <w:b w:val="1"/>
          <w:bCs w:val="1"/>
          <w:color w:val="auto"/>
        </w:rPr>
        <w:t>Reconciliation of Operating Cash Flow to Free Cash Flow</w:t>
      </w:r>
    </w:p>
    <w:p>
      <w:pPr>
        <w:spacing w:after="0" w:line="86"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4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r>
      <w:tr>
        <w:trPr>
          <w:trHeight w:val="212"/>
        </w:trPr>
        <w:tc>
          <w:tcPr>
            <w:tcW w:w="490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2022</w:t>
            </w:r>
          </w:p>
        </w:tc>
      </w:tr>
      <w:tr>
        <w:trPr>
          <w:trHeight w:val="212"/>
        </w:trPr>
        <w:tc>
          <w:tcPr>
            <w:tcW w:w="4900" w:type="dxa"/>
            <w:vAlign w:val="bottom"/>
            <w:shd w:val="clear" w:color="auto" w:fill="BFE4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15,247</w:t>
            </w:r>
          </w:p>
        </w:tc>
        <w:tc>
          <w:tcPr>
            <w:tcW w:w="100" w:type="dxa"/>
            <w:vAlign w:val="bottom"/>
            <w:shd w:val="clear" w:color="auto" w:fill="BFE4FF"/>
          </w:tcPr>
          <w:p>
            <w:pPr>
              <w:spacing w:after="0"/>
              <w:rPr>
                <w:sz w:val="18"/>
                <w:szCs w:val="18"/>
                <w:color w:val="auto"/>
              </w:rPr>
            </w:pPr>
          </w:p>
        </w:tc>
        <w:tc>
          <w:tcPr>
            <w:tcW w:w="460" w:type="dxa"/>
            <w:vAlign w:val="bottom"/>
            <w:shd w:val="clear" w:color="auto" w:fill="BFE4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(127)</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Acquisition of property, plant, and equipment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(4,308)</w:t>
            </w:r>
          </w:p>
        </w:tc>
      </w:tr>
      <w:tr>
        <w:trPr>
          <w:trHeight w:val="216"/>
        </w:trPr>
        <w:tc>
          <w:tcPr>
            <w:tcW w:w="49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Proceeds from sale of property, plant, and equipment</w:t>
            </w:r>
          </w:p>
        </w:tc>
        <w:tc>
          <w:tcPr>
            <w:tcW w:w="280" w:type="dxa"/>
            <w:vAlign w:val="bottom"/>
            <w:tcBorders>
              <w:bottom w:val="single" w:sz="8" w:color="auto"/>
            </w:tcBorders>
            <w:shd w:val="clear" w:color="auto" w:fill="BFE4FF"/>
          </w:tcPr>
          <w:p>
            <w:pPr>
              <w:spacing w:after="0"/>
              <w:rPr>
                <w:sz w:val="18"/>
                <w:szCs w:val="18"/>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BFE4FF"/>
          </w:tcPr>
          <w:p>
            <w:pPr>
              <w:spacing w:after="0"/>
              <w:rPr>
                <w:sz w:val="18"/>
                <w:szCs w:val="18"/>
                <w:color w:val="auto"/>
              </w:rPr>
            </w:pPr>
          </w:p>
        </w:tc>
        <w:tc>
          <w:tcPr>
            <w:tcW w:w="460" w:type="dxa"/>
            <w:vAlign w:val="bottom"/>
            <w:tcBorders>
              <w:bottom w:val="single" w:sz="8" w:color="auto"/>
            </w:tcBorders>
            <w:shd w:val="clear" w:color="auto" w:fill="BFE4FF"/>
          </w:tcPr>
          <w:p>
            <w:pPr>
              <w:spacing w:after="0"/>
              <w:rPr>
                <w:sz w:val="18"/>
                <w:szCs w:val="18"/>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(4,396)</w:t>
            </w:r>
          </w:p>
        </w:tc>
      </w:tr>
      <w:tr>
        <w:trPr>
          <w:trHeight w:val="21"/>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120"/>
          </w:cols>
          <w:pgMar w:left="1440" w:top="945" w:right="339" w:bottom="1440" w:gutter="0" w:footer="0" w:header="0"/>
        </w:sectPr>
      </w:pPr>
    </w:p>
    <w:bookmarkStart w:id="14" w:name="page15"/>
    <w:bookmarkEnd w:id="14"/>
    <w:p>
      <w:pPr>
        <w:ind w:right="60"/>
        <w:spacing w:after="0" w:line="286" w:lineRule="auto"/>
        <w:rPr>
          <w:sz w:val="20"/>
          <w:szCs w:val="20"/>
          <w:color w:val="auto"/>
        </w:rPr>
      </w:pPr>
      <w:r>
        <w:rPr>
          <w:rFonts w:ascii="Arial" w:cs="Arial" w:eastAsia="Arial" w:hAnsi="Arial"/>
          <w:sz w:val="15"/>
          <w:szCs w:val="15"/>
          <w:i w:val="1"/>
          <w:iCs w:val="1"/>
          <w:color w:val="auto"/>
        </w:rPr>
        <w:t>The Company discloses in this presentaton the non-GAAP fnancial measures of adjusted income (loss) from operatons, adjusted EBITDA, adjusted net income (loss), adjusted net income (loss) per diluted common share, and free cash fow. Each of these non-GAAP fnancial measures provides supplementary informaton about the impacts of acquisiton, divestture and integraton related expenses, foreign-exchange impacts on inter-company loans, reorganizatonal and impairment charges. Over the past fve years, we have completed several acquisitons, one of which was transformatve for the Company, and sold two of our businesses. The costs we incurred in completng such acquisitons, including the amortzaton of intangibles and deferred fnancing costs, and these divesttures have been excluded from these measures because their size and inconsistent frequency are unrelated to our commercial performance during the period, and which we believe are not indicatve of our ongoing operatng costs. We exclude the impact of currency translaton from these measures because foreign exchange rates are not under management’s control and are subject to volatlity. Other non-operatng charges are excluded as the charges are not indicatve of our ongoing operatng cost. We believe the presentaton of adjusted income (loss) from operatons, adjusted EBITDA, adjusted net income (loss), adjusted net income (loss) per diluted common share, and free cash fow provides useful informaton in assessing our underlying business trends and facilitates comparison of our long-term performance over given periods.</w:t>
      </w:r>
    </w:p>
    <w:p>
      <w:pPr>
        <w:spacing w:after="0" w:line="159" w:lineRule="exact"/>
        <w:rPr>
          <w:sz w:val="20"/>
          <w:szCs w:val="20"/>
          <w:color w:val="auto"/>
        </w:rPr>
      </w:pPr>
    </w:p>
    <w:p>
      <w:pPr>
        <w:ind w:right="80"/>
        <w:spacing w:after="0" w:line="296" w:lineRule="auto"/>
        <w:rPr>
          <w:sz w:val="20"/>
          <w:szCs w:val="20"/>
          <w:color w:val="auto"/>
        </w:rPr>
      </w:pPr>
      <w:r>
        <w:rPr>
          <w:rFonts w:ascii="Arial" w:cs="Arial" w:eastAsia="Arial" w:hAnsi="Arial"/>
          <w:sz w:val="15"/>
          <w:szCs w:val="15"/>
          <w:i w:val="1"/>
          <w:iCs w:val="1"/>
          <w:color w:val="auto"/>
        </w:rPr>
        <w:t>The non-GAAP fnancial measures provided herein may not provide informaton that is directly comparable to that provided by other companies in the Company's industry, as other companies may calculate such fnancial results diferently. The Company's non-GAAP fnancial measures are not measurements of fnancial performance under GAAP and should not be considered as alternatves to actual income growth derived from income amounts presented in accordance with GAAP. The Company does not consider these non-GAAP fnancial measures to be a substtute for, or superior to, the informaton provided by GAAP fnancial results.</w:t>
      </w:r>
    </w:p>
    <w:p>
      <w:pPr>
        <w:spacing w:after="0" w:line="135"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Non-GAAP Adjusted income (loss) from operatons represents GAAP income (loss) from operatons, adjusted to exclude the efects of restructuring and integraton</w:t>
      </w:r>
    </w:p>
    <w:p>
      <w:pPr>
        <w:spacing w:after="0" w:line="31" w:lineRule="exact"/>
        <w:rPr>
          <w:rFonts w:ascii="Arial" w:cs="Arial" w:eastAsia="Arial" w:hAnsi="Arial"/>
          <w:sz w:val="15"/>
          <w:szCs w:val="15"/>
          <w:i w:val="1"/>
          <w:iCs w:val="1"/>
          <w:color w:val="auto"/>
        </w:rPr>
      </w:pPr>
    </w:p>
    <w:p>
      <w:pPr>
        <w:ind w:right="180"/>
        <w:spacing w:after="0" w:line="270" w:lineRule="auto"/>
        <w:rPr>
          <w:rFonts w:ascii="Arial" w:cs="Arial" w:eastAsia="Arial" w:hAnsi="Arial"/>
          <w:sz w:val="15"/>
          <w:szCs w:val="15"/>
          <w:i w:val="1"/>
          <w:iCs w:val="1"/>
          <w:color w:val="auto"/>
        </w:rPr>
      </w:pPr>
      <w:r>
        <w:rPr>
          <w:rFonts w:ascii="Arial" w:cs="Arial" w:eastAsia="Arial" w:hAnsi="Arial"/>
          <w:sz w:val="16"/>
          <w:szCs w:val="16"/>
          <w:i w:val="1"/>
          <w:iCs w:val="1"/>
          <w:color w:val="auto"/>
        </w:rPr>
        <w:t>expense; non-operatonal charges related to acquisiton and transiton expense, intangible amortzaton costs for fair value step-up in values related to acquisitons, non-cash impairment charges, and when applicable, our share of income from joint venture operatons. We believe this presentaton is commonly used by investors and professional research analysts in the valuaton, comparison, ratng, and investment recommendatons of companies in the industrial industry. We use this informaton for comparatve purposes within the industry. Non-GAAP adjusted income (loss) from operatons is not a measure of fnancial performance under GAAP and should not be considered as a measure of liquidity or as an alternatve to GAAP income (loss) from operatons.</w:t>
      </w:r>
    </w:p>
    <w:p>
      <w:pPr>
        <w:spacing w:after="0" w:line="152" w:lineRule="exact"/>
        <w:rPr>
          <w:rFonts w:ascii="Arial" w:cs="Arial" w:eastAsia="Arial" w:hAnsi="Arial"/>
          <w:sz w:val="15"/>
          <w:szCs w:val="15"/>
          <w:i w:val="1"/>
          <w:iCs w:val="1"/>
          <w:color w:val="auto"/>
        </w:rPr>
      </w:pPr>
    </w:p>
    <w:p>
      <w:pPr>
        <w:ind w:right="40" w:firstLine="8"/>
        <w:spacing w:after="0" w:line="267" w:lineRule="auto"/>
        <w:tabs>
          <w:tab w:leader="none" w:pos="218"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EBITDA represents GAAP net income (loss), adjusted to include income taxes, interest expense, write-of of unamortzed debt issuance costs, interest rate swap payments and change in fair value that was recognized in earnings, change in fair value of preferred stock derivatves and warrants, depreciaton and amortzaton, charges related to acquisiton and transiton costs, non-cash stock compensaton expense, foreign exchange gain (loss) on inter-company loans, restructuring and integraton expense, costs related to divested businesses and litgaton setlements, income from discontnued operatons, and non-cash impairment charges, to the extent applicable. We believe this presentaton is commonly used by investors and professional research analysts in the valuaton, comparison, ratng, and investment recommendatons of companies in the industrial industry. We use this informaton for comparatve purposes within the industry. Non-GAAP adjusted EBITDA is not a measure of fnancial performance under GAAP and should not be considered as a measure of liquidity or as an alternatve to GAAP income (loss) from contnuing operatons.</w:t>
      </w:r>
    </w:p>
    <w:p>
      <w:pPr>
        <w:spacing w:after="0" w:line="171" w:lineRule="exact"/>
        <w:rPr>
          <w:rFonts w:ascii="Arial" w:cs="Arial" w:eastAsia="Arial" w:hAnsi="Arial"/>
          <w:sz w:val="16"/>
          <w:szCs w:val="16"/>
          <w:i w:val="1"/>
          <w:iCs w:val="1"/>
          <w:color w:val="auto"/>
        </w:rPr>
      </w:pPr>
    </w:p>
    <w:p>
      <w:pPr>
        <w:ind w:right="60" w:firstLine="8"/>
        <w:spacing w:after="0" w:line="276" w:lineRule="auto"/>
        <w:tabs>
          <w:tab w:leader="none" w:pos="202"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This line item refects the aggregate tax efect of all non-tax adjustments refected in the respectve table. NN, Inc. estmates the tax efect of the adjustment items identfed in the reconciliaton schedule above by applying the applicable statutory rates by tax jurisdicton unless the nature of the item and/or the tax jurisdicton in which the item has been recorded requires applicaton of a specifc tax rate or tax treatment.</w:t>
      </w:r>
    </w:p>
    <w:p>
      <w:pPr>
        <w:spacing w:after="0" w:line="148" w:lineRule="exact"/>
        <w:rPr>
          <w:rFonts w:ascii="Arial" w:cs="Arial" w:eastAsia="Arial" w:hAnsi="Arial"/>
          <w:sz w:val="16"/>
          <w:szCs w:val="16"/>
          <w:i w:val="1"/>
          <w:iCs w:val="1"/>
          <w:color w:val="auto"/>
        </w:rPr>
      </w:pPr>
    </w:p>
    <w:p>
      <w:pPr>
        <w:ind w:firstLine="8"/>
        <w:spacing w:after="0" w:line="268" w:lineRule="auto"/>
        <w:tabs>
          <w:tab w:leader="none" w:pos="218"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net income (loss) represents GAAP net income (loss) adjusted to exclude the tax-afected efects of charges related to acquisiton and transiton costs, foreign exchange gain (loss) on inter-company loans, restructuring and integraton charges, amortzaton of intangibles costs for fair value step-up in values related to acquisitons and amortzaton of deferred fnancing costs, non-cash impairment charges, write-of of unamortzed debt issuance costs, interest rate swap payments and change in fair value, change in fair value of preferred stock derivatves and warrants, costs related to divested businesses and litgaton setlements, income (loss) from discontnued operatons, and preferred stock cumulatve dividends and deemed dividends. We believe this presentaton is commonly used by investors and professional research analysts in the valuaton, comparison, ratng, and investment recommendatons of companies in the industrial industry. We use this informaton for comparatve purposes within the industry.</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sectPr>
      <w:pgSz w:w="11900" w:h="16838" w:orient="portrait"/>
      <w:cols w:equalWidth="0" w:num="1">
        <w:col w:w="11240"/>
      </w:cols>
      <w:pgMar w:left="32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upperLetter"/>
      <w:start w:val="40"/>
    </w:lvl>
  </w:abstractNum>
  <w:abstractNum w:abstractNumId="5">
    <w:nsid w:val="79E2A9E3"/>
    <w:multiLevelType w:val="hybridMultilevel"/>
    <w:lvl w:ilvl="0">
      <w:lvlJc w:val="left"/>
      <w:lvlText w:val="%1"/>
      <w:numFmt w:val="upperLetter"/>
      <w:start w:val="40"/>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2023-11-06T16:21:08Z</dcterms:created>
  <dcterms:modified xsi:type="dcterms:W3CDTF">2023-11-06T16:21:08Z</dcterms:modified>
</cp:coreProperties>
</file>