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June 30, 2024</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120" w:after="283"/>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001-39268</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drawing>
          <wp:inline distT="0" distB="0" distL="0" distR="0">
            <wp:extent cx="800100"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0100" cy="600075"/>
                    </a:xfrm>
                    <a:prstGeom prst="rect">
                      <a:avLst/>
                    </a:prstGeom>
                  </pic:spPr>
                </pic:pic>
              </a:graphicData>
            </a:graphic>
          </wp:inline>
        </w:drawing>
      </w: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NN,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4662" w:type="dxa"/>
        <w:jc w:val="center"/>
        <w:tblInd w:w="0" w:type="dxa"/>
        <w:tblLayout w:type="fixed"/>
        <w:tblCellMar>
          <w:top w:w="28" w:type="dxa"/>
          <w:left w:w="28" w:type="dxa"/>
          <w:bottom w:w="28" w:type="dxa"/>
          <w:right w:w="28" w:type="dxa"/>
        </w:tblCellMar>
      </w:tblPr>
      <w:tblGrid>
        <w:gridCol w:w="966"/>
        <w:gridCol w:w="848"/>
        <w:gridCol w:w="856"/>
        <w:gridCol w:w="109"/>
        <w:gridCol w:w="109"/>
        <w:gridCol w:w="109"/>
        <w:gridCol w:w="487"/>
        <w:gridCol w:w="487"/>
        <w:gridCol w:w="691"/>
      </w:tblGrid>
      <w:tr>
        <w:trPr/>
        <w:tc>
          <w:tcPr>
            <w:tcW w:w="96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62-1096725</w:t>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(I.R.S. Employer</w:t>
              <w:br/>
              <w:t>Identification No.)</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6210 Ardrey Kell Road, Suite 120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Charlotte, North Carolina 28277</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(Address of principal executive offices, including zip code)</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(980) 264-4300</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(Registrant’s telephone number, including area code) </w:t>
      </w:r>
    </w:p>
    <w:tbl>
      <w:tblPr>
        <w:tblW w:w="9101" w:type="dxa"/>
        <w:jc w:val="center"/>
        <w:tblInd w:w="0" w:type="dxa"/>
        <w:tblLayout w:type="fixed"/>
        <w:tblCellMar>
          <w:top w:w="28" w:type="dxa"/>
          <w:left w:w="28" w:type="dxa"/>
          <w:bottom w:w="28" w:type="dxa"/>
          <w:right w:w="28" w:type="dxa"/>
        </w:tblCellMar>
      </w:tblPr>
      <w:tblGrid>
        <w:gridCol w:w="1023"/>
        <w:gridCol w:w="898"/>
        <w:gridCol w:w="898"/>
        <w:gridCol w:w="317"/>
        <w:gridCol w:w="317"/>
        <w:gridCol w:w="317"/>
        <w:gridCol w:w="395"/>
        <w:gridCol w:w="395"/>
        <w:gridCol w:w="395"/>
        <w:gridCol w:w="317"/>
        <w:gridCol w:w="317"/>
        <w:gridCol w:w="317"/>
        <w:gridCol w:w="936"/>
        <w:gridCol w:w="936"/>
        <w:gridCol w:w="1323"/>
      </w:tblGrid>
      <w:tr>
        <w:trPr/>
        <w:tc>
          <w:tcPr>
            <w:tcW w:w="102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r>
      <w:tr>
        <w:trPr/>
        <w:tc>
          <w:tcPr>
            <w:tcW w:w="91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Title of each class</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Trading symbol</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Name of each exchange on which registered</w:t>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$0.01</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NNBR</w:t>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The Nasdaq Stock Market LLC</w:t>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1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p>
    <w:p>
      <w:pPr>
        <w:pStyle w:val="TextBody"/>
        <w:bidi w:val="0"/>
        <w:spacing w:lineRule="auto" w:line="288" w:before="60" w:after="283"/>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tbl>
      <w:tblPr>
        <w:tblW w:w="5961" w:type="dxa"/>
        <w:jc w:val="center"/>
        <w:tblInd w:w="0" w:type="dxa"/>
        <w:tblLayout w:type="fixed"/>
        <w:tblCellMar>
          <w:top w:w="28" w:type="dxa"/>
          <w:left w:w="28" w:type="dxa"/>
          <w:bottom w:w="28" w:type="dxa"/>
          <w:right w:w="28" w:type="dxa"/>
        </w:tblCellMar>
      </w:tblPr>
      <w:tblGrid>
        <w:gridCol w:w="696"/>
        <w:gridCol w:w="612"/>
        <w:gridCol w:w="613"/>
        <w:gridCol w:w="109"/>
        <w:gridCol w:w="109"/>
        <w:gridCol w:w="109"/>
        <w:gridCol w:w="125"/>
        <w:gridCol w:w="125"/>
        <w:gridCol w:w="126"/>
        <w:gridCol w:w="109"/>
        <w:gridCol w:w="109"/>
        <w:gridCol w:w="109"/>
        <w:gridCol w:w="769"/>
        <w:gridCol w:w="769"/>
        <w:gridCol w:w="773"/>
        <w:gridCol w:w="109"/>
        <w:gridCol w:w="109"/>
        <w:gridCol w:w="109"/>
        <w:gridCol w:w="109"/>
        <w:gridCol w:w="109"/>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60" w:after="283"/>
        <w:jc w:val="left"/>
        <w:rPr/>
      </w:pPr>
      <w:r>
        <w:rPr>
          <w:rFonts w:ascii="Times New Roman;sans-serif" w:hAnsi="Times New Roman;sans-serif"/>
          <w:b w:val="false"/>
          <w:color w:val="000000"/>
          <w:sz w:val="20"/>
        </w:rPr>
        <w:t>Indicate by check mark whether the registrant is a shell company (as defined in Rule 12b-2 of the Exchange Act).    Yes  ☐    No  </w:t>
      </w:r>
      <w:r>
        <w:rPr>
          <w:color w:val="000000"/>
        </w:rPr>
        <w:t>☒</w:t>
      </w:r>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July 26, 2024, there were 50,048,063 shares of the registrant’s common stock, par value $0.01 per share,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18f5a0ebe87146159c7110a754333c3e_7">
        <w:r>
          <w:rPr>
            <w:rStyle w:val="InternetLink"/>
            <w:rFonts w:ascii="Times New Roman;sans-serif" w:hAnsi="Times New Roman;sans-serif"/>
            <w:b w:val="false"/>
            <w:color w:val="0000FF"/>
            <w:sz w:val="18"/>
            <w:u w:val="single"/>
          </w:rPr>
          <w:t>Table of Contents</w:t>
        </w:r>
      </w:hyperlink>
      <w:r>
        <w:rPr>
          <w:color w:val="000000"/>
        </w:rPr>
        <w:t>    </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NN,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589"/>
        <w:gridCol w:w="518"/>
        <w:gridCol w:w="518"/>
        <w:gridCol w:w="2662"/>
        <w:gridCol w:w="2661"/>
        <w:gridCol w:w="2684"/>
        <w:gridCol w:w="167"/>
        <w:gridCol w:w="167"/>
        <w:gridCol w:w="239"/>
      </w:tblGrid>
      <w:tr>
        <w:trPr/>
        <w:tc>
          <w:tcPr>
            <w:tcW w:w="58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662" w:type="dxa"/>
            <w:tcBorders/>
            <w:vAlign w:val="center"/>
          </w:tcPr>
          <w:p>
            <w:pPr>
              <w:pStyle w:val="TableContents"/>
              <w:bidi w:val="0"/>
              <w:spacing w:before="0" w:after="283"/>
              <w:jc w:val="left"/>
              <w:rPr>
                <w:sz w:val="4"/>
                <w:szCs w:val="4"/>
              </w:rPr>
            </w:pPr>
            <w:r>
              <w:rPr>
                <w:sz w:val="4"/>
                <w:szCs w:val="4"/>
              </w:rPr>
            </w:r>
          </w:p>
        </w:tc>
        <w:tc>
          <w:tcPr>
            <w:tcW w:w="2661" w:type="dxa"/>
            <w:tcBorders/>
            <w:vAlign w:val="center"/>
          </w:tcPr>
          <w:p>
            <w:pPr>
              <w:pStyle w:val="TableContents"/>
              <w:bidi w:val="0"/>
              <w:spacing w:before="0" w:after="283"/>
              <w:jc w:val="left"/>
              <w:rPr>
                <w:sz w:val="4"/>
                <w:szCs w:val="4"/>
              </w:rPr>
            </w:pPr>
            <w:r>
              <w:rPr>
                <w:sz w:val="4"/>
                <w:szCs w:val="4"/>
              </w:rPr>
            </w:r>
          </w:p>
        </w:tc>
        <w:tc>
          <w:tcPr>
            <w:tcW w:w="268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8f5a0ebe87146159c7110a754333c3e_10">
              <w:r>
                <w:rPr>
                  <w:rStyle w:val="InternetLink"/>
                  <w:rFonts w:ascii="Times New Roman;sans-serif" w:hAnsi="Times New Roman;sans-serif"/>
                  <w:b w:val="false"/>
                  <w:color w:val="0000FF"/>
                  <w:sz w:val="20"/>
                  <w:u w:val="single"/>
                </w:rPr>
                <w:t>PART I. FINANCIAL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f5a0ebe87146159c7110a754333c3e_10">
              <w:r>
                <w:rPr>
                  <w:rStyle w:val="InternetLink"/>
                  <w:rFonts w:ascii="Times New Roman;sans-serif" w:hAnsi="Times New Roman;sans-serif"/>
                  <w:b w:val="false"/>
                  <w:color w:val="0000FF"/>
                  <w:sz w:val="20"/>
                  <w:u w:val="single"/>
                </w:rPr>
                <w:t>3</w:t>
              </w:r>
            </w:hyperlink>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f5a0ebe87146159c7110a754333c3e_13">
              <w:r>
                <w:rPr>
                  <w:rStyle w:val="InternetLink"/>
                  <w:rFonts w:ascii="Times New Roman;sans-serif" w:hAnsi="Times New Roman;sans-serif"/>
                  <w:b w:val="false"/>
                  <w:color w:val="0000FF"/>
                  <w:sz w:val="20"/>
                  <w:u w:val="single"/>
                </w:rPr>
                <w:t>Financial Statements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f5a0ebe87146159c7110a754333c3e_13">
              <w:r>
                <w:rPr>
                  <w:rStyle w:val="InternetLink"/>
                  <w:rFonts w:ascii="Times New Roman;sans-serif" w:hAnsi="Times New Roman;sans-serif"/>
                  <w:b w:val="false"/>
                  <w:color w:val="0000FF"/>
                  <w:sz w:val="20"/>
                  <w:u w:val="single"/>
                </w:rPr>
                <w:t>3</w:t>
              </w:r>
            </w:hyperlink>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f5a0ebe87146159c7110a754333c3e_16">
              <w:r>
                <w:rPr>
                  <w:rStyle w:val="InternetLink"/>
                  <w:rFonts w:ascii="Times New Roman;sans-serif" w:hAnsi="Times New Roman;sans-serif"/>
                  <w:b w:val="false"/>
                  <w:color w:val="0000FF"/>
                  <w:sz w:val="20"/>
                  <w:u w:val="single"/>
                </w:rPr>
                <w:t>Condensed Consolidated Statements of Operations and Comprehensive Income (Loss)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f5a0ebe87146159c7110a754333c3e_16">
              <w:r>
                <w:rPr>
                  <w:rStyle w:val="InternetLink"/>
                  <w:rFonts w:ascii="Times New Roman;sans-serif" w:hAnsi="Times New Roman;sans-serif"/>
                  <w:b w:val="false"/>
                  <w:color w:val="0000FF"/>
                  <w:sz w:val="20"/>
                  <w:u w:val="single"/>
                </w:rPr>
                <w:t>3</w:t>
              </w:r>
            </w:hyperlink>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f5a0ebe87146159c7110a754333c3e_19">
              <w:r>
                <w:rPr>
                  <w:rStyle w:val="InternetLink"/>
                  <w:rFonts w:ascii="Times New Roman;sans-serif" w:hAnsi="Times New Roman;sans-serif"/>
                  <w:b w:val="false"/>
                  <w:color w:val="0000FF"/>
                  <w:sz w:val="20"/>
                  <w:u w:val="single"/>
                </w:rPr>
                <w:t>Condensed Consolidated Balance Sheets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f5a0ebe87146159c7110a754333c3e_19">
              <w:r>
                <w:rPr>
                  <w:rStyle w:val="InternetLink"/>
                  <w:rFonts w:ascii="Times New Roman;sans-serif" w:hAnsi="Times New Roman;sans-serif"/>
                  <w:b w:val="false"/>
                  <w:color w:val="0000FF"/>
                  <w:sz w:val="20"/>
                  <w:u w:val="single"/>
                </w:rPr>
                <w:t>4</w:t>
              </w:r>
            </w:hyperlink>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f5a0ebe87146159c7110a754333c3e_22">
              <w:r>
                <w:rPr>
                  <w:rStyle w:val="InternetLink"/>
                  <w:rFonts w:ascii="Times New Roman;sans-serif" w:hAnsi="Times New Roman;sans-serif"/>
                  <w:b w:val="false"/>
                  <w:color w:val="0000FF"/>
                  <w:sz w:val="20"/>
                  <w:u w:val="single"/>
                </w:rPr>
                <w:t>Condensed Consolidated Statements of Cash Flows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f5a0ebe87146159c7110a754333c3e_22">
              <w:r>
                <w:rPr>
                  <w:rStyle w:val="InternetLink"/>
                  <w:rFonts w:ascii="Times New Roman;sans-serif" w:hAnsi="Times New Roman;sans-serif"/>
                  <w:b w:val="false"/>
                  <w:color w:val="0000FF"/>
                  <w:sz w:val="20"/>
                  <w:u w:val="single"/>
                </w:rPr>
                <w:t>5</w:t>
              </w:r>
            </w:hyperlink>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f5a0ebe87146159c7110a754333c3e_25">
              <w:r>
                <w:rPr>
                  <w:rStyle w:val="InternetLink"/>
                  <w:rFonts w:ascii="Times New Roman;sans-serif" w:hAnsi="Times New Roman;sans-serif"/>
                  <w:b w:val="false"/>
                  <w:color w:val="0000FF"/>
                  <w:sz w:val="20"/>
                  <w:u w:val="single"/>
                </w:rPr>
                <w:t>Condensed Consolidated Statements of Changes in Stockholders’ Equity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f5a0ebe87146159c7110a754333c3e_25">
              <w:r>
                <w:rPr>
                  <w:rStyle w:val="InternetLink"/>
                  <w:rFonts w:ascii="Times New Roman;sans-serif" w:hAnsi="Times New Roman;sans-serif"/>
                  <w:b w:val="false"/>
                  <w:color w:val="0000FF"/>
                  <w:sz w:val="20"/>
                  <w:u w:val="single"/>
                </w:rPr>
                <w:t>6</w:t>
              </w:r>
            </w:hyperlink>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f5a0ebe87146159c7110a754333c3e_31">
              <w:r>
                <w:rPr>
                  <w:rStyle w:val="InternetLink"/>
                  <w:rFonts w:ascii="Times New Roman;sans-serif" w:hAnsi="Times New Roman;sans-serif"/>
                  <w:b w:val="false"/>
                  <w:color w:val="0000FF"/>
                  <w:sz w:val="20"/>
                  <w:u w:val="single"/>
                </w:rPr>
                <w:t>Notes to Condensed Consolidated Financial Statements (Unaudited)</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f5a0ebe87146159c7110a754333c3e_31">
              <w:r>
                <w:rPr>
                  <w:rStyle w:val="InternetLink"/>
                  <w:rFonts w:ascii="Times New Roman;sans-serif" w:hAnsi="Times New Roman;sans-serif"/>
                  <w:b w:val="false"/>
                  <w:color w:val="0000FF"/>
                  <w:sz w:val="20"/>
                  <w:u w:val="single"/>
                </w:rPr>
                <w:t>8</w:t>
              </w:r>
            </w:hyperlink>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f5a0ebe87146159c7110a754333c3e_34">
              <w:r>
                <w:rPr>
                  <w:rStyle w:val="InternetLink"/>
                  <w:rFonts w:ascii="Times New Roman;sans-serif" w:hAnsi="Times New Roman;sans-serif"/>
                  <w:b w:val="false"/>
                  <w:color w:val="0000FF"/>
                  <w:sz w:val="20"/>
                  <w:u w:val="single"/>
                </w:rPr>
                <w:t>Note 1. Interim Financial Statements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f5a0ebe87146159c7110a754333c3e_34">
              <w:r>
                <w:rPr>
                  <w:rStyle w:val="InternetLink"/>
                  <w:rFonts w:ascii="Times New Roman;sans-serif" w:hAnsi="Times New Roman;sans-serif"/>
                  <w:b w:val="false"/>
                  <w:color w:val="0000FF"/>
                  <w:sz w:val="20"/>
                  <w:u w:val="single"/>
                </w:rPr>
                <w:t>8</w:t>
              </w:r>
            </w:hyperlink>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f5a0ebe87146159c7110a754333c3e_37">
              <w:r>
                <w:rPr>
                  <w:rStyle w:val="InternetLink"/>
                  <w:rFonts w:ascii="Times New Roman;sans-serif" w:hAnsi="Times New Roman;sans-serif"/>
                  <w:b w:val="false"/>
                  <w:color w:val="0000FF"/>
                  <w:sz w:val="20"/>
                  <w:u w:val="single"/>
                </w:rPr>
                <w:t>Note 2. Segment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f5a0ebe87146159c7110a754333c3e_37">
              <w:r>
                <w:rPr>
                  <w:rStyle w:val="InternetLink"/>
                  <w:rFonts w:ascii="Times New Roman;sans-serif" w:hAnsi="Times New Roman;sans-serif"/>
                  <w:b w:val="false"/>
                  <w:color w:val="0000FF"/>
                  <w:sz w:val="20"/>
                  <w:u w:val="single"/>
                </w:rPr>
                <w:t>8</w:t>
              </w:r>
            </w:hyperlink>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f5a0ebe87146159c7110a754333c3e_43">
              <w:r>
                <w:rPr>
                  <w:rStyle w:val="InternetLink"/>
                  <w:rFonts w:ascii="Times New Roman;sans-serif" w:hAnsi="Times New Roman;sans-serif"/>
                  <w:b w:val="false"/>
                  <w:color w:val="0000FF"/>
                  <w:sz w:val="20"/>
                  <w:u w:val="single"/>
                </w:rPr>
                <w:t>Note 3. Revenue from Contracts with Customers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f5a0ebe87146159c7110a754333c3e_43">
              <w:r>
                <w:rPr>
                  <w:rStyle w:val="InternetLink"/>
                  <w:rFonts w:ascii="Times New Roman;sans-serif" w:hAnsi="Times New Roman;sans-serif"/>
                  <w:b w:val="false"/>
                  <w:color w:val="0000FF"/>
                  <w:sz w:val="20"/>
                  <w:u w:val="single"/>
                </w:rPr>
                <w:t>9</w:t>
              </w:r>
            </w:hyperlink>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f5a0ebe87146159c7110a754333c3e_49">
              <w:r>
                <w:rPr>
                  <w:rStyle w:val="InternetLink"/>
                  <w:rFonts w:ascii="Times New Roman;sans-serif" w:hAnsi="Times New Roman;sans-serif"/>
                  <w:b w:val="false"/>
                  <w:color w:val="0000FF"/>
                  <w:sz w:val="20"/>
                  <w:u w:val="single"/>
                </w:rPr>
                <w:t>Note 4. Inventories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f5a0ebe87146159c7110a754333c3e_49">
              <w:r>
                <w:rPr>
                  <w:rStyle w:val="InternetLink"/>
                  <w:rFonts w:ascii="Times New Roman;sans-serif" w:hAnsi="Times New Roman;sans-serif"/>
                  <w:b w:val="false"/>
                  <w:color w:val="0000FF"/>
                  <w:sz w:val="20"/>
                  <w:u w:val="single"/>
                </w:rPr>
                <w:t>10</w:t>
              </w:r>
            </w:hyperlink>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f5a0ebe87146159c7110a754333c3e_52">
              <w:r>
                <w:rPr>
                  <w:rStyle w:val="InternetLink"/>
                  <w:rFonts w:ascii="Times New Roman;sans-serif" w:hAnsi="Times New Roman;sans-serif"/>
                  <w:b w:val="false"/>
                  <w:color w:val="0000FF"/>
                  <w:sz w:val="20"/>
                  <w:u w:val="single"/>
                </w:rPr>
                <w:t>Note 5. Intangible Assets, Net</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f5a0ebe87146159c7110a754333c3e_52">
              <w:r>
                <w:rPr>
                  <w:rStyle w:val="InternetLink"/>
                  <w:rFonts w:ascii="Times New Roman;sans-serif" w:hAnsi="Times New Roman;sans-serif"/>
                  <w:b w:val="false"/>
                  <w:color w:val="0000FF"/>
                  <w:sz w:val="20"/>
                  <w:u w:val="single"/>
                </w:rPr>
                <w:t>10</w:t>
              </w:r>
            </w:hyperlink>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f5a0ebe87146159c7110a754333c3e_55">
              <w:r>
                <w:rPr>
                  <w:rStyle w:val="InternetLink"/>
                  <w:rFonts w:ascii="Times New Roman;sans-serif" w:hAnsi="Times New Roman;sans-serif"/>
                  <w:b w:val="false"/>
                  <w:color w:val="0000FF"/>
                  <w:sz w:val="20"/>
                  <w:u w:val="single"/>
                </w:rPr>
                <w:t>Note 6. Investment in Joint Venture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f5a0ebe87146159c7110a754333c3e_55">
              <w:r>
                <w:rPr>
                  <w:rStyle w:val="InternetLink"/>
                  <w:rFonts w:ascii="Times New Roman;sans-serif" w:hAnsi="Times New Roman;sans-serif"/>
                  <w:b w:val="false"/>
                  <w:color w:val="0000FF"/>
                  <w:sz w:val="20"/>
                  <w:u w:val="single"/>
                </w:rPr>
                <w:t>11</w:t>
              </w:r>
            </w:hyperlink>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f5a0ebe87146159c7110a754333c3e_61">
              <w:r>
                <w:rPr>
                  <w:rStyle w:val="InternetLink"/>
                  <w:rFonts w:ascii="Times New Roman;sans-serif" w:hAnsi="Times New Roman;sans-serif"/>
                  <w:b w:val="false"/>
                  <w:color w:val="0000FF"/>
                  <w:sz w:val="20"/>
                  <w:u w:val="single"/>
                </w:rPr>
                <w:t>Note 7. Debt</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f5a0ebe87146159c7110a754333c3e_61">
              <w:r>
                <w:rPr>
                  <w:rStyle w:val="InternetLink"/>
                  <w:rFonts w:ascii="Times New Roman;sans-serif" w:hAnsi="Times New Roman;sans-serif"/>
                  <w:b w:val="false"/>
                  <w:color w:val="0000FF"/>
                  <w:sz w:val="20"/>
                  <w:u w:val="single"/>
                </w:rPr>
                <w:t>11</w:t>
              </w:r>
            </w:hyperlink>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f5a0ebe87146159c7110a754333c3e_67">
              <w:r>
                <w:rPr>
                  <w:rStyle w:val="InternetLink"/>
                  <w:rFonts w:ascii="Times New Roman;sans-serif" w:hAnsi="Times New Roman;sans-serif"/>
                  <w:b w:val="false"/>
                  <w:color w:val="0000FF"/>
                  <w:sz w:val="20"/>
                  <w:u w:val="single"/>
                </w:rPr>
                <w:t>Note 8. Preferred Stock</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f5a0ebe87146159c7110a754333c3e_67">
              <w:r>
                <w:rPr>
                  <w:rStyle w:val="InternetLink"/>
                  <w:rFonts w:ascii="Times New Roman;sans-serif" w:hAnsi="Times New Roman;sans-serif"/>
                  <w:b w:val="false"/>
                  <w:color w:val="0000FF"/>
                  <w:sz w:val="20"/>
                  <w:u w:val="single"/>
                </w:rPr>
                <w:t>12</w:t>
              </w:r>
            </w:hyperlink>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f5a0ebe87146159c7110a754333c3e_70">
              <w:r>
                <w:rPr>
                  <w:rStyle w:val="InternetLink"/>
                  <w:rFonts w:ascii="Times New Roman;sans-serif" w:hAnsi="Times New Roman;sans-serif"/>
                  <w:b w:val="false"/>
                  <w:color w:val="0000FF"/>
                  <w:sz w:val="20"/>
                  <w:u w:val="single"/>
                </w:rPr>
                <w:t>Note 9. Leases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f5a0ebe87146159c7110a754333c3e_70">
              <w:r>
                <w:rPr>
                  <w:rStyle w:val="InternetLink"/>
                  <w:rFonts w:ascii="Times New Roman;sans-serif" w:hAnsi="Times New Roman;sans-serif"/>
                  <w:b w:val="false"/>
                  <w:color w:val="0000FF"/>
                  <w:sz w:val="20"/>
                  <w:u w:val="single"/>
                </w:rPr>
                <w:t>13</w:t>
              </w:r>
            </w:hyperlink>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f5a0ebe87146159c7110a754333c3e_73">
              <w:r>
                <w:rPr>
                  <w:rStyle w:val="InternetLink"/>
                  <w:rFonts w:ascii="Times New Roman;sans-serif" w:hAnsi="Times New Roman;sans-serif"/>
                  <w:b w:val="false"/>
                  <w:color w:val="0000FF"/>
                  <w:sz w:val="20"/>
                  <w:u w:val="single"/>
                </w:rPr>
                <w:t>Note 10. Commitments and Contingencies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f5a0ebe87146159c7110a754333c3e_73">
              <w:r>
                <w:rPr>
                  <w:rStyle w:val="InternetLink"/>
                  <w:rFonts w:ascii="Times New Roman;sans-serif" w:hAnsi="Times New Roman;sans-serif"/>
                  <w:b w:val="false"/>
                  <w:color w:val="0000FF"/>
                  <w:sz w:val="20"/>
                  <w:u w:val="single"/>
                </w:rPr>
                <w:t>13</w:t>
              </w:r>
            </w:hyperlink>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f5a0ebe87146159c7110a754333c3e_76">
              <w:r>
                <w:rPr>
                  <w:rStyle w:val="InternetLink"/>
                  <w:rFonts w:ascii="Times New Roman;sans-serif" w:hAnsi="Times New Roman;sans-serif"/>
                  <w:b w:val="false"/>
                  <w:color w:val="0000FF"/>
                  <w:sz w:val="20"/>
                  <w:u w:val="single"/>
                </w:rPr>
                <w:t>Note 11. Income Taxes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f5a0ebe87146159c7110a754333c3e_76">
              <w:r>
                <w:rPr>
                  <w:rStyle w:val="InternetLink"/>
                  <w:rFonts w:ascii="Times New Roman;sans-serif" w:hAnsi="Times New Roman;sans-serif"/>
                  <w:b w:val="false"/>
                  <w:color w:val="0000FF"/>
                  <w:sz w:val="20"/>
                  <w:u w:val="single"/>
                </w:rPr>
                <w:t>14</w:t>
              </w:r>
            </w:hyperlink>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f5a0ebe87146159c7110a754333c3e_82">
              <w:r>
                <w:rPr>
                  <w:rStyle w:val="InternetLink"/>
                  <w:rFonts w:ascii="Times New Roman;sans-serif" w:hAnsi="Times New Roman;sans-serif"/>
                  <w:b w:val="false"/>
                  <w:color w:val="0000FF"/>
                  <w:sz w:val="20"/>
                  <w:u w:val="single"/>
                </w:rPr>
                <w:t>Note 12. Net Loss Per Common Share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f5a0ebe87146159c7110a754333c3e_82">
              <w:r>
                <w:rPr>
                  <w:rStyle w:val="InternetLink"/>
                  <w:rFonts w:ascii="Times New Roman;sans-serif" w:hAnsi="Times New Roman;sans-serif"/>
                  <w:b w:val="false"/>
                  <w:color w:val="0000FF"/>
                  <w:sz w:val="20"/>
                  <w:u w:val="single"/>
                </w:rPr>
                <w:t>14</w:t>
              </w:r>
            </w:hyperlink>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f5a0ebe87146159c7110a754333c3e_88">
              <w:r>
                <w:rPr>
                  <w:rStyle w:val="InternetLink"/>
                  <w:rFonts w:ascii="Times New Roman;sans-serif" w:hAnsi="Times New Roman;sans-serif"/>
                  <w:b w:val="false"/>
                  <w:color w:val="0000FF"/>
                  <w:sz w:val="20"/>
                  <w:u w:val="single"/>
                </w:rPr>
                <w:t>Note 13. Share-Based Compensation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f5a0ebe87146159c7110a754333c3e_88">
              <w:r>
                <w:rPr>
                  <w:rStyle w:val="InternetLink"/>
                  <w:rFonts w:ascii="Times New Roman;sans-serif" w:hAnsi="Times New Roman;sans-serif"/>
                  <w:b w:val="false"/>
                  <w:color w:val="0000FF"/>
                  <w:sz w:val="20"/>
                  <w:u w:val="single"/>
                </w:rPr>
                <w:t>15</w:t>
              </w:r>
            </w:hyperlink>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f5a0ebe87146159c7110a754333c3e_94">
              <w:r>
                <w:rPr>
                  <w:rStyle w:val="InternetLink"/>
                  <w:rFonts w:ascii="Times New Roman;sans-serif" w:hAnsi="Times New Roman;sans-serif"/>
                  <w:b w:val="false"/>
                  <w:color w:val="0000FF"/>
                  <w:sz w:val="20"/>
                  <w:u w:val="single"/>
                </w:rPr>
                <w:t>Note 14. Accumulated Other Comprehensive Income</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f5a0ebe87146159c7110a754333c3e_94">
              <w:r>
                <w:rPr>
                  <w:rStyle w:val="InternetLink"/>
                  <w:rFonts w:ascii="Times New Roman;sans-serif" w:hAnsi="Times New Roman;sans-serif"/>
                  <w:b w:val="false"/>
                  <w:color w:val="0000FF"/>
                  <w:sz w:val="20"/>
                  <w:u w:val="single"/>
                </w:rPr>
                <w:t>16</w:t>
              </w:r>
            </w:hyperlink>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f5a0ebe87146159c7110a754333c3e_100">
              <w:r>
                <w:rPr>
                  <w:rStyle w:val="InternetLink"/>
                  <w:rFonts w:ascii="Times New Roman;sans-serif" w:hAnsi="Times New Roman;sans-serif"/>
                  <w:b w:val="false"/>
                  <w:color w:val="0000FF"/>
                  <w:sz w:val="20"/>
                  <w:u w:val="single"/>
                </w:rPr>
                <w:t>Note 15. Fair Value Measurements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f5a0ebe87146159c7110a754333c3e_100">
              <w:r>
                <w:rPr>
                  <w:rStyle w:val="InternetLink"/>
                  <w:rFonts w:ascii="Times New Roman;sans-serif" w:hAnsi="Times New Roman;sans-serif"/>
                  <w:b w:val="false"/>
                  <w:color w:val="0000FF"/>
                  <w:sz w:val="20"/>
                  <w:u w:val="single"/>
                </w:rPr>
                <w:t>16</w:t>
              </w:r>
            </w:hyperlink>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f5a0ebe87146159c7110a754333c3e_1190">
              <w:r>
                <w:rPr>
                  <w:rStyle w:val="InternetLink"/>
                  <w:rFonts w:ascii="Times New Roman;sans-serif" w:hAnsi="Times New Roman;sans-serif"/>
                  <w:b w:val="false"/>
                  <w:color w:val="0000FF"/>
                  <w:sz w:val="20"/>
                  <w:u w:val="single"/>
                </w:rPr>
                <w:t>Note 16. Subsequent Events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f5a0ebe87146159c7110a754333c3e_1190">
              <w:r>
                <w:rPr>
                  <w:rStyle w:val="InternetLink"/>
                  <w:rFonts w:ascii="Times New Roman;sans-serif" w:hAnsi="Times New Roman;sans-serif"/>
                  <w:b w:val="false"/>
                  <w:color w:val="0000FF"/>
                  <w:sz w:val="20"/>
                  <w:u w:val="single"/>
                </w:rPr>
                <w:t>18</w:t>
              </w:r>
            </w:hyperlink>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f5a0ebe87146159c7110a754333c3e_103">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f5a0ebe87146159c7110a754333c3e_103">
              <w:r>
                <w:rPr>
                  <w:rStyle w:val="InternetLink"/>
                  <w:rFonts w:ascii="Times New Roman;sans-serif" w:hAnsi="Times New Roman;sans-serif"/>
                  <w:b w:val="false"/>
                  <w:color w:val="0000FF"/>
                  <w:sz w:val="20"/>
                  <w:u w:val="single"/>
                </w:rPr>
                <w:t>19</w:t>
              </w:r>
            </w:hyperlink>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f5a0ebe87146159c7110a754333c3e_124">
              <w:r>
                <w:rPr>
                  <w:rStyle w:val="InternetLink"/>
                  <w:rFonts w:ascii="Times New Roman;sans-serif" w:hAnsi="Times New Roman;sans-serif"/>
                  <w:b w:val="false"/>
                  <w:color w:val="0000FF"/>
                  <w:sz w:val="20"/>
                  <w:u w:val="single"/>
                </w:rPr>
                <w:t>Quantitative and Qualitative Disclosures About Market Risk</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f5a0ebe87146159c7110a754333c3e_124">
              <w:r>
                <w:rPr>
                  <w:rStyle w:val="InternetLink"/>
                  <w:rFonts w:ascii="Times New Roman;sans-serif" w:hAnsi="Times New Roman;sans-serif"/>
                  <w:b w:val="false"/>
                  <w:color w:val="0000FF"/>
                  <w:sz w:val="20"/>
                  <w:u w:val="single"/>
                </w:rPr>
                <w:t>24</w:t>
              </w:r>
            </w:hyperlink>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f5a0ebe87146159c7110a754333c3e_127">
              <w:r>
                <w:rPr>
                  <w:rStyle w:val="InternetLink"/>
                  <w:rFonts w:ascii="Times New Roman;sans-serif" w:hAnsi="Times New Roman;sans-serif"/>
                  <w:b w:val="false"/>
                  <w:color w:val="0000FF"/>
                  <w:sz w:val="20"/>
                  <w:u w:val="single"/>
                </w:rPr>
                <w:t>Controls and Procedures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f5a0ebe87146159c7110a754333c3e_127">
              <w:r>
                <w:rPr>
                  <w:rStyle w:val="InternetLink"/>
                  <w:rFonts w:ascii="Times New Roman;sans-serif" w:hAnsi="Times New Roman;sans-serif"/>
                  <w:b w:val="false"/>
                  <w:color w:val="0000FF"/>
                  <w:sz w:val="20"/>
                  <w:u w:val="single"/>
                </w:rPr>
                <w:t>25</w:t>
              </w:r>
            </w:hyperlink>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8f5a0ebe87146159c7110a754333c3e_130">
              <w:r>
                <w:rPr>
                  <w:rStyle w:val="InternetLink"/>
                  <w:rFonts w:ascii="Times New Roman;sans-serif" w:hAnsi="Times New Roman;sans-serif"/>
                  <w:b w:val="false"/>
                  <w:color w:val="0000FF"/>
                  <w:sz w:val="20"/>
                  <w:u w:val="single"/>
                </w:rPr>
                <w:t>PART II. 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f5a0ebe87146159c7110a754333c3e_130">
              <w:r>
                <w:rPr>
                  <w:rStyle w:val="InternetLink"/>
                  <w:rFonts w:ascii="Times New Roman;sans-serif" w:hAnsi="Times New Roman;sans-serif"/>
                  <w:b w:val="false"/>
                  <w:color w:val="0000FF"/>
                  <w:sz w:val="20"/>
                  <w:u w:val="single"/>
                </w:rPr>
                <w:t>26</w:t>
              </w:r>
            </w:hyperlink>
          </w:p>
        </w:tc>
      </w:tr>
      <w:tr>
        <w:trPr/>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f5a0ebe87146159c7110a754333c3e_133">
              <w:r>
                <w:rPr>
                  <w:rStyle w:val="InternetLink"/>
                  <w:rFonts w:ascii="Times New Roman;sans-serif" w:hAnsi="Times New Roman;sans-serif"/>
                  <w:b w:val="false"/>
                  <w:color w:val="0000FF"/>
                  <w:sz w:val="20"/>
                  <w:u w:val="single"/>
                </w:rPr>
                <w:t>Legal Proceedings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f5a0ebe87146159c7110a754333c3e_133">
              <w:r>
                <w:rPr>
                  <w:rStyle w:val="InternetLink"/>
                  <w:rFonts w:ascii="Times New Roman;sans-serif" w:hAnsi="Times New Roman;sans-serif"/>
                  <w:b w:val="false"/>
                  <w:color w:val="0000FF"/>
                  <w:sz w:val="20"/>
                  <w:u w:val="single"/>
                </w:rPr>
                <w:t>26</w:t>
              </w:r>
            </w:hyperlink>
          </w:p>
        </w:tc>
      </w:tr>
      <w:tr>
        <w:trPr/>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f5a0ebe87146159c7110a754333c3e_136">
              <w:r>
                <w:rPr>
                  <w:rStyle w:val="InternetLink"/>
                  <w:rFonts w:ascii="Times New Roman;sans-serif" w:hAnsi="Times New Roman;sans-serif"/>
                  <w:b w:val="false"/>
                  <w:color w:val="0000FF"/>
                  <w:sz w:val="20"/>
                  <w:u w:val="single"/>
                </w:rPr>
                <w:t>Risk Factors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f5a0ebe87146159c7110a754333c3e_136">
              <w:r>
                <w:rPr>
                  <w:rStyle w:val="InternetLink"/>
                  <w:rFonts w:ascii="Times New Roman;sans-serif" w:hAnsi="Times New Roman;sans-serif"/>
                  <w:b w:val="false"/>
                  <w:color w:val="0000FF"/>
                  <w:sz w:val="20"/>
                  <w:u w:val="single"/>
                </w:rPr>
                <w:t>26</w:t>
              </w:r>
            </w:hyperlink>
          </w:p>
        </w:tc>
      </w:tr>
      <w:tr>
        <w:trPr/>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f5a0ebe87146159c7110a754333c3e_139">
              <w:r>
                <w:rPr>
                  <w:rStyle w:val="InternetLink"/>
                  <w:rFonts w:ascii="Times New Roman;sans-serif" w:hAnsi="Times New Roman;sans-serif"/>
                  <w:b w:val="false"/>
                  <w:color w:val="0000FF"/>
                  <w:sz w:val="20"/>
                  <w:u w:val="single"/>
                </w:rPr>
                <w:t>Unregistered Sales of Equity Securities and Use of Proceeds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f5a0ebe87146159c7110a754333c3e_139">
              <w:r>
                <w:rPr>
                  <w:rStyle w:val="InternetLink"/>
                  <w:rFonts w:ascii="Times New Roman;sans-serif" w:hAnsi="Times New Roman;sans-serif"/>
                  <w:b w:val="false"/>
                  <w:color w:val="0000FF"/>
                  <w:sz w:val="20"/>
                  <w:u w:val="single"/>
                </w:rPr>
                <w:t>26</w:t>
              </w:r>
            </w:hyperlink>
          </w:p>
        </w:tc>
      </w:tr>
      <w:tr>
        <w:trPr/>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f5a0ebe87146159c7110a754333c3e_145">
              <w:r>
                <w:rPr>
                  <w:rStyle w:val="InternetLink"/>
                  <w:rFonts w:ascii="Times New Roman;sans-serif" w:hAnsi="Times New Roman;sans-serif"/>
                  <w:b w:val="false"/>
                  <w:color w:val="0000FF"/>
                  <w:sz w:val="20"/>
                  <w:u w:val="single"/>
                </w:rPr>
                <w:t>Defaults Upon Senior Securities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f5a0ebe87146159c7110a754333c3e_145">
              <w:r>
                <w:rPr>
                  <w:rStyle w:val="InternetLink"/>
                  <w:rFonts w:ascii="Times New Roman;sans-serif" w:hAnsi="Times New Roman;sans-serif"/>
                  <w:b w:val="false"/>
                  <w:color w:val="0000FF"/>
                  <w:sz w:val="20"/>
                  <w:u w:val="single"/>
                </w:rPr>
                <w:t>26</w:t>
              </w:r>
            </w:hyperlink>
          </w:p>
        </w:tc>
      </w:tr>
      <w:tr>
        <w:trPr/>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f5a0ebe87146159c7110a754333c3e_148">
              <w:r>
                <w:rPr>
                  <w:rStyle w:val="InternetLink"/>
                  <w:rFonts w:ascii="Times New Roman;sans-serif" w:hAnsi="Times New Roman;sans-serif"/>
                  <w:b w:val="false"/>
                  <w:color w:val="0000FF"/>
                  <w:sz w:val="20"/>
                  <w:u w:val="single"/>
                </w:rPr>
                <w:t>Mine Safety Disclosures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f5a0ebe87146159c7110a754333c3e_148">
              <w:r>
                <w:rPr>
                  <w:rStyle w:val="InternetLink"/>
                  <w:rFonts w:ascii="Times New Roman;sans-serif" w:hAnsi="Times New Roman;sans-serif"/>
                  <w:b w:val="false"/>
                  <w:color w:val="0000FF"/>
                  <w:sz w:val="20"/>
                  <w:u w:val="single"/>
                </w:rPr>
                <w:t>26</w:t>
              </w:r>
            </w:hyperlink>
          </w:p>
        </w:tc>
      </w:tr>
      <w:tr>
        <w:trPr/>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f5a0ebe87146159c7110a754333c3e_151">
              <w:r>
                <w:rPr>
                  <w:rStyle w:val="InternetLink"/>
                  <w:rFonts w:ascii="Times New Roman;sans-serif" w:hAnsi="Times New Roman;sans-serif"/>
                  <w:b w:val="false"/>
                  <w:color w:val="0000FF"/>
                  <w:sz w:val="20"/>
                  <w:u w:val="single"/>
                </w:rPr>
                <w:t>Other Information</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f5a0ebe87146159c7110a754333c3e_151">
              <w:r>
                <w:rPr>
                  <w:rStyle w:val="InternetLink"/>
                  <w:rFonts w:ascii="Times New Roman;sans-serif" w:hAnsi="Times New Roman;sans-serif"/>
                  <w:b w:val="false"/>
                  <w:color w:val="0000FF"/>
                  <w:sz w:val="20"/>
                  <w:u w:val="single"/>
                </w:rPr>
                <w:t>26</w:t>
              </w:r>
            </w:hyperlink>
          </w:p>
        </w:tc>
      </w:tr>
      <w:tr>
        <w:trPr/>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00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8f5a0ebe87146159c7110a754333c3e_154">
              <w:r>
                <w:rPr>
                  <w:rStyle w:val="InternetLink"/>
                  <w:rFonts w:ascii="Times New Roman;sans-serif" w:hAnsi="Times New Roman;sans-serif"/>
                  <w:b w:val="false"/>
                  <w:color w:val="0000FF"/>
                  <w:sz w:val="20"/>
                  <w:u w:val="single"/>
                </w:rPr>
                <w:t>Exhibits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f5a0ebe87146159c7110a754333c3e_154">
              <w:r>
                <w:rPr>
                  <w:rStyle w:val="InternetLink"/>
                  <w:rFonts w:ascii="Times New Roman;sans-serif" w:hAnsi="Times New Roman;sans-serif"/>
                  <w:b w:val="false"/>
                  <w:color w:val="0000FF"/>
                  <w:sz w:val="20"/>
                  <w:u w:val="single"/>
                </w:rPr>
                <w:t>27</w:t>
              </w:r>
            </w:hyperlink>
          </w:p>
        </w:tc>
      </w:tr>
      <w:tr>
        <w:trPr/>
        <w:tc>
          <w:tcPr>
            <w:tcW w:w="963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8f5a0ebe87146159c7110a754333c3e_157">
              <w:r>
                <w:rPr>
                  <w:rStyle w:val="InternetLink"/>
                  <w:rFonts w:ascii="Times New Roman;sans-serif" w:hAnsi="Times New Roman;sans-serif"/>
                  <w:b w:val="false"/>
                  <w:color w:val="0000FF"/>
                  <w:sz w:val="20"/>
                  <w:u w:val="single"/>
                </w:rPr>
                <w:t>SIGNATURES</w:t>
              </w:r>
            </w:hyperlink>
          </w:p>
        </w:tc>
        <w:tc>
          <w:tcPr>
            <w:tcW w:w="57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8f5a0ebe87146159c7110a754333c3e_157">
              <w:r>
                <w:rPr>
                  <w:rStyle w:val="InternetLink"/>
                  <w:rFonts w:ascii="Times New Roman;sans-serif" w:hAnsi="Times New Roman;sans-serif"/>
                  <w:b w:val="false"/>
                  <w:color w:val="0000FF"/>
                  <w:sz w:val="20"/>
                  <w:u w:val="single"/>
                </w:rPr>
                <w:t>28</w:t>
              </w:r>
            </w:hyperlink>
          </w:p>
        </w:tc>
      </w:tr>
    </w:tbl>
    <w:p>
      <w:pPr>
        <w:pStyle w:val="TextBody"/>
        <w:bidi w:val="0"/>
        <w:spacing w:before="240" w:after="3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2885"/>
                <wp:effectExtent l="0" t="0" r="0" b="0"/>
                <wp:wrapNone/>
                <wp:docPr id="3" name="Frame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18f5a0ebe87146159c7110a754333c3e_7">
        <w:r>
          <w:rPr>
            <w:rStyle w:val="InternetLink"/>
            <w:rFonts w:ascii="Times New Roman;sans-serif" w:hAnsi="Times New Roman;sans-serif"/>
            <w:b w:val="false"/>
            <w:color w:val="0000FF"/>
            <w:sz w:val="18"/>
            <w:u w:val="single"/>
          </w:rPr>
          <w:t>Table of Contents</w:t>
        </w:r>
      </w:hyperlink>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NN,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and Comprehensive Income (Loss)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833"/>
        <w:gridCol w:w="1378"/>
        <w:gridCol w:w="1382"/>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833"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June 30,</w:t>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252,294 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(exclusive of depreciation and amortization shown separately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216,105 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benefit (provision) for income taxes and share of net income from joint venture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of net income from joint venture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net of tax</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adjustments included in net loss, net of tax</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to calculate basic and diluted net loss per share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4"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18f5a0ebe87146159c7110a754333c3e_7">
        <w:r>
          <w:rPr>
            <w:rStyle w:val="InternetLink"/>
            <w:rFonts w:ascii="Times New Roman;sans-serif" w:hAnsi="Times New Roman;sans-serif"/>
            <w:b w:val="false"/>
            <w:color w:val="0000FF"/>
            <w:sz w:val="18"/>
            <w:u w:val="single"/>
          </w:rPr>
          <w:t>Table of Contents</w:t>
        </w:r>
      </w:hyperlink>
      <w:r>
        <w:rPr>
          <w:color w:val="000000"/>
        </w:rPr>
        <w:t>    </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NN,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w:t>
      </w:r>
    </w:p>
    <w:tbl>
      <w:tblPr>
        <w:tblW w:w="10205" w:type="dxa"/>
        <w:jc w:val="left"/>
        <w:tblInd w:w="0" w:type="dxa"/>
        <w:tblLayout w:type="fixed"/>
        <w:tblCellMar>
          <w:top w:w="28" w:type="dxa"/>
          <w:left w:w="28" w:type="dxa"/>
          <w:bottom w:w="28" w:type="dxa"/>
          <w:right w:w="28" w:type="dxa"/>
        </w:tblCellMar>
      </w:tblPr>
      <w:tblGrid>
        <w:gridCol w:w="2872"/>
        <w:gridCol w:w="2329"/>
        <w:gridCol w:w="2338"/>
        <w:gridCol w:w="211"/>
        <w:gridCol w:w="826"/>
        <w:gridCol w:w="109"/>
        <w:gridCol w:w="109"/>
        <w:gridCol w:w="109"/>
        <w:gridCol w:w="109"/>
        <w:gridCol w:w="211"/>
        <w:gridCol w:w="826"/>
        <w:gridCol w:w="156"/>
      </w:tblGrid>
      <w:tr>
        <w:trPr/>
        <w:tc>
          <w:tcPr>
            <w:tcW w:w="2872"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allowances of $1,660 and $1,241 at June 30, 2024 and December 31, 2023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65,545 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71,563 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11,885 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182,554 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of accumulated depreciation of $246,892 and $254,013 at June 30, 2024 and December 31, 2023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185,812 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43,357 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58,724 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joint venture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32,701 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497,234 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510,885 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Preferred Stock, and Stockholders’ Equity</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45,480 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wages and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15,464 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debt and current maturities of 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3,910 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operating lease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81,619 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 of current maturities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149,369 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net of current portion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24,827 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308,084 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10)</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Series D perpetual preferred stock - $0.01 par value per share, 65 shares authorized, issued and outstanding at June 30, 2024 and December 31, 2023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77,799 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 $0.01 par value per share, 90,000 shares authorized, 50,032 and 47,269 shares issued and outstanding at June 30, 2024 and December 31, 2023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457,632 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(295,348)</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preferred stock,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497,234 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510,885 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See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5"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18f5a0ebe87146159c7110a754333c3e_7">
        <w:r>
          <w:rPr>
            <w:rStyle w:val="InternetLink"/>
            <w:rFonts w:ascii="Times New Roman;sans-serif" w:hAnsi="Times New Roman;sans-serif"/>
            <w:b w:val="false"/>
            <w:color w:val="0000FF"/>
            <w:sz w:val="18"/>
            <w:u w:val="single"/>
          </w:rPr>
          <w:t>Table of Contents</w:t>
        </w:r>
      </w:hyperlink>
      <w:r>
        <w:rPr>
          <w:color w:val="000000"/>
        </w:rPr>
        <w:t>    </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NN,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Cash Flows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9788" w:type="dxa"/>
        <w:jc w:val="left"/>
        <w:tblInd w:w="0" w:type="dxa"/>
        <w:tblLayout w:type="fixed"/>
        <w:tblCellMar>
          <w:top w:w="28" w:type="dxa"/>
          <w:left w:w="28" w:type="dxa"/>
          <w:bottom w:w="28" w:type="dxa"/>
          <w:right w:w="28" w:type="dxa"/>
        </w:tblCellMar>
      </w:tblPr>
      <w:tblGrid>
        <w:gridCol w:w="2599"/>
        <w:gridCol w:w="2290"/>
        <w:gridCol w:w="2295"/>
        <w:gridCol w:w="211"/>
        <w:gridCol w:w="796"/>
        <w:gridCol w:w="109"/>
        <w:gridCol w:w="109"/>
        <w:gridCol w:w="109"/>
        <w:gridCol w:w="109"/>
        <w:gridCol w:w="211"/>
        <w:gridCol w:w="796"/>
        <w:gridCol w:w="154"/>
      </w:tblGrid>
      <w:tr>
        <w:trPr/>
        <w:tc>
          <w:tcPr>
            <w:tcW w:w="2599"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June 30,</w:t>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(used in) operating activities:</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discount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Paid-in-kind interest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 loss (gain), net of cash settlements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of net income from joint venture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assets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receivable and payable,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property, plant and equipment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property, plant,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long-term debt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long-term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debt issuance costs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184"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sale-leaseback of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sale-leaseback of land and buildings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financing obligations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short-term debt</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flows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cash equivalents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60" w:after="283"/>
        <w:jc w:val="center"/>
        <w:rPr>
          <w:rFonts w:ascii="Times New Roman;sans-serif" w:hAnsi="Times New Roman;sans-serif"/>
          <w:b/>
          <w:color w:val="000000"/>
          <w:sz w:val="20"/>
        </w:rPr>
      </w:pPr>
      <w:r>
        <w:rPr>
          <w:rFonts w:ascii="Times New Roman;sans-serif" w:hAnsi="Times New Roman;sans-serif"/>
          <w:b/>
          <w:color w:val="000000"/>
          <w:sz w:val="20"/>
        </w:rPr>
        <w:t>See notes to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18f5a0ebe87146159c7110a754333c3e_7">
        <w:r>
          <w:rPr>
            <w:rStyle w:val="InternetLink"/>
            <w:rFonts w:ascii="Times New Roman;sans-serif" w:hAnsi="Times New Roman;sans-serif"/>
            <w:b w:val="false"/>
            <w:color w:val="0000FF"/>
            <w:sz w:val="18"/>
            <w:u w:val="single"/>
          </w:rPr>
          <w:t>Table of Contents</w:t>
        </w:r>
      </w:hyperlink>
      <w:r>
        <w:rPr>
          <w:color w:val="000000"/>
        </w:rPr>
        <w:t>    </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NN,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Changes in Stockholders’ Equity </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June 30, 2024 and 2023 </w:t>
      </w:r>
    </w:p>
    <w:p>
      <w:pPr>
        <w:pStyle w:val="TextBody"/>
        <w:bidi w:val="0"/>
        <w:spacing w:lineRule="auto" w:line="288" w:before="0" w:after="0"/>
        <w:jc w:val="left"/>
        <w:rPr/>
      </w:pPr>
      <w:r>
        <w:rPr>
          <w:rFonts w:ascii="Times New Roman;sans-serif" w:hAnsi="Times New Roman;sans-serif"/>
          <w:b/>
          <w:color w:val="000000"/>
          <w:sz w:val="20"/>
        </w:rPr>
        <w:t>(Unaudited)</w:t>
      </w:r>
      <w:r>
        <w:rPr>
          <w:color w:val="000000"/>
        </w:rPr>
        <w:t> </w:t>
      </w:r>
    </w:p>
    <w:tbl>
      <w:tblPr>
        <w:tblW w:w="10205" w:type="dxa"/>
        <w:jc w:val="left"/>
        <w:tblInd w:w="0" w:type="dxa"/>
        <w:tblLayout w:type="fixed"/>
        <w:tblCellMar>
          <w:top w:w="28" w:type="dxa"/>
          <w:left w:w="28" w:type="dxa"/>
          <w:bottom w:w="28" w:type="dxa"/>
          <w:right w:w="28" w:type="dxa"/>
        </w:tblCellMar>
      </w:tblPr>
      <w:tblGrid>
        <w:gridCol w:w="975"/>
        <w:gridCol w:w="458"/>
        <w:gridCol w:w="459"/>
        <w:gridCol w:w="459"/>
        <w:gridCol w:w="282"/>
        <w:gridCol w:w="255"/>
        <w:gridCol w:w="109"/>
        <w:gridCol w:w="109"/>
        <w:gridCol w:w="109"/>
        <w:gridCol w:w="211"/>
        <w:gridCol w:w="466"/>
        <w:gridCol w:w="109"/>
        <w:gridCol w:w="109"/>
        <w:gridCol w:w="109"/>
        <w:gridCol w:w="109"/>
        <w:gridCol w:w="211"/>
        <w:gridCol w:w="826"/>
        <w:gridCol w:w="109"/>
        <w:gridCol w:w="109"/>
        <w:gridCol w:w="109"/>
        <w:gridCol w:w="109"/>
        <w:gridCol w:w="216"/>
        <w:gridCol w:w="872"/>
        <w:gridCol w:w="112"/>
        <w:gridCol w:w="109"/>
        <w:gridCol w:w="109"/>
        <w:gridCol w:w="109"/>
        <w:gridCol w:w="269"/>
        <w:gridCol w:w="943"/>
        <w:gridCol w:w="141"/>
        <w:gridCol w:w="109"/>
        <w:gridCol w:w="109"/>
        <w:gridCol w:w="109"/>
        <w:gridCol w:w="211"/>
        <w:gridCol w:w="826"/>
        <w:gridCol w:w="160"/>
      </w:tblGrid>
      <w:tr>
        <w:trPr/>
        <w:tc>
          <w:tcPr>
            <w:tcW w:w="97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w:t>
              <w:br/>
              <w:t>value</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5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2024</w:t>
            </w:r>
          </w:p>
        </w:tc>
        <w:tc>
          <w:tcPr>
            <w:tcW w:w="7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49,520 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(307,885)</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(40,550)</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116,141 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1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accrued for preferred stock</w:t>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(3,843)</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for warrants exercised</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under stock incentive plans, net of forfeitures</w:t>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shares surrendered for tax withholdings under stock incentive plans</w:t>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1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2024</w:t>
            </w:r>
          </w:p>
        </w:tc>
        <w:tc>
          <w:tcPr>
            <w:tcW w:w="7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50,032 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462,410 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(310,088)</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(44,386)</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108,436 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79"/>
        <w:gridCol w:w="460"/>
        <w:gridCol w:w="461"/>
        <w:gridCol w:w="459"/>
        <w:gridCol w:w="282"/>
        <w:gridCol w:w="254"/>
        <w:gridCol w:w="109"/>
        <w:gridCol w:w="109"/>
        <w:gridCol w:w="109"/>
        <w:gridCol w:w="211"/>
        <w:gridCol w:w="466"/>
        <w:gridCol w:w="109"/>
        <w:gridCol w:w="109"/>
        <w:gridCol w:w="109"/>
        <w:gridCol w:w="109"/>
        <w:gridCol w:w="211"/>
        <w:gridCol w:w="826"/>
        <w:gridCol w:w="109"/>
        <w:gridCol w:w="109"/>
        <w:gridCol w:w="109"/>
        <w:gridCol w:w="109"/>
        <w:gridCol w:w="216"/>
        <w:gridCol w:w="871"/>
        <w:gridCol w:w="111"/>
        <w:gridCol w:w="109"/>
        <w:gridCol w:w="109"/>
        <w:gridCol w:w="109"/>
        <w:gridCol w:w="268"/>
        <w:gridCol w:w="940"/>
        <w:gridCol w:w="140"/>
        <w:gridCol w:w="109"/>
        <w:gridCol w:w="109"/>
        <w:gridCol w:w="109"/>
        <w:gridCol w:w="211"/>
        <w:gridCol w:w="826"/>
        <w:gridCol w:w="160"/>
      </w:tblGrid>
      <w:tr>
        <w:trPr/>
        <w:tc>
          <w:tcPr>
            <w:tcW w:w="97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w:t>
              <w:br/>
              <w:t>value</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4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2023</w:t>
            </w:r>
          </w:p>
        </w:tc>
        <w:tc>
          <w:tcPr>
            <w:tcW w:w="7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43,772 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(255,373)</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(35,978)</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174,464 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accrued for preferred stock</w:t>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under stock incentive plans, net of forfeitures and tax withholdings</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shares surrendered for tax withholdings under stock incentive plans</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2023</w:t>
            </w:r>
          </w:p>
        </w:tc>
        <w:tc>
          <w:tcPr>
            <w:tcW w:w="7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47,019 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462,525 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(269,750)</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(38,801)</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154,444 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See notes to condensed consolidated financial statements (unaudited).</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18f5a0ebe87146159c7110a754333c3e_7">
        <w:r>
          <w:rPr>
            <w:rStyle w:val="InternetLink"/>
            <w:rFonts w:ascii="Times New Roman;sans-serif" w:hAnsi="Times New Roman;sans-serif"/>
            <w:b w:val="false"/>
            <w:color w:val="0000FF"/>
            <w:sz w:val="18"/>
            <w:u w:val="single"/>
          </w:rPr>
          <w:t>Table of Contents</w:t>
        </w:r>
      </w:hyperlink>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NN,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Changes in Stockholders’ Equity </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Six Months Ended June 30, 2024 and 2023 </w:t>
      </w:r>
    </w:p>
    <w:p>
      <w:pPr>
        <w:pStyle w:val="TextBody"/>
        <w:bidi w:val="0"/>
        <w:spacing w:lineRule="auto" w:line="288" w:before="0" w:after="0"/>
        <w:jc w:val="center"/>
        <w:rPr/>
      </w:pPr>
      <w:r>
        <w:rPr>
          <w:rFonts w:ascii="Times New Roman;sans-serif" w:hAnsi="Times New Roman;sans-serif"/>
          <w:b/>
          <w:color w:val="000000"/>
          <w:sz w:val="20"/>
        </w:rPr>
        <w:t>(Unaudited)</w:t>
      </w:r>
      <w:r>
        <w:rPr>
          <w:color w:val="000000"/>
        </w:rPr>
        <w:t> </w:t>
      </w:r>
    </w:p>
    <w:tbl>
      <w:tblPr>
        <w:tblW w:w="10205" w:type="dxa"/>
        <w:jc w:val="left"/>
        <w:tblInd w:w="0" w:type="dxa"/>
        <w:tblLayout w:type="fixed"/>
        <w:tblCellMar>
          <w:top w:w="28" w:type="dxa"/>
          <w:left w:w="28" w:type="dxa"/>
          <w:bottom w:w="28" w:type="dxa"/>
          <w:right w:w="28" w:type="dxa"/>
        </w:tblCellMar>
      </w:tblPr>
      <w:tblGrid>
        <w:gridCol w:w="975"/>
        <w:gridCol w:w="458"/>
        <w:gridCol w:w="459"/>
        <w:gridCol w:w="459"/>
        <w:gridCol w:w="282"/>
        <w:gridCol w:w="255"/>
        <w:gridCol w:w="109"/>
        <w:gridCol w:w="109"/>
        <w:gridCol w:w="109"/>
        <w:gridCol w:w="211"/>
        <w:gridCol w:w="466"/>
        <w:gridCol w:w="109"/>
        <w:gridCol w:w="109"/>
        <w:gridCol w:w="109"/>
        <w:gridCol w:w="109"/>
        <w:gridCol w:w="211"/>
        <w:gridCol w:w="826"/>
        <w:gridCol w:w="109"/>
        <w:gridCol w:w="109"/>
        <w:gridCol w:w="109"/>
        <w:gridCol w:w="109"/>
        <w:gridCol w:w="216"/>
        <w:gridCol w:w="872"/>
        <w:gridCol w:w="112"/>
        <w:gridCol w:w="109"/>
        <w:gridCol w:w="109"/>
        <w:gridCol w:w="109"/>
        <w:gridCol w:w="269"/>
        <w:gridCol w:w="943"/>
        <w:gridCol w:w="141"/>
        <w:gridCol w:w="109"/>
        <w:gridCol w:w="109"/>
        <w:gridCol w:w="109"/>
        <w:gridCol w:w="211"/>
        <w:gridCol w:w="826"/>
        <w:gridCol w:w="160"/>
      </w:tblGrid>
      <w:tr>
        <w:trPr/>
        <w:tc>
          <w:tcPr>
            <w:tcW w:w="975"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w:t>
              <w:br/>
              <w:t>value</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5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7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47,269 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(295,348)</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1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accrued for preferred stock</w:t>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(7,513)</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for warrants exercised</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11,376 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under stock incentive plans, net of forfeitures</w:t>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shares surrendered for tax withholdings under stock incentive plans</w:t>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1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2024</w:t>
            </w:r>
          </w:p>
        </w:tc>
        <w:tc>
          <w:tcPr>
            <w:tcW w:w="74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50,032 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462,410 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(310,088)</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(44,386)</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108,436 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979"/>
        <w:gridCol w:w="460"/>
        <w:gridCol w:w="461"/>
        <w:gridCol w:w="459"/>
        <w:gridCol w:w="282"/>
        <w:gridCol w:w="254"/>
        <w:gridCol w:w="109"/>
        <w:gridCol w:w="109"/>
        <w:gridCol w:w="109"/>
        <w:gridCol w:w="211"/>
        <w:gridCol w:w="466"/>
        <w:gridCol w:w="109"/>
        <w:gridCol w:w="109"/>
        <w:gridCol w:w="109"/>
        <w:gridCol w:w="109"/>
        <w:gridCol w:w="211"/>
        <w:gridCol w:w="826"/>
        <w:gridCol w:w="109"/>
        <w:gridCol w:w="109"/>
        <w:gridCol w:w="109"/>
        <w:gridCol w:w="109"/>
        <w:gridCol w:w="216"/>
        <w:gridCol w:w="871"/>
        <w:gridCol w:w="111"/>
        <w:gridCol w:w="109"/>
        <w:gridCol w:w="109"/>
        <w:gridCol w:w="109"/>
        <w:gridCol w:w="268"/>
        <w:gridCol w:w="940"/>
        <w:gridCol w:w="140"/>
        <w:gridCol w:w="109"/>
        <w:gridCol w:w="109"/>
        <w:gridCol w:w="109"/>
        <w:gridCol w:w="211"/>
        <w:gridCol w:w="826"/>
        <w:gridCol w:w="160"/>
      </w:tblGrid>
      <w:tr>
        <w:trPr/>
        <w:tc>
          <w:tcPr>
            <w:tcW w:w="97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w:t>
              <w:br/>
              <w:t>value</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4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97"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7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43,856 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(245,198)</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(37,120)</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186,264 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accrued for preferred stock</w:t>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(6,247)</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issued under stock incentive plans, net of forfeitures and tax withholdings</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3,306 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shares surrendered for tax withholdings under stock incentive plans</w:t>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1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0"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1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2023</w:t>
            </w:r>
          </w:p>
        </w:tc>
        <w:tc>
          <w:tcPr>
            <w:tcW w:w="7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47,019 </w:t>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462,525 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(269,750)</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(38,801)</w:t>
            </w:r>
          </w:p>
        </w:tc>
        <w:tc>
          <w:tcPr>
            <w:tcW w:w="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154,444 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ans-serif" w:hAnsi="Times New Roman;sans-serif"/>
          <w:b/>
          <w:color w:val="000000"/>
          <w:sz w:val="20"/>
        </w:rPr>
      </w:pPr>
      <w:r>
        <w:rPr>
          <w:rFonts w:ascii="Times New Roman;sans-serif" w:hAnsi="Times New Roman;sans-serif"/>
          <w:b/>
          <w:color w:val="000000"/>
          <w:sz w:val="20"/>
        </w:rPr>
        <w:t>See notes to condensed consolidated financial statements (unaudited).</w:t>
      </w:r>
    </w:p>
    <w:p>
      <w:pPr>
        <w:pStyle w:val="TextBody"/>
        <w:bidi w:val="0"/>
        <w:spacing w:before="1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18f5a0ebe87146159c7110a754333c3e_7">
        <w:r>
          <w:rPr>
            <w:rStyle w:val="InternetLink"/>
            <w:rFonts w:ascii="Times New Roman;sans-serif" w:hAnsi="Times New Roman;sans-serif"/>
            <w:b w:val="false"/>
            <w:color w:val="0000FF"/>
            <w:sz w:val="18"/>
            <w:u w:val="single"/>
          </w:rPr>
          <w:t>Table of Contents</w:t>
        </w:r>
      </w:hyperlink>
      <w:r>
        <w:rPr>
          <w:color w:val="000000"/>
        </w:rPr>
        <w:t>    </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NN, Inc.</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June 30, 2024</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 xml:space="preserve">Note 1. Interim Financial Statements </w:t>
      </w:r>
    </w:p>
    <w:p>
      <w:pPr>
        <w:pStyle w:val="TextBody"/>
        <w:bidi w:val="0"/>
        <w:spacing w:lineRule="auto" w:line="288" w:before="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Nature of Business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NN, Inc., a Delaware corporation, is a diversified industrial company that combines advanced engineering and production capabilities with in-depth materials science expertise to design and manufacture high-precision components and assemblies for a variety of end markets on a global basis. As of June 30, 2024, we had 27 facilities in North America, Europe, South America, and Asia. As used in this Quarterly Report on Form 10-Q (this “Quarterly Report”), the terms “NN,” the “Company,” “we,” “our,” or “us” refer to NN, Inc. and its subsidiaries. </w:t>
      </w:r>
    </w:p>
    <w:p>
      <w:pPr>
        <w:pStyle w:val="TextBody"/>
        <w:bidi w:val="0"/>
        <w:spacing w:lineRule="auto" w:line="288" w:before="18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condensed consolidated financial statements have not been audited. The Condensed Consolidated Balance Sheet as of December 31, 2023, was derived from the audited consolidated financial statements included in our Annual Report on Form 10-K for the year ended December 31, 2023 (the “2023 Annual Report”), which we filed with the U.S. Securities and Exchange Commission (the “SEC”) on March 12, 2024. In management’s opinion, the accompanying unaudited condensed consolidated financial statements reflect all adjustments necessary to fairly state our results of operations for the three and six months ended June 30, 2024 and 2023; financial position as of June 30, 2024 and December 31, 2023; and cash flows for the six months ended June 30, 2024 and 2023, on a basis consistent with our audited consolidated financial statements. These adjustments are of a normal recurring nature and are, in the opinion of management, necessary to state fairly the Company’s financial position and operating results for the interim periods. Certain prior period amounts have been reclassified to conform to the current year’s presentation.</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Certain information and footnote disclosures normally included in the consolidated financial statements prepared in accordance with accounting principles generally accepted in the United States (“U.S. GAAP”) have been condensed or omitted from the unaudited condensed consolidated financial statements presented in this Quarterly Report. These unaudited condensed consolidated financial statements should be read in conjunction with our audited consolidated financial statements and accompanying notes included in the 2023 Annual Report. The results for the three and six months ended June 30, 2024, are not necessarily indicative of results for the year ending December 31, 2024, or any other future periods.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Except for per share data or as otherwise indicated, all U.S. dollar amounts and share counts presented in the tables in these Notes to Condensed Consolidated Financial Statements are in thousands.</w:t>
      </w:r>
    </w:p>
    <w:p>
      <w:pPr>
        <w:pStyle w:val="TextBody"/>
        <w:bidi w:val="0"/>
        <w:spacing w:lineRule="auto" w:line="288" w:before="18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Accounting Standards Not Yet Adopted</w:t>
      </w:r>
    </w:p>
    <w:p>
      <w:pPr>
        <w:pStyle w:val="TextBody"/>
        <w:bidi w:val="0"/>
        <w:spacing w:lineRule="auto" w:line="288" w:before="0" w:after="120"/>
        <w:jc w:val="left"/>
        <w:rPr/>
      </w:pPr>
      <w:r>
        <w:rPr>
          <w:rFonts w:ascii="Times New Roman;sans-serif" w:hAnsi="Times New Roman;sans-serif"/>
          <w:b w:val="false"/>
          <w:color w:val="000000"/>
          <w:sz w:val="20"/>
        </w:rPr>
        <w:t xml:space="preserve">In November 2023, the Financial Accounting Standards Board (“FASB”) issued Accounting Standards Update 2023-07, </w:t>
      </w:r>
      <w:r>
        <w:rPr>
          <w:rFonts w:ascii="Times New Roman;sans-serif" w:hAnsi="Times New Roman;sans-serif"/>
          <w:b w:val="false"/>
          <w:i/>
          <w:color w:val="000000"/>
          <w:sz w:val="20"/>
        </w:rPr>
        <w:t xml:space="preserve">Segment Reporting (Topic 832): Improvements to Reportable Segment Disclosures </w:t>
      </w:r>
      <w:r>
        <w:rPr>
          <w:rFonts w:ascii="Times New Roman;sans-serif" w:hAnsi="Times New Roman;sans-serif"/>
          <w:b w:val="false"/>
          <w:color w:val="000000"/>
          <w:sz w:val="20"/>
        </w:rPr>
        <w:t>(“ASU 2023-07”), which requires additional disclosures related to reportable segments, including significant segment expenses and other segment items. ASU 2023-07 also permits entities to disclose more than one measure of a segment’s profit or loss and requires quarterly disclosure of certain information that is now only required annually. The new segment disclosures are effective for fiscal years beginning after December 15, 2023, and interim periods within fiscal years beginning after December 15, 2024. We plan to adopt ASU 2023-07 in our Form 10-K for the year ended December 31, 2024 on a retrospective basis and are in the process of assessing the impact on our disclosures.</w:t>
      </w:r>
    </w:p>
    <w:p>
      <w:pPr>
        <w:pStyle w:val="TextBody"/>
        <w:bidi w:val="0"/>
        <w:spacing w:lineRule="auto" w:line="288" w:before="18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Accounts Receivable Sales Programs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participate in programs established by our customers, which allows us to sell certain receivables from that customer on a non-recourse basis to a third-party financial institution. During the six months ended June 30, 2024 and 2023, we incurred fees of $0.6 million and $0.5 million, respectively, related to the sale of receivables, which is recorded in the Other expense (income), net line item on the Condensed Consolidated Statements of Operations and Comprehensive Income (Loss).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 xml:space="preserve">Note 2. Segment Information </w:t>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aggregated into the following two reportable segments:</w:t>
      </w:r>
    </w:p>
    <w:p>
      <w:pPr>
        <w:pStyle w:val="TextBody"/>
        <w:bidi w:val="0"/>
        <w:spacing w:lineRule="auto" w:line="288" w:before="0" w:after="60"/>
        <w:ind w:left="0" w:right="0" w:hanging="360"/>
        <w:jc w:val="left"/>
        <w:rPr/>
      </w:pPr>
      <w:r>
        <w:rPr>
          <w:color w:val="000000"/>
        </w:rPr>
        <w:t>•</w:t>
      </w:r>
      <w:r>
        <w:rPr>
          <w:rFonts w:ascii="Times New Roman;sans-serif" w:hAnsi="Times New Roman;sans-serif"/>
          <w:b w:val="false"/>
          <w:color w:val="000000"/>
          <w:sz w:val="20"/>
        </w:rPr>
        <w:t>Mobile Solutions, which is focused on growth in the automotive, general industrial, and medical end markets;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Power Solutions, which is focused on growth in the electrical, general industrial, automotive, and medical end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18f5a0ebe87146159c7110a754333c3e_7">
        <w:r>
          <w:rPr>
            <w:rStyle w:val="InternetLink"/>
            <w:rFonts w:ascii="Times New Roman;sans-serif" w:hAnsi="Times New Roman;sans-serif"/>
            <w:b w:val="false"/>
            <w:color w:val="0000FF"/>
            <w:sz w:val="18"/>
            <w:u w:val="single"/>
          </w:rPr>
          <w:t>Table of Contents</w:t>
        </w:r>
      </w:hyperlink>
      <w:r>
        <w:rPr>
          <w:color w:val="000000"/>
        </w:rPr>
        <w:t>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components are operating segments as each engages in business activities for which it earns revenues and incurs expenses, discrete financial information is available for each, and this is the level at which the chief operating decision maker reviews discrete financial information for purposes of allocating resources and assessing performance.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our financial performance by reportable segment. </w:t>
      </w:r>
    </w:p>
    <w:tbl>
      <w:tblPr>
        <w:tblW w:w="8280" w:type="dxa"/>
        <w:jc w:val="left"/>
        <w:tblInd w:w="0" w:type="dxa"/>
        <w:tblLayout w:type="fixed"/>
        <w:tblCellMar>
          <w:top w:w="28" w:type="dxa"/>
          <w:left w:w="28" w:type="dxa"/>
          <w:bottom w:w="28" w:type="dxa"/>
          <w:right w:w="28" w:type="dxa"/>
        </w:tblCellMar>
      </w:tblPr>
      <w:tblGrid>
        <w:gridCol w:w="968"/>
        <w:gridCol w:w="845"/>
        <w:gridCol w:w="85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96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June 30,</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 Solutions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Solutions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sales eliminations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Mobile Solutions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Solutions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Note 3. Revenue from Contracts with Customers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is recognized when control of the good or service is transferred to the customer either at a point in time or, in limited circumstances, as our services are rendered over time. Revenue is measured as the amount of consideration we expect to receive in exchange for transferring goods or services.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revenue by customer industry. Our products in the automotive industry include high-precision components and assemblies for electric power steering systems, electric braking, electric motors, fuel systems, emissions control, transmissions, moldings, stampings, sensors, and electrical contacts. Our products in the general industrial industry include high-precision metal and plastic components for a variety of industrial applications including diesel industrial motors, heating and cooling systems, fluid power systems, power tools, and more. While many of the industries we serve include electrical components, our products in the residential/commercial electrical industry category in the following tables include components used in smart meters, charging stations, circuit breakers, transformers, electrical contact assemblies, precision stampings, welded contact assemblies, specification plating, and surface finishing. The other category includes products sold in aerospace, defense, medical, and other industries. </w:t>
      </w:r>
    </w:p>
    <w:tbl>
      <w:tblPr>
        <w:tblW w:w="8230" w:type="dxa"/>
        <w:jc w:val="left"/>
        <w:tblInd w:w="0" w:type="dxa"/>
        <w:tblLayout w:type="fixed"/>
        <w:tblCellMar>
          <w:top w:w="28" w:type="dxa"/>
          <w:left w:w="28" w:type="dxa"/>
          <w:bottom w:w="28" w:type="dxa"/>
          <w:right w:w="28" w:type="dxa"/>
        </w:tblCellMar>
      </w:tblPr>
      <w:tblGrid>
        <w:gridCol w:w="1058"/>
        <w:gridCol w:w="929"/>
        <w:gridCol w:w="938"/>
        <w:gridCol w:w="211"/>
        <w:gridCol w:w="721"/>
        <w:gridCol w:w="109"/>
        <w:gridCol w:w="109"/>
        <w:gridCol w:w="109"/>
        <w:gridCol w:w="109"/>
        <w:gridCol w:w="211"/>
        <w:gridCol w:w="721"/>
        <w:gridCol w:w="109"/>
        <w:gridCol w:w="109"/>
        <w:gridCol w:w="109"/>
        <w:gridCol w:w="109"/>
        <w:gridCol w:w="305"/>
        <w:gridCol w:w="587"/>
        <w:gridCol w:w="159"/>
        <w:gridCol w:w="109"/>
        <w:gridCol w:w="109"/>
        <w:gridCol w:w="109"/>
        <w:gridCol w:w="211"/>
        <w:gridCol w:w="826"/>
        <w:gridCol w:w="154"/>
      </w:tblGrid>
      <w:tr>
        <w:trPr/>
        <w:tc>
          <w:tcPr>
            <w:tcW w:w="105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Three Months Ended June 30, 2024</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Mobile</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Power</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Intersegment</w:t>
              <w:br/>
              <w:t>Sales</w:t>
              <w:b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Industrial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Residential/Commercial Electrical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230" w:type="dxa"/>
        <w:jc w:val="left"/>
        <w:tblInd w:w="0" w:type="dxa"/>
        <w:tblLayout w:type="fixed"/>
        <w:tblCellMar>
          <w:top w:w="28" w:type="dxa"/>
          <w:left w:w="28" w:type="dxa"/>
          <w:bottom w:w="28" w:type="dxa"/>
          <w:right w:w="28" w:type="dxa"/>
        </w:tblCellMar>
      </w:tblPr>
      <w:tblGrid>
        <w:gridCol w:w="1058"/>
        <w:gridCol w:w="929"/>
        <w:gridCol w:w="938"/>
        <w:gridCol w:w="211"/>
        <w:gridCol w:w="721"/>
        <w:gridCol w:w="109"/>
        <w:gridCol w:w="109"/>
        <w:gridCol w:w="109"/>
        <w:gridCol w:w="109"/>
        <w:gridCol w:w="211"/>
        <w:gridCol w:w="721"/>
        <w:gridCol w:w="109"/>
        <w:gridCol w:w="109"/>
        <w:gridCol w:w="109"/>
        <w:gridCol w:w="109"/>
        <w:gridCol w:w="305"/>
        <w:gridCol w:w="587"/>
        <w:gridCol w:w="159"/>
        <w:gridCol w:w="109"/>
        <w:gridCol w:w="109"/>
        <w:gridCol w:w="109"/>
        <w:gridCol w:w="211"/>
        <w:gridCol w:w="826"/>
        <w:gridCol w:w="154"/>
      </w:tblGrid>
      <w:tr>
        <w:trPr/>
        <w:tc>
          <w:tcPr>
            <w:tcW w:w="105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Three Months Ended June 30, 2023</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Mobile</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Power</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Intersegment</w:t>
              <w:br/>
              <w:t>Sales</w:t>
              <w:b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Industrial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Residential/Commercial Electrical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125,206 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18f5a0ebe87146159c7110a754333c3e_7">
        <w:r>
          <w:rPr>
            <w:rStyle w:val="InternetLink"/>
            <w:rFonts w:ascii="Times New Roman;sans-serif" w:hAnsi="Times New Roman;sans-serif"/>
            <w:b w:val="false"/>
            <w:color w:val="0000FF"/>
            <w:sz w:val="18"/>
            <w:u w:val="single"/>
          </w:rPr>
          <w:t>Table of Contents</w:t>
        </w:r>
      </w:hyperlink>
      <w:r>
        <w:rPr>
          <w:color w:val="000000"/>
        </w:rPr>
        <w:t>    </w:t>
      </w:r>
    </w:p>
    <w:tbl>
      <w:tblPr>
        <w:tblW w:w="8335" w:type="dxa"/>
        <w:jc w:val="left"/>
        <w:tblInd w:w="0" w:type="dxa"/>
        <w:tblLayout w:type="fixed"/>
        <w:tblCellMar>
          <w:top w:w="28" w:type="dxa"/>
          <w:left w:w="28" w:type="dxa"/>
          <w:bottom w:w="28" w:type="dxa"/>
          <w:right w:w="28" w:type="dxa"/>
        </w:tblCellMar>
      </w:tblPr>
      <w:tblGrid>
        <w:gridCol w:w="1058"/>
        <w:gridCol w:w="929"/>
        <w:gridCol w:w="938"/>
        <w:gridCol w:w="211"/>
        <w:gridCol w:w="826"/>
        <w:gridCol w:w="109"/>
        <w:gridCol w:w="109"/>
        <w:gridCol w:w="109"/>
        <w:gridCol w:w="109"/>
        <w:gridCol w:w="211"/>
        <w:gridCol w:w="721"/>
        <w:gridCol w:w="109"/>
        <w:gridCol w:w="109"/>
        <w:gridCol w:w="109"/>
        <w:gridCol w:w="109"/>
        <w:gridCol w:w="276"/>
        <w:gridCol w:w="631"/>
        <w:gridCol w:w="144"/>
        <w:gridCol w:w="109"/>
        <w:gridCol w:w="109"/>
        <w:gridCol w:w="109"/>
        <w:gridCol w:w="211"/>
        <w:gridCol w:w="826"/>
        <w:gridCol w:w="154"/>
      </w:tblGrid>
      <w:tr>
        <w:trPr/>
        <w:tc>
          <w:tcPr>
            <w:tcW w:w="105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Six Months Ended June 30, 2024</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Mobile</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Power</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Intersegment</w:t>
              <w:br/>
              <w:t>Sales</w:t>
              <w:b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Industrial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Residential/Commercial Electrical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8335" w:type="dxa"/>
        <w:jc w:val="left"/>
        <w:tblInd w:w="0" w:type="dxa"/>
        <w:tblLayout w:type="fixed"/>
        <w:tblCellMar>
          <w:top w:w="28" w:type="dxa"/>
          <w:left w:w="28" w:type="dxa"/>
          <w:bottom w:w="28" w:type="dxa"/>
          <w:right w:w="28" w:type="dxa"/>
        </w:tblCellMar>
      </w:tblPr>
      <w:tblGrid>
        <w:gridCol w:w="1058"/>
        <w:gridCol w:w="929"/>
        <w:gridCol w:w="938"/>
        <w:gridCol w:w="211"/>
        <w:gridCol w:w="826"/>
        <w:gridCol w:w="109"/>
        <w:gridCol w:w="109"/>
        <w:gridCol w:w="109"/>
        <w:gridCol w:w="109"/>
        <w:gridCol w:w="211"/>
        <w:gridCol w:w="721"/>
        <w:gridCol w:w="109"/>
        <w:gridCol w:w="109"/>
        <w:gridCol w:w="109"/>
        <w:gridCol w:w="109"/>
        <w:gridCol w:w="305"/>
        <w:gridCol w:w="587"/>
        <w:gridCol w:w="159"/>
        <w:gridCol w:w="109"/>
        <w:gridCol w:w="109"/>
        <w:gridCol w:w="109"/>
        <w:gridCol w:w="211"/>
        <w:gridCol w:w="826"/>
        <w:gridCol w:w="154"/>
      </w:tblGrid>
      <w:tr>
        <w:trPr/>
        <w:tc>
          <w:tcPr>
            <w:tcW w:w="105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Six Months Ended June 30, 2023</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Mobile</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Power</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Intersegment</w:t>
              <w:br/>
              <w:t>Sales</w:t>
              <w:b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Automotive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Industrial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Residential/Commercial Electrical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Deferred Revenue</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revenue relates to payments received in advance of performance under the contract and recognized as revenue as (or when) we perform under the contract. The balance of deferred revenue was $0.2 million and $0.4 million as of June 30, 2024 and December 31, 2023, respectively. Revenue recognized for performance obligations satisfied or partially satisfied during the six months ended June 30, 2024 included $0.4 million that was included in deferred revenue as of December 31, 2023. </w:t>
      </w:r>
    </w:p>
    <w:p>
      <w:pPr>
        <w:pStyle w:val="TextBody"/>
        <w:bidi w:val="0"/>
        <w:spacing w:lineRule="auto" w:line="288" w:before="18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Transaction Price Allocated to Future Performance Obligations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are required to disclose the aggregate amount of transaction price that is allocated to performance obligations that have not yet been satisfied as of June 30, 2024, unless our contracts meet one of the practical expedients. Our contracts met the practical expedient for a performance obligation that is part of a contract that has an original expected duration of one year or less.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 xml:space="preserve">Note 4. Inventories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are comprised of the following amounts:</w:t>
      </w:r>
    </w:p>
    <w:tbl>
      <w:tblPr>
        <w:tblW w:w="4510" w:type="dxa"/>
        <w:jc w:val="left"/>
        <w:tblInd w:w="0" w:type="dxa"/>
        <w:tblLayout w:type="fixed"/>
        <w:tblCellMar>
          <w:top w:w="28" w:type="dxa"/>
          <w:left w:w="28" w:type="dxa"/>
          <w:bottom w:w="28" w:type="dxa"/>
          <w:right w:w="28" w:type="dxa"/>
        </w:tblCellMar>
      </w:tblPr>
      <w:tblGrid>
        <w:gridCol w:w="548"/>
        <w:gridCol w:w="481"/>
        <w:gridCol w:w="485"/>
        <w:gridCol w:w="228"/>
        <w:gridCol w:w="779"/>
        <w:gridCol w:w="117"/>
        <w:gridCol w:w="109"/>
        <w:gridCol w:w="109"/>
        <w:gridCol w:w="109"/>
        <w:gridCol w:w="300"/>
        <w:gridCol w:w="1026"/>
        <w:gridCol w:w="219"/>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23,764 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25,456 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21,357 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68,291 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71,563 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 xml:space="preserve">Note 5. Intangible Assets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changes in the carrying amount of intangible assets, net, by reportable segment.</w:t>
      </w:r>
    </w:p>
    <w:tbl>
      <w:tblPr>
        <w:tblW w:w="6897" w:type="dxa"/>
        <w:jc w:val="left"/>
        <w:tblInd w:w="0" w:type="dxa"/>
        <w:tblLayout w:type="fixed"/>
        <w:tblCellMar>
          <w:top w:w="28" w:type="dxa"/>
          <w:left w:w="28" w:type="dxa"/>
          <w:bottom w:w="28" w:type="dxa"/>
          <w:right w:w="28" w:type="dxa"/>
        </w:tblCellMar>
      </w:tblPr>
      <w:tblGrid>
        <w:gridCol w:w="1114"/>
        <w:gridCol w:w="977"/>
        <w:gridCol w:w="984"/>
        <w:gridCol w:w="211"/>
        <w:gridCol w:w="721"/>
        <w:gridCol w:w="109"/>
        <w:gridCol w:w="109"/>
        <w:gridCol w:w="109"/>
        <w:gridCol w:w="109"/>
        <w:gridCol w:w="211"/>
        <w:gridCol w:w="721"/>
        <w:gridCol w:w="109"/>
        <w:gridCol w:w="109"/>
        <w:gridCol w:w="109"/>
        <w:gridCol w:w="109"/>
        <w:gridCol w:w="211"/>
        <w:gridCol w:w="721"/>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Mobile</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Power</w:t>
              <w:br/>
              <w:t>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Reclassified to assets held for sale </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w:t>
      </w:r>
    </w:p>
    <w:p>
      <w:pPr>
        <w:pStyle w:val="TextBody"/>
        <w:bidi w:val="0"/>
        <w:spacing w:lineRule="auto" w:line="288" w:before="6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Represents customer relationships associated with the Industrial Molding Corporation business, which was classified as held for sale as of June 30, 2024 (see Note 16).</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are reviewed for impairment when changes in circumstances indicate the carrying value of those assets may not be recoverable. There were no impairment charges for the six months ended June 30,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18f5a0ebe87146159c7110a754333c3e_7">
        <w:r>
          <w:rPr>
            <w:rStyle w:val="InternetLink"/>
            <w:rFonts w:ascii="Times New Roman;sans-serif" w:hAnsi="Times New Roman;sans-serif"/>
            <w:b w:val="false"/>
            <w:color w:val="0000FF"/>
            <w:sz w:val="18"/>
            <w:u w:val="single"/>
          </w:rPr>
          <w:t>Table of Contents</w:t>
        </w:r>
      </w:hyperlink>
      <w:r>
        <w:rPr>
          <w:color w:val="000000"/>
        </w:rPr>
        <w:t>    </w:t>
      </w: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 xml:space="preserve">Note 6. Investment in Joint Venture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own a 49% investment in Wuxi Weifu Autocam Precision Machinery Company, Ltd. (the “JV”), a joint venture located in Wuxi, China. The JV is jointly controlled and managed, and we account for it under the equity method, with the share of net income from the joint venture recorded in the Mobile Solutions segment.</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changes in our investment in the JV.</w:t>
      </w:r>
    </w:p>
    <w:tbl>
      <w:tblPr>
        <w:tblW w:w="3905" w:type="dxa"/>
        <w:jc w:val="left"/>
        <w:tblInd w:w="0" w:type="dxa"/>
        <w:tblLayout w:type="fixed"/>
        <w:tblCellMar>
          <w:top w:w="28" w:type="dxa"/>
          <w:left w:w="28" w:type="dxa"/>
          <w:bottom w:w="28" w:type="dxa"/>
          <w:right w:w="28" w:type="dxa"/>
        </w:tblCellMar>
      </w:tblPr>
      <w:tblGrid>
        <w:gridCol w:w="1021"/>
        <w:gridCol w:w="896"/>
        <w:gridCol w:w="902"/>
        <w:gridCol w:w="211"/>
        <w:gridCol w:w="721"/>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of earnings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loss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 xml:space="preserve">Note 7. Debt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March 22, 2021, we entered into a $150.0 million term loan facility (as amended from time to time, the “Term Loan Facility”) and a $50.0 million asset backed credit facility (as amended from time to time, the “ABL Facility”). On March 3, 2023, we amended the Term Loan Facility and ABL Facility to adjust certain covenants under the agreements, as well as to replace references to LIBOR with Secured Overnight Financing Rate (“SOFR”) for interest rate calculations. The following table presents the outstanding debt balances.</w:t>
      </w:r>
    </w:p>
    <w:tbl>
      <w:tblPr>
        <w:tblW w:w="7592" w:type="dxa"/>
        <w:jc w:val="left"/>
        <w:tblInd w:w="0" w:type="dxa"/>
        <w:tblLayout w:type="fixed"/>
        <w:tblCellMar>
          <w:top w:w="28" w:type="dxa"/>
          <w:left w:w="28" w:type="dxa"/>
          <w:bottom w:w="28" w:type="dxa"/>
          <w:right w:w="28" w:type="dxa"/>
        </w:tblCellMar>
      </w:tblPr>
      <w:tblGrid>
        <w:gridCol w:w="1657"/>
        <w:gridCol w:w="1455"/>
        <w:gridCol w:w="1463"/>
        <w:gridCol w:w="211"/>
        <w:gridCol w:w="826"/>
        <w:gridCol w:w="109"/>
        <w:gridCol w:w="109"/>
        <w:gridCol w:w="109"/>
        <w:gridCol w:w="109"/>
        <w:gridCol w:w="273"/>
        <w:gridCol w:w="1072"/>
        <w:gridCol w:w="199"/>
      </w:tblGrid>
      <w:tr>
        <w:trPr/>
        <w:tc>
          <w:tcPr>
            <w:tcW w:w="165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Loan Facility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148,114 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obligations from sale-leaseback transactions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 loans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 and discount (1)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153,279 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w:t>
      </w:r>
    </w:p>
    <w:p>
      <w:pPr>
        <w:pStyle w:val="TextBody"/>
        <w:bidi w:val="0"/>
        <w:spacing w:lineRule="auto" w:line="288" w:before="6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In addition to this amount, costs of $0.4 million and $0.5 million related to the ABL Facility were recorded in other non-current assets as of June 30, 2024 and December 31, 2023, respectively.</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capitalized interest costs of $0.7 million and $0.7 million in the six months ended June 30, 2024 and 2023, respectively, related to construction in progress.</w:t>
      </w:r>
    </w:p>
    <w:p>
      <w:pPr>
        <w:pStyle w:val="TextBody"/>
        <w:bidi w:val="0"/>
        <w:spacing w:lineRule="auto" w:line="288" w:before="18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Term Loan Facility</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Outstanding borrowings under the Term Loan Facility bear interest at either: 1) one-month, three-month, or six-month SOFR with a duration adjustment (“Adjusted SOFR”), subject to a 1.00% floor, plus an applicable margin of 6.875%; or 2) the greater of various benchmark rates plus an applicable margin of 5.875%. Beginning in the second quarter of 2023, interest was increased on a paid-in-kind basis at a rate between 1.00% and 2.00% (“PIK interest”), dependent on the our leverage ratio. The PIK interest is payable on the loan maturity date of September 22, 2026. At June 30, 2024, the Term Loan Facility bore interest, including PIK interest, based on one-month Adjusted SOFR, at 14.319%.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Facility requires quarterly principal payments of $0.4 million with the remaining unpaid principal amount due at the loan maturity date. We may be required to make additional principal payments annually that are calculated as a percentage of our excess cash flow, as defined by the lender, based on our net leverage ratio. The Term Loan Facility is collateralized by all of our assets. The Term Loan Facility has a first lien on all domestic assets, other than accounts receivable and inventory and has a second lien on domestic accounts receivable and inventory. We were in compliance with all requirements under the Term Loan Facility as of June 30, 2024.</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Facility was issued at a $3.8 million discount and we have capitalized an additional $5.5 million in debt issuance costs. These costs are recorded as a direct reduction to the carrying amount of the associated long-term debt and amortized over the term of the debt.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had an interest rate swap that changed the one-month LIBOR to a fixed rate of 1.291% on $60.0 million of the outstanding balance of the Term Loan Facility. During the first quarter of 2023, we terminated the interest rate swap and received cash proceeds of $2.5 million, which was equal to its then fair value.</w:t>
      </w:r>
    </w:p>
    <w:p>
      <w:pPr>
        <w:pStyle w:val="TextBody"/>
        <w:bidi w:val="0"/>
        <w:spacing w:lineRule="auto" w:line="288" w:before="18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ABL Facility</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ABL Facility provides for a senior secured revolving credit facility, with an original commitment amount of $50.0 million, of which a maximum of $30.0 million is available in the form of letters of credit and a maximum of $5.0 million is available for the issuance of short-term swingline loans. The availability of credit under the ABL Facility is limited by a borrowing base calculation derived from accounts receivable and inventory held in the United States. The maximum commitment amount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18f5a0ebe87146159c7110a754333c3e_7">
        <w:r>
          <w:rPr>
            <w:rStyle w:val="InternetLink"/>
            <w:rFonts w:ascii="Times New Roman;sans-serif" w:hAnsi="Times New Roman;sans-serif"/>
            <w:b w:val="false"/>
            <w:color w:val="0000FF"/>
            <w:sz w:val="18"/>
            <w:u w:val="single"/>
          </w:rPr>
          <w:t>Table of Contents</w:t>
        </w:r>
      </w:hyperlink>
      <w:r>
        <w:rPr>
          <w:color w:val="000000"/>
        </w:rPr>
        <w:t>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 increased or decreased from time to time based on the terms of conditions of the ABL Facility. Outstanding borrowings under the ABL Facility bear interest on a variable rate structure plus an interest rate spread that is based on the average amount of aggregate revolving commitment available. The variable borrowing rate is either: 1) Adjusted SOFR plus an applicable margin of 1.75% or 2.00%, depending on availability; or 2) the greater of the federal funds rate or prime, plus an applicable margin of 0.75% or 1.00%, depending on availability. We may elect whether to use one-month, three-month, or six-month Adjusted SOFR. At June 30, 2024, using one-month Adjusted SOFR plus a 2.00% margin, the interest rate on outstanding borrowings under the ABL Facility would have been 7.431%. We pay a commitment fee of 0.375% for unused capacity under the ABL Facility and a 2.125% fee on the amount of letters of credit outstanding. The final maturity date of the ABL Facility is March 22, 2026.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we had no outstanding borrowings under the ABL Facility, $9.9 million of outstanding letters of credit, and $27.0 million available for future borrowings under the ABL Facility. The ABL Facility has a first lien on domestic accounts receivable and inventory. We were in compliance with all requirements under the ABL Facility as of June 30, 2024.</w:t>
      </w:r>
    </w:p>
    <w:p>
      <w:pPr>
        <w:pStyle w:val="TextBody"/>
        <w:bidi w:val="0"/>
        <w:spacing w:lineRule="auto" w:line="288" w:before="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Sale-Leaseback Transactions</w:t>
      </w:r>
    </w:p>
    <w:p>
      <w:pPr>
        <w:pStyle w:val="TextBody"/>
        <w:bidi w:val="0"/>
        <w:spacing w:lineRule="auto" w:line="26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2024, we sold three of our properties for an aggregate sales price of $16.9 million, with the net proceeds used to repay a portion of the outstanding borrowings under the Term Loan Facility. Concurrent with the sale, we entered into a 20-year lease agreement for these properties. Since the lease agreement allows for us to exercise renewal options that extend for substantially all of the remaining economic life, we have the ability to maintain the risks and rewards of ownership. Since the transaction does not transfer control of the assets, it cannot be accounted for as a sale under ASC 606. As a result, the properties remain on our Condensed Consolidated Balance Sheets and the non-land assets will continue to be depreciated over their remaining useful lives. The $16.9 million of gross proceeds was recognized as a financing obligation as a component of long-term debt. The monthly lease payments, which increase 3.0% each year, will be amortized as principal payments and interest expense based on an effective interest rate of 9.715%. We incurred $0.6 million in debt issuance costs related to this transaction, which will be amortized over the term of the debt.</w:t>
      </w:r>
    </w:p>
    <w:p>
      <w:pPr>
        <w:pStyle w:val="TextBody"/>
        <w:bidi w:val="0"/>
        <w:spacing w:lineRule="auto" w:line="26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2024, we sold multiple pieces of manufacturing equipment for an aggregate sales price of $4.9 million. Concurrent with the sale, we entered into a 5-year lease agreement that includes a repurchase option for this equipment. In May 2024, we sold additional pieces of manufacturing equipment for an aggregate sales price of $3.4 million and entered into 5-year and 6-year lease agreements for the equipment. Since the three lease agreements allow for us to exercise an early buyout option, we have the ability to maintain the risks and rewards of ownership. Since the transactions do not transfer control of the assets, they cannot be accounted for as sales under ASC 606. As a result, the assets remain on our Condensed Consolidated Balance Sheets and will continue to be depreciated over their remaining useful lives. The $8.3 million of gross proceeds was recognized as a financing obligation as a component of long-term debt. The monthly lease payments will be amortized as principal payments and interest expense on a weighted average effective interest rate of 10.540%.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Note 8. Preferred Stock</w:t>
      </w:r>
    </w:p>
    <w:p>
      <w:pPr>
        <w:pStyle w:val="TextBody"/>
        <w:bidi w:val="0"/>
        <w:spacing w:lineRule="auto" w:line="288" w:before="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Series D Perpetual Preferred Stock</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22, 2021, we completed a private placement of 65,000 shares of newly designated Series D Perpetual Preferred Stock, with a par value of $0.01 per share (the “Series D Preferred Stock”), at a price of $1,000 per share, together with detachable warrants (the “2021 Warrants”) to purchase up to 1.9 million shares of our common stock at an exercise price of $0.01 per share. The Series D Preferred Stock has an initial liquidation preference of $1,000 per share and is redeemable at our option in cash at a redemption price equal to the liquidation preference then in effect. Series D Preferred Stock shares earn cash dividends at a rate of 10.0% per year, payable quarterly in arrears, accruing whether or not earned or declared. If no cash dividend is paid, then the liquidation preference per share effective on the dividend date increases by 12.0% per year. Beginning March 22, 2026, the cash dividend rate and in-kind dividend rate increase by 2.5% per year. Cash dividends are required beginning on September 30, 2027.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Series D Preferred Stock is classified as mezzanine equity, between liabilities and stockholders’ equity, because certain features of the Series D Preferred Stock could require redemption of the Series D Preferred Stock upon a change of control event that is considered not solely within our control. For initial recognition, the Series D Preferred Stock was recognized at a discounted value, net of issuance costs and allocation to warrants and a bifurcated embedded derivative. The aggregate discount is amortized as a deemed dividend through March 22, 2026, which is the date the dividend rate begins to increase by 2.5% per year. Deemed dividends adjust additional paid-in capital due to the absence of retained earnings.</w:t>
      </w:r>
    </w:p>
    <w:p>
      <w:pPr>
        <w:pStyle w:val="TextBody"/>
        <w:bidi w:val="0"/>
        <w:spacing w:lineRule="auto" w:line="288" w:before="0" w:after="120"/>
        <w:jc w:val="left"/>
        <w:rPr/>
      </w:pPr>
      <w:r>
        <w:rPr>
          <w:rFonts w:ascii="Times New Roman;sans-serif" w:hAnsi="Times New Roman;sans-serif"/>
          <w:b w:val="false"/>
          <w:color w:val="000000"/>
          <w:sz w:val="20"/>
        </w:rPr>
        <w:t>In accordance with ASC 815-15,</w:t>
      </w:r>
      <w:r>
        <w:rPr>
          <w:color w:val="000000"/>
        </w:rPr>
        <w:t xml:space="preserve"> </w:t>
      </w:r>
      <w:r>
        <w:rPr>
          <w:rFonts w:ascii="Times New Roman;sans-serif" w:hAnsi="Times New Roman;sans-serif"/>
          <w:b w:val="false"/>
          <w:i/>
          <w:color w:val="000000"/>
          <w:sz w:val="20"/>
        </w:rPr>
        <w:t xml:space="preserve">Derivatives and Hedging - Embedded Derivatives, </w:t>
      </w:r>
      <w:r>
        <w:rPr>
          <w:rFonts w:ascii="Times New Roman;sans-serif" w:hAnsi="Times New Roman;sans-serif"/>
          <w:b w:val="false"/>
          <w:color w:val="000000"/>
          <w:sz w:val="20"/>
        </w:rPr>
        <w:t>certain features of the Series D Preferred Stock were bifurcated and accounted for as derivatives separately. Note 15 discusses the accounting for these features.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18f5a0ebe87146159c7110a754333c3e_7">
        <w:r>
          <w:rPr>
            <w:rStyle w:val="InternetLink"/>
            <w:rFonts w:ascii="Times New Roman;sans-serif" w:hAnsi="Times New Roman;sans-serif"/>
            <w:b w:val="false"/>
            <w:color w:val="0000FF"/>
            <w:sz w:val="18"/>
            <w:u w:val="single"/>
          </w:rPr>
          <w:t>Table of Contents</w:t>
        </w:r>
      </w:hyperlink>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the carrying value of the Series D Preferred Stock shares was $85.3 million, which included $38.6 million of accumulated unpaid and deemed dividends. The following table presents the change in the Series D Preferred Stock carrying value during the six months ended June 30, 2024.</w:t>
      </w:r>
    </w:p>
    <w:tbl>
      <w:tblPr>
        <w:tblW w:w="3905" w:type="dxa"/>
        <w:jc w:val="left"/>
        <w:tblInd w:w="0" w:type="dxa"/>
        <w:tblLayout w:type="fixed"/>
        <w:tblCellMar>
          <w:top w:w="28" w:type="dxa"/>
          <w:left w:w="28" w:type="dxa"/>
          <w:bottom w:w="28" w:type="dxa"/>
          <w:right w:w="28" w:type="dxa"/>
        </w:tblCellMar>
      </w:tblPr>
      <w:tblGrid>
        <w:gridCol w:w="1021"/>
        <w:gridCol w:w="896"/>
        <w:gridCol w:w="902"/>
        <w:gridCol w:w="211"/>
        <w:gridCol w:w="721"/>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Accrual of in-kind dividends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85,312 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Note 9. Leases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contains supplemental cash flow information related to leases. </w:t>
      </w:r>
    </w:p>
    <w:tbl>
      <w:tblPr>
        <w:tblW w:w="8709" w:type="dxa"/>
        <w:jc w:val="left"/>
        <w:tblInd w:w="0" w:type="dxa"/>
        <w:tblLayout w:type="fixed"/>
        <w:tblCellMar>
          <w:top w:w="28" w:type="dxa"/>
          <w:left w:w="28" w:type="dxa"/>
          <w:bottom w:w="28" w:type="dxa"/>
          <w:right w:w="28" w:type="dxa"/>
        </w:tblCellMar>
      </w:tblPr>
      <w:tblGrid>
        <w:gridCol w:w="2344"/>
        <w:gridCol w:w="2055"/>
        <w:gridCol w:w="2066"/>
        <w:gridCol w:w="211"/>
        <w:gridCol w:w="616"/>
        <w:gridCol w:w="109"/>
        <w:gridCol w:w="109"/>
        <w:gridCol w:w="109"/>
        <w:gridCol w:w="109"/>
        <w:gridCol w:w="211"/>
        <w:gridCol w:w="616"/>
        <w:gridCol w:w="154"/>
      </w:tblGrid>
      <w:tr>
        <w:trPr/>
        <w:tc>
          <w:tcPr>
            <w:tcW w:w="2344"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June 30,</w:t>
            </w:r>
          </w:p>
        </w:tc>
      </w:tr>
      <w:tr>
        <w:trPr/>
        <w:tc>
          <w:tcPr>
            <w:tcW w:w="6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used in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used in finance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cash flows used in finance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operating lease liabilities (1)</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obtained in exchange for new finance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w:t>
      </w:r>
    </w:p>
    <w:p>
      <w:pPr>
        <w:pStyle w:val="TextBody"/>
        <w:bidi w:val="0"/>
        <w:spacing w:lineRule="auto" w:line="288" w:before="60" w:after="12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 Includes new leases, renewals, and modifications.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recognized sublease income of $1.9 million and $0.5 million in the six months ended June 30,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Note 10. Commitments and Contingencies</w:t>
      </w:r>
    </w:p>
    <w:p>
      <w:pPr>
        <w:pStyle w:val="TextBody"/>
        <w:bidi w:val="0"/>
        <w:spacing w:lineRule="auto" w:line="288" w:before="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Brazil ICMS Tax Matter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acquisition of Autocam Corporation (“Autocam”) in 2014, Autocam’s Brazilian subsidiary (“Autocam Brazil”) received notification from the Brazilian tax authority regarding ICMS (state value added tax) tax credits claimed on intermediary materials (e.g., tooling and perishable items) used in the manufacturing process. The Brazilian tax authority notification disallowed state ICMS tax credits claimed on intermediary materials based on the argument that these items are not intrinsically related to the manufacturing processes. Autocam Brazil filed an administrative defense with the Brazilian tax authority arguing, among other matters, that it should qualify for an ICMS tax credit, contending that the intermediary materials are directly related to the manufacturing process.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we have substantial legal and factual defenses, and we plan to defend our interests in this matter vigorously. The matter encompasses several lawsuits filed with the Brazilian courts requesting declaratory actions that no tax is due or seeking a stay of execution on the collection of the tax. In 2018, we obtained a favorable decision in one of the declaratory actions for which the period for appeal has expired. We have filed actions in each court requesting dismissal of the matter based on the earlier court action. In May 2020, we received an unfavorable decision in one of the lawsuits, and as a result have recorded a liability to the Brazilian tax authorities and a receivable from the former shareholders of Autocam for the same amount. Although we anticipate a favorable resolution to the remaining matters, we can provide no assurances that we will be successful in achieving dismissal of all pending cases. The U.S. dollar amount that would be owed in the event of an unfavorable decision is subject to interest, penalties, and currency impacts and, therefore, is dependent on the timing of the decision. For the remaining open lawsuits, we currently believe the cumulative potential liability in the event of unfavorable decisions on all matters will be less than $5.0 million, inclusive of interest and penalties.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are entitled to indemnification from the former shareholders of Autocam, subject to the limitations and procedures set forth in the agreement and plan of merger relating to the Autocam acquisition. Management believes the indemnification would include amounts owed for the tax, interest, and penalties related to this matter. Accordingly, we do not expect to incur a loss related to this matter even in the event of an unfavorable decision and, therefore, have not accrued an amount for the remaining matters as of June 30, 2024.</w:t>
      </w:r>
    </w:p>
    <w:p>
      <w:pPr>
        <w:pStyle w:val="TextBody"/>
        <w:bidi w:val="0"/>
        <w:spacing w:lineRule="auto" w:line="288" w:before="18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Legal Matters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other legal proceedings are of an ordinary and routine nature and are incidental to our operations. Management believes that such proceedings should not, individually or in the aggregate, have a material adverse effect on our business,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18f5a0ebe87146159c7110a754333c3e_7">
        <w:r>
          <w:rPr>
            <w:rStyle w:val="InternetLink"/>
            <w:rFonts w:ascii="Times New Roman;sans-serif" w:hAnsi="Times New Roman;sans-serif"/>
            <w:b w:val="false"/>
            <w:color w:val="0000FF"/>
            <w:sz w:val="18"/>
            <w:u w:val="single"/>
          </w:rPr>
          <w:t>Table of Contents</w:t>
        </w:r>
      </w:hyperlink>
      <w:r>
        <w:rPr>
          <w:color w:val="000000"/>
        </w:rPr>
        <w:t>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condition, results of operations, or cash flows. In making that determination, we analyze the facts and circumstances of each case at least quarterly in consultation with our attorneys and determine a range of reasonably possible outcomes.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Note 11. Income Taxes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Our effective tax rate was 4.7% and (1.5)% for the three and six months ended June 30, 2024, respectively, and (2.1)% and (6.7)% for the three and six months ended June 30, 2023, respectively. The effective tax rates for the three and six months ended June 30, 2024 differ from the U.S. federal statutory tax rate of 21% primarily due to the accrual of tax on non-permanently reinvested unremitted earnings of foreign subsidiaries, favorable return to provision and amended return adjustments in certain foreign and state jurisdictions and by limitation on the amount of tax benefit recorded for losses in certain jurisdictions where we believe it is more likely than not that a future tax benefit may not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 xml:space="preserve">Note 12. Net Loss Per Common Share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computation of basic and diluted net loss per common share.</w:t>
      </w:r>
    </w:p>
    <w:tbl>
      <w:tblPr>
        <w:tblW w:w="10205" w:type="dxa"/>
        <w:jc w:val="left"/>
        <w:tblInd w:w="0" w:type="dxa"/>
        <w:tblLayout w:type="fixed"/>
        <w:tblCellMar>
          <w:top w:w="28" w:type="dxa"/>
          <w:left w:w="28" w:type="dxa"/>
          <w:bottom w:w="28" w:type="dxa"/>
          <w:right w:w="28" w:type="dxa"/>
        </w:tblCellMar>
      </w:tblPr>
      <w:tblGrid>
        <w:gridCol w:w="1785"/>
        <w:gridCol w:w="1543"/>
        <w:gridCol w:w="1556"/>
        <w:gridCol w:w="211"/>
        <w:gridCol w:w="674"/>
        <w:gridCol w:w="109"/>
        <w:gridCol w:w="109"/>
        <w:gridCol w:w="109"/>
        <w:gridCol w:w="109"/>
        <w:gridCol w:w="211"/>
        <w:gridCol w:w="779"/>
        <w:gridCol w:w="109"/>
        <w:gridCol w:w="109"/>
        <w:gridCol w:w="109"/>
        <w:gridCol w:w="109"/>
        <w:gridCol w:w="211"/>
        <w:gridCol w:w="779"/>
        <w:gridCol w:w="109"/>
        <w:gridCol w:w="109"/>
        <w:gridCol w:w="109"/>
        <w:gridCol w:w="109"/>
        <w:gridCol w:w="211"/>
        <w:gridCol w:w="779"/>
        <w:gridCol w:w="158"/>
      </w:tblGrid>
      <w:tr>
        <w:trPr/>
        <w:tc>
          <w:tcPr>
            <w:tcW w:w="1785"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June 30,</w:t>
            </w:r>
          </w:p>
        </w:tc>
      </w:tr>
      <w:tr>
        <w:trPr/>
        <w:tc>
          <w:tcPr>
            <w:tcW w:w="48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9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(24,552)</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for preferred stock cumulative dividends and deemed dividends</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for basic and diluted net loss per common share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(17,573)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(30,799)</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45,085 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for participating securities</w:t>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 for warrants outstanding (1)</w:t>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to calculate basic and diluted net loss per share</w:t>
            </w:r>
          </w:p>
        </w:tc>
        <w:tc>
          <w:tcPr>
            <w:tcW w:w="8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45,836 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4884" w:type="dxa"/>
            <w:gridSpan w:val="3"/>
            <w:tcBorders/>
            <w:vAlign w:val="center"/>
          </w:tcPr>
          <w:p>
            <w:pPr>
              <w:pStyle w:val="TableContents"/>
              <w:bidi w:val="0"/>
              <w:spacing w:before="0" w:after="283"/>
              <w:jc w:val="left"/>
              <w:rPr>
                <w:sz w:val="4"/>
                <w:szCs w:val="4"/>
              </w:rPr>
            </w:pPr>
            <w:r>
              <w:rPr>
                <w:sz w:val="4"/>
                <w:szCs w:val="4"/>
              </w:rPr>
            </w:r>
          </w:p>
        </w:tc>
        <w:tc>
          <w:tcPr>
            <w:tcW w:w="9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4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(0.67)</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dividends declared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w:t>
      </w:r>
    </w:p>
    <w:p>
      <w:pPr>
        <w:pStyle w:val="TextBody"/>
        <w:bidi w:val="0"/>
        <w:spacing w:lineRule="auto" w:line="288" w:before="6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Outstanding warrants that are exercisable at an exercise price of $0.01 per share, are included in shares outstanding for calculation of basic earnings per share (see Note 15).</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securities that could be potentially dilutive in the future that were excluded from the calculation of diluted net loss per common share because they had an anti-dilutive effect. </w:t>
      </w:r>
    </w:p>
    <w:tbl>
      <w:tblPr>
        <w:tblW w:w="6937" w:type="dxa"/>
        <w:jc w:val="left"/>
        <w:tblInd w:w="0" w:type="dxa"/>
        <w:tblLayout w:type="fixed"/>
        <w:tblCellMar>
          <w:top w:w="28" w:type="dxa"/>
          <w:left w:w="28" w:type="dxa"/>
          <w:bottom w:w="28" w:type="dxa"/>
          <w:right w:w="28" w:type="dxa"/>
        </w:tblCellMar>
      </w:tblPr>
      <w:tblGrid>
        <w:gridCol w:w="857"/>
        <w:gridCol w:w="754"/>
        <w:gridCol w:w="759"/>
        <w:gridCol w:w="314"/>
        <w:gridCol w:w="302"/>
        <w:gridCol w:w="183"/>
        <w:gridCol w:w="183"/>
        <w:gridCol w:w="183"/>
        <w:gridCol w:w="183"/>
        <w:gridCol w:w="314"/>
        <w:gridCol w:w="302"/>
        <w:gridCol w:w="183"/>
        <w:gridCol w:w="109"/>
        <w:gridCol w:w="109"/>
        <w:gridCol w:w="109"/>
        <w:gridCol w:w="308"/>
        <w:gridCol w:w="308"/>
        <w:gridCol w:w="159"/>
        <w:gridCol w:w="159"/>
        <w:gridCol w:w="159"/>
        <w:gridCol w:w="159"/>
        <w:gridCol w:w="308"/>
        <w:gridCol w:w="308"/>
        <w:gridCol w:w="225"/>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June 30,</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share units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antidilutive securities</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1,906 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1,961 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options excluded from the calculations of diluted net loss per share have a per share exercise price ranging from $7.93 to $25.16 for the six months ended June 30, 2024. Warrants excluded from the calculation of diluted net loss per share have a per share exercise price of $11.03 (see Note 15). Performance share units are potentially dilutive when the related performance criterion has been met.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18f5a0ebe87146159c7110a754333c3e_7">
        <w:r>
          <w:rPr>
            <w:rStyle w:val="InternetLink"/>
            <w:rFonts w:ascii="Times New Roman;sans-serif" w:hAnsi="Times New Roman;sans-serif"/>
            <w:b w:val="false"/>
            <w:color w:val="0000FF"/>
            <w:sz w:val="18"/>
            <w:u w:val="single"/>
          </w:rPr>
          <w:t>Table of Contents</w:t>
        </w:r>
      </w:hyperlink>
      <w:r>
        <w:rPr>
          <w:color w:val="000000"/>
        </w:rPr>
        <w:t>    </w:t>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Note 13. Share-Based Compensation</w:t>
      </w:r>
    </w:p>
    <w:p>
      <w:pPr>
        <w:pStyle w:val="TextBody"/>
        <w:bidi w:val="0"/>
        <w:spacing w:lineRule="auto" w:line="288" w:before="0" w:after="0"/>
        <w:jc w:val="left"/>
        <w:rPr/>
      </w:pPr>
      <w:r>
        <w:rPr>
          <w:rFonts w:ascii="Times New Roman;sans-serif" w:hAnsi="Times New Roman;sans-serif"/>
          <w:b w:val="false"/>
          <w:color w:val="000000"/>
          <w:sz w:val="20"/>
        </w:rPr>
        <w:t>The following table lists the components of share-based compensation expense by type of award, which is recognized in the “Selling, general, and administrative expense” line in the Condensed Consolidated Statements of Operations and Comprehensive Income (Loss).</w:t>
      </w:r>
      <w:r>
        <w:rPr>
          <w:color w:val="000000"/>
        </w:rPr>
        <w:t> </w:t>
      </w:r>
    </w:p>
    <w:tbl>
      <w:tblPr>
        <w:tblW w:w="7304" w:type="dxa"/>
        <w:jc w:val="left"/>
        <w:tblInd w:w="0" w:type="dxa"/>
        <w:tblLayout w:type="fixed"/>
        <w:tblCellMar>
          <w:top w:w="28" w:type="dxa"/>
          <w:left w:w="28" w:type="dxa"/>
          <w:bottom w:w="28" w:type="dxa"/>
          <w:right w:w="28" w:type="dxa"/>
        </w:tblCellMar>
      </w:tblPr>
      <w:tblGrid>
        <w:gridCol w:w="1080"/>
        <w:gridCol w:w="949"/>
        <w:gridCol w:w="955"/>
        <w:gridCol w:w="211"/>
        <w:gridCol w:w="466"/>
        <w:gridCol w:w="109"/>
        <w:gridCol w:w="109"/>
        <w:gridCol w:w="109"/>
        <w:gridCol w:w="109"/>
        <w:gridCol w:w="211"/>
        <w:gridCol w:w="466"/>
        <w:gridCol w:w="109"/>
        <w:gridCol w:w="109"/>
        <w:gridCol w:w="109"/>
        <w:gridCol w:w="109"/>
        <w:gridCol w:w="211"/>
        <w:gridCol w:w="616"/>
        <w:gridCol w:w="109"/>
        <w:gridCol w:w="109"/>
        <w:gridCol w:w="109"/>
        <w:gridCol w:w="109"/>
        <w:gridCol w:w="211"/>
        <w:gridCol w:w="466"/>
        <w:gridCol w:w="154"/>
      </w:tblGrid>
      <w:tr>
        <w:trPr/>
        <w:tc>
          <w:tcPr>
            <w:tcW w:w="1080"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June 30,</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share units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status of unvested restricted stock awards as of June 30, 2024, and activity during the six months then ended.</w:t>
      </w:r>
    </w:p>
    <w:tbl>
      <w:tblPr>
        <w:tblW w:w="6116" w:type="dxa"/>
        <w:jc w:val="left"/>
        <w:tblInd w:w="0" w:type="dxa"/>
        <w:tblLayout w:type="fixed"/>
        <w:tblCellMar>
          <w:top w:w="28" w:type="dxa"/>
          <w:left w:w="28" w:type="dxa"/>
          <w:bottom w:w="28" w:type="dxa"/>
          <w:right w:w="28" w:type="dxa"/>
        </w:tblCellMar>
      </w:tblPr>
      <w:tblGrid>
        <w:gridCol w:w="875"/>
        <w:gridCol w:w="768"/>
        <w:gridCol w:w="771"/>
        <w:gridCol w:w="344"/>
        <w:gridCol w:w="346"/>
        <w:gridCol w:w="286"/>
        <w:gridCol w:w="109"/>
        <w:gridCol w:w="109"/>
        <w:gridCol w:w="109"/>
        <w:gridCol w:w="577"/>
        <w:gridCol w:w="1398"/>
        <w:gridCol w:w="424"/>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Nonvested</w:t>
              <w:br/>
              <w:t>Restricted</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Grant-Date</w:t>
              <w:br/>
              <w:t>Fair Value</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January 1, 2024</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June 30, 2024</w:t>
            </w:r>
          </w:p>
        </w:tc>
        <w:tc>
          <w:tcPr>
            <w:tcW w:w="6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2,533 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we granted 374,000 shares of restricted stock to non-executive directors, officers and certain other employees. The shares of these restricted stock awards vest pro-rata generally over three years for employees and over one year for non-executive directors. During the six months ended June 30, 2024, we granted 270,000 shares of restricted stock to new executive officers as inducement awards, which vest pro-rata over five years.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Total grant date fair value of restricted stock that vested in the six months ended June 30, 2024, was $1.8 million.</w:t>
      </w:r>
    </w:p>
    <w:p>
      <w:pPr>
        <w:pStyle w:val="TextBody"/>
        <w:bidi w:val="0"/>
        <w:spacing w:lineRule="auto" w:line="288" w:before="18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Share Units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 Share Units (“PSUs”) are a form of long-term incentive compensation awarded to executive officers and certain other key employees designed to directly align the interests of employees to the interests of our stockholders, and to create long-term stockholder value. The following table presents the status of unvested PSUs as of June 30, 2024, and activity during the six months then ended. </w:t>
      </w:r>
    </w:p>
    <w:tbl>
      <w:tblPr>
        <w:tblW w:w="7060" w:type="dxa"/>
        <w:jc w:val="left"/>
        <w:tblInd w:w="0" w:type="dxa"/>
        <w:tblLayout w:type="fixed"/>
        <w:tblCellMar>
          <w:top w:w="28" w:type="dxa"/>
          <w:left w:w="28" w:type="dxa"/>
          <w:bottom w:w="28" w:type="dxa"/>
          <w:right w:w="28" w:type="dxa"/>
        </w:tblCellMar>
      </w:tblPr>
      <w:tblGrid>
        <w:gridCol w:w="913"/>
        <w:gridCol w:w="801"/>
        <w:gridCol w:w="806"/>
        <w:gridCol w:w="604"/>
        <w:gridCol w:w="604"/>
        <w:gridCol w:w="606"/>
        <w:gridCol w:w="109"/>
        <w:gridCol w:w="109"/>
        <w:gridCol w:w="109"/>
        <w:gridCol w:w="577"/>
        <w:gridCol w:w="1398"/>
        <w:gridCol w:w="424"/>
      </w:tblGrid>
      <w:tr>
        <w:trPr/>
        <w:tc>
          <w:tcPr>
            <w:tcW w:w="91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Nonvested PSU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Grant-Date</w:t>
              <w:br/>
              <w:t>Fair Value</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January 1, 2024</w:t>
            </w:r>
          </w:p>
        </w:tc>
        <w:tc>
          <w:tcPr>
            <w:tcW w:w="12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3,789 </w:t>
            </w:r>
          </w:p>
        </w:tc>
        <w:tc>
          <w:tcPr>
            <w:tcW w:w="6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2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6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2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w:t>
            </w:r>
          </w:p>
        </w:tc>
        <w:tc>
          <w:tcPr>
            <w:tcW w:w="6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4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8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June 30, 2024</w:t>
            </w:r>
          </w:p>
        </w:tc>
        <w:tc>
          <w:tcPr>
            <w:tcW w:w="12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3,969 </w:t>
            </w:r>
          </w:p>
        </w:tc>
        <w:tc>
          <w:tcPr>
            <w:tcW w:w="6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2024, we granted 144,000 PSUs to certain executive officers, which vest, if at all, upon our achieving a specified relative total shareholder return, which will be measured against the total shareholder return of a specified index during the three-year performance period that ends December 31, 2026. During the six months ended June 30, 2024, we granted 415,000 PSUs to new executive officers as inducement awards. These inducement awards cliff-vest after five years and are contingent on the Company’s stock price meeting specified thresholds. </w:t>
      </w:r>
    </w:p>
    <w:p>
      <w:pPr>
        <w:pStyle w:val="TextBody"/>
        <w:bidi w:val="0"/>
        <w:spacing w:lineRule="auto" w:line="288" w:before="120" w:after="283"/>
        <w:jc w:val="left"/>
        <w:rPr/>
      </w:pPr>
      <w:r>
        <w:rPr>
          <w:rFonts w:ascii="Times New Roman;sans-serif" w:hAnsi="Times New Roman;sans-serif"/>
          <w:b w:val="false"/>
          <w:color w:val="000000"/>
          <w:sz w:val="20"/>
        </w:rPr>
        <w:t xml:space="preserve">We estimated the grant date fair value of the PSU awards using the Monte Carlo simulation model, as the total shareholder return metric and changes in stock price are considered market conditions under ASC Topic 718, </w:t>
      </w:r>
      <w:r>
        <w:rPr>
          <w:rFonts w:ascii="Times New Roman;sans-serif" w:hAnsi="Times New Roman;sans-serif"/>
          <w:b w:val="false"/>
          <w:i/>
          <w:color w:val="000000"/>
          <w:sz w:val="20"/>
        </w:rPr>
        <w:t>Compensation – stock compensation</w:t>
      </w:r>
      <w:r>
        <w:rPr>
          <w:rFonts w:ascii="Times New Roman;sans-serif" w:hAnsi="Times New Roman;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18f5a0ebe87146159c7110a754333c3e_7">
        <w:r>
          <w:rPr>
            <w:rStyle w:val="InternetLink"/>
            <w:rFonts w:ascii="Times New Roman;sans-serif" w:hAnsi="Times New Roman;sans-serif"/>
            <w:b w:val="false"/>
            <w:color w:val="0000FF"/>
            <w:sz w:val="18"/>
            <w:u w:val="single"/>
          </w:rPr>
          <w:t>Table of Contents</w:t>
        </w:r>
      </w:hyperlink>
      <w:r>
        <w:rPr>
          <w:color w:val="000000"/>
        </w:rPr>
        <w:t>    </w:t>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 xml:space="preserve">Note 14. Accumulated Other Comprehensive Income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present the components of accumulated other comprehensive income (loss) (“AOCI”). </w:t>
      </w:r>
    </w:p>
    <w:tbl>
      <w:tblPr>
        <w:tblW w:w="10205" w:type="dxa"/>
        <w:jc w:val="left"/>
        <w:tblInd w:w="0" w:type="dxa"/>
        <w:tblLayout w:type="fixed"/>
        <w:tblCellMar>
          <w:top w:w="28" w:type="dxa"/>
          <w:left w:w="28" w:type="dxa"/>
          <w:bottom w:w="28" w:type="dxa"/>
          <w:right w:w="28" w:type="dxa"/>
        </w:tblCellMar>
      </w:tblPr>
      <w:tblGrid>
        <w:gridCol w:w="1499"/>
        <w:gridCol w:w="1143"/>
        <w:gridCol w:w="1148"/>
        <w:gridCol w:w="363"/>
        <w:gridCol w:w="1354"/>
        <w:gridCol w:w="187"/>
        <w:gridCol w:w="109"/>
        <w:gridCol w:w="109"/>
        <w:gridCol w:w="109"/>
        <w:gridCol w:w="284"/>
        <w:gridCol w:w="830"/>
        <w:gridCol w:w="146"/>
        <w:gridCol w:w="109"/>
        <w:gridCol w:w="109"/>
        <w:gridCol w:w="109"/>
        <w:gridCol w:w="326"/>
        <w:gridCol w:w="628"/>
        <w:gridCol w:w="168"/>
        <w:gridCol w:w="109"/>
        <w:gridCol w:w="109"/>
        <w:gridCol w:w="109"/>
        <w:gridCol w:w="211"/>
        <w:gridCol w:w="777"/>
        <w:gridCol w:w="160"/>
      </w:tblGrid>
      <w:tr>
        <w:trPr/>
        <w:tc>
          <w:tcPr>
            <w:tcW w:w="1499"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 swap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 taxes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2024</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(41,108)</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(40,550)</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1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 to interest expense (2)</w:t>
            </w:r>
          </w:p>
        </w:tc>
        <w:tc>
          <w:tcPr>
            <w:tcW w:w="1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3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comprehensive income (loss)</w:t>
            </w:r>
          </w:p>
        </w:tc>
        <w:tc>
          <w:tcPr>
            <w:tcW w:w="17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2024</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(44,495)</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(44,386)</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March 31, 2023</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(38,332)</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1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 to interest expense (2)</w:t>
            </w:r>
          </w:p>
        </w:tc>
        <w:tc>
          <w:tcPr>
            <w:tcW w:w="1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3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comprehensive income (loss)</w:t>
            </w:r>
          </w:p>
        </w:tc>
        <w:tc>
          <w:tcPr>
            <w:tcW w:w="17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(2,823)</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2023</w:t>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(40,706)</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(38,801)</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72"/>
        <w:gridCol w:w="1155"/>
        <w:gridCol w:w="1163"/>
        <w:gridCol w:w="363"/>
        <w:gridCol w:w="1354"/>
        <w:gridCol w:w="187"/>
        <w:gridCol w:w="109"/>
        <w:gridCol w:w="109"/>
        <w:gridCol w:w="109"/>
        <w:gridCol w:w="284"/>
        <w:gridCol w:w="830"/>
        <w:gridCol w:w="146"/>
        <w:gridCol w:w="109"/>
        <w:gridCol w:w="109"/>
        <w:gridCol w:w="109"/>
        <w:gridCol w:w="315"/>
        <w:gridCol w:w="644"/>
        <w:gridCol w:w="163"/>
        <w:gridCol w:w="109"/>
        <w:gridCol w:w="109"/>
        <w:gridCol w:w="109"/>
        <w:gridCol w:w="211"/>
        <w:gridCol w:w="777"/>
        <w:gridCol w:w="160"/>
      </w:tblGrid>
      <w:tr>
        <w:trPr/>
        <w:tc>
          <w:tcPr>
            <w:tcW w:w="147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Interest rate swap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Income taxes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(38,762)</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(37,755)</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1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 to interest expense (2)</w:t>
            </w:r>
          </w:p>
        </w:tc>
        <w:tc>
          <w:tcPr>
            <w:tcW w:w="1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3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comprehensive income (loss)</w:t>
            </w:r>
          </w:p>
        </w:tc>
        <w:tc>
          <w:tcPr>
            <w:tcW w:w="17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(5,733)</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(6,631)</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2024</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(44,495)</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(44,386)</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(40,172)</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17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 to interest expense (2)</w:t>
            </w:r>
          </w:p>
        </w:tc>
        <w:tc>
          <w:tcPr>
            <w:tcW w:w="17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r>
      <w:tr>
        <w:trPr/>
        <w:tc>
          <w:tcPr>
            <w:tcW w:w="3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other comprehensive income (loss)</w:t>
            </w:r>
          </w:p>
        </w:tc>
        <w:tc>
          <w:tcPr>
            <w:tcW w:w="17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2023</w:t>
            </w:r>
          </w:p>
        </w:tc>
        <w:tc>
          <w:tcPr>
            <w:tcW w:w="3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(40,706)</w:t>
            </w:r>
          </w:p>
        </w:tc>
        <w:tc>
          <w:tcPr>
            <w:tcW w:w="1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(38,801)</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w:t>
      </w:r>
    </w:p>
    <w:p>
      <w:pPr>
        <w:pStyle w:val="TextBody"/>
        <w:bidi w:val="0"/>
        <w:spacing w:lineRule="auto" w:line="288" w:before="6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 Income tax effect of changes in interest rate swap.</w:t>
      </w:r>
    </w:p>
    <w:p>
      <w:pPr>
        <w:pStyle w:val="TextBody"/>
        <w:bidi w:val="0"/>
        <w:spacing w:lineRule="auto" w:line="288" w:before="6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(2) Represents gain recognized in interest expense on effective interest rate swap.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Note 15. Fair Value Measurements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an exit price representing the expected amount that an entity would receive to sell an asset or pay to transfer a liability in an orderly transaction with market participants at the measurement date. We followed consistent methods and assumptions to estimate fair values as more fully described in the 2023 Annual Report.</w:t>
      </w:r>
    </w:p>
    <w:p>
      <w:pPr>
        <w:pStyle w:val="TextBody"/>
        <w:bidi w:val="0"/>
        <w:spacing w:lineRule="auto" w:line="288" w:before="18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Embedded Derivatives</w:t>
      </w:r>
    </w:p>
    <w:p>
      <w:pPr>
        <w:pStyle w:val="TextBody"/>
        <w:bidi w:val="0"/>
        <w:spacing w:lineRule="auto" w:line="288" w:before="0" w:after="120"/>
        <w:jc w:val="left"/>
        <w:rPr/>
      </w:pPr>
      <w:r>
        <w:rPr>
          <w:rFonts w:ascii="Times New Roman;sans-serif" w:hAnsi="Times New Roman;sans-serif"/>
          <w:b w:val="false"/>
          <w:color w:val="000000"/>
          <w:sz w:val="20"/>
        </w:rPr>
        <w:t xml:space="preserve">In accordance with ASC 815-15, </w:t>
      </w:r>
      <w:r>
        <w:rPr>
          <w:rFonts w:ascii="Times New Roman;sans-serif" w:hAnsi="Times New Roman;sans-serif"/>
          <w:b w:val="false"/>
          <w:i/>
          <w:color w:val="000000"/>
          <w:sz w:val="20"/>
        </w:rPr>
        <w:t>Derivatives and Hedging - Embedded Derivatives</w:t>
      </w:r>
      <w:r>
        <w:rPr>
          <w:rFonts w:ascii="Times New Roman;sans-serif" w:hAnsi="Times New Roman;sans-serif"/>
          <w:b w:val="false"/>
          <w:color w:val="000000"/>
          <w:sz w:val="20"/>
        </w:rPr>
        <w:t>, certain features of our preferred stock and long-term debt were bifurcated and accounted for as derivatives separately.</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conjunction with an amendment to our Term Loan in 2023, we issued warrants to purchase up to 2.0 million shares of our common stock at an exercise price of $0.01 per share (the “2023 Warrants”). The 2023 Warrants are exercisable, in full or in part, at any time prior to June 30, 2033. The 2023 Warrants include anti-dilution adjustments in the event of certain future equity issuances, stock splits, stock dividends, combinations or similar events. During the six months ended June 30, 2024, 500,000 of the 2023 Warrants were exercised on a cashless basis, resulting in the issuance of 499,000 shares.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conjunction with our placement of the Series D Preferred Stock, we issued the 2021 Warrants to purchase up to 1.9 million shares of our common stock. The 2021 Warrants were exercisable, in full or in part, at an exercise price of $0.01 per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18f5a0ebe87146159c7110a754333c3e_7">
        <w:r>
          <w:rPr>
            <w:rStyle w:val="InternetLink"/>
            <w:rFonts w:ascii="Times New Roman;sans-serif" w:hAnsi="Times New Roman;sans-serif"/>
            <w:b w:val="false"/>
            <w:color w:val="0000FF"/>
            <w:sz w:val="18"/>
            <w:u w:val="single"/>
          </w:rPr>
          <w:t>Table of Contents</w:t>
        </w:r>
      </w:hyperlink>
      <w:r>
        <w:rPr>
          <w:color w:val="000000"/>
        </w:rPr>
        <w:t>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anti-dilution adjustments in the event of certain future equity issuances, stock splits, stock dividends, combinations or similar events. During the six months ended June 30, 2024, all of the 2021 Warrants were exercised on a cashless basis, resulting in the issuance of 1,896,000 shares.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conjunction with our placement of Series B Preferred Stock in 2019, we issued detachable warrants to purchase up to 1.5 million shares of our common stock (the “2019 Warrants”). The 2019 Warrants, are exercisable, in full or in part, at any time prior to December 11, 2026, at an exercise price of $11.03 per share, and are subject to anti-dilution adjustments in the event of future below market issuances, stock splits, stock dividends, combinations or similar events.</w:t>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 in the liability balance of the embedded derivatives during the six months ended June 30, 2024.</w:t>
      </w:r>
    </w:p>
    <w:tbl>
      <w:tblPr>
        <w:tblW w:w="3905" w:type="dxa"/>
        <w:jc w:val="left"/>
        <w:tblInd w:w="0" w:type="dxa"/>
        <w:tblLayout w:type="fixed"/>
        <w:tblCellMar>
          <w:top w:w="28" w:type="dxa"/>
          <w:left w:w="28" w:type="dxa"/>
          <w:bottom w:w="28" w:type="dxa"/>
          <w:right w:w="28" w:type="dxa"/>
        </w:tblCellMar>
      </w:tblPr>
      <w:tblGrid>
        <w:gridCol w:w="1021"/>
        <w:gridCol w:w="896"/>
        <w:gridCol w:w="902"/>
        <w:gridCol w:w="211"/>
        <w:gridCol w:w="721"/>
        <w:gridCol w:w="154"/>
      </w:tblGrid>
      <w:tr>
        <w:trPr/>
        <w:tc>
          <w:tcPr>
            <w:tcW w:w="102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1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June 30,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Changes in the fair value are recognized in the “Other expense (income), net” line in the Condensed Consolidated Statements of Operations and Comprehensive Income (Loss).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the fair values of the embedded derivatives within the fair value hierarchy.</w:t>
      </w:r>
    </w:p>
    <w:tbl>
      <w:tblPr>
        <w:tblW w:w="10205" w:type="dxa"/>
        <w:jc w:val="left"/>
        <w:tblInd w:w="0" w:type="dxa"/>
        <w:tblLayout w:type="fixed"/>
        <w:tblCellMar>
          <w:top w:w="28" w:type="dxa"/>
          <w:left w:w="28" w:type="dxa"/>
          <w:bottom w:w="28" w:type="dxa"/>
          <w:right w:w="28" w:type="dxa"/>
        </w:tblCellMar>
      </w:tblPr>
      <w:tblGrid>
        <w:gridCol w:w="1047"/>
        <w:gridCol w:w="923"/>
        <w:gridCol w:w="906"/>
        <w:gridCol w:w="612"/>
        <w:gridCol w:w="1788"/>
        <w:gridCol w:w="316"/>
        <w:gridCol w:w="109"/>
        <w:gridCol w:w="109"/>
        <w:gridCol w:w="109"/>
        <w:gridCol w:w="585"/>
        <w:gridCol w:w="1127"/>
        <w:gridCol w:w="305"/>
        <w:gridCol w:w="109"/>
        <w:gridCol w:w="109"/>
        <w:gridCol w:w="109"/>
        <w:gridCol w:w="490"/>
        <w:gridCol w:w="1085"/>
        <w:gridCol w:w="367"/>
      </w:tblGrid>
      <w:tr>
        <w:trPr/>
        <w:tc>
          <w:tcPr>
            <w:tcW w:w="1047"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78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2876" w:type="dxa"/>
            <w:gridSpan w:val="3"/>
            <w:tcBorders/>
            <w:vAlign w:val="center"/>
          </w:tcPr>
          <w:p>
            <w:pPr>
              <w:pStyle w:val="TableContents"/>
              <w:bidi w:val="0"/>
              <w:spacing w:before="0" w:after="283"/>
              <w:jc w:val="left"/>
              <w:rPr>
                <w:sz w:val="4"/>
                <w:szCs w:val="4"/>
              </w:rPr>
            </w:pPr>
            <w:r>
              <w:rPr>
                <w:sz w:val="4"/>
                <w:szCs w:val="4"/>
              </w:rPr>
            </w:r>
          </w:p>
        </w:tc>
        <w:tc>
          <w:tcPr>
            <w:tcW w:w="2716" w:type="dxa"/>
            <w:gridSpan w:val="3"/>
            <w:tcBorders/>
            <w:vAlign w:val="center"/>
          </w:tcPr>
          <w:p>
            <w:pPr>
              <w:pStyle w:val="TableContents"/>
              <w:bidi w:val="0"/>
              <w:spacing w:before="0" w:after="283"/>
              <w:jc w:val="left"/>
              <w:rPr>
                <w:sz w:val="4"/>
                <w:szCs w:val="4"/>
              </w:rPr>
            </w:pPr>
            <w:r>
              <w:rPr>
                <w:sz w:val="4"/>
                <w:szCs w:val="4"/>
              </w:rPr>
            </w:r>
          </w:p>
        </w:tc>
        <w:tc>
          <w:tcPr>
            <w:tcW w:w="4613" w:type="dxa"/>
            <w:gridSpan w:val="12"/>
            <w:tcBorders/>
          </w:tcPr>
          <w:p>
            <w:pPr>
              <w:pStyle w:val="TableContents"/>
              <w:bidi w:val="0"/>
              <w:spacing w:before="0" w:after="283"/>
              <w:jc w:val="left"/>
              <w:rPr>
                <w:sz w:val="4"/>
                <w:szCs w:val="4"/>
              </w:rPr>
            </w:pPr>
            <w:r>
              <w:rPr>
                <w:sz w:val="4"/>
                <w:szCs w:val="4"/>
              </w:rPr>
            </w:r>
          </w:p>
        </w:tc>
      </w:tr>
      <w:tr>
        <w:trPr/>
        <w:tc>
          <w:tcPr>
            <w:tcW w:w="2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June 30, 2024</w:t>
            </w:r>
          </w:p>
        </w:tc>
        <w:tc>
          <w:tcPr>
            <w:tcW w:w="27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w:t>
              <w:br/>
              <w:t>(Level 3)</w:t>
            </w:r>
          </w:p>
        </w:tc>
      </w:tr>
      <w:tr>
        <w:trPr/>
        <w:tc>
          <w:tcPr>
            <w:tcW w:w="2876" w:type="dxa"/>
            <w:gridSpan w:val="3"/>
            <w:tcBorders/>
            <w:vAlign w:val="center"/>
          </w:tcPr>
          <w:p>
            <w:pPr>
              <w:pStyle w:val="TableContents"/>
              <w:bidi w:val="0"/>
              <w:spacing w:before="0" w:after="283"/>
              <w:jc w:val="left"/>
              <w:rPr>
                <w:sz w:val="4"/>
                <w:szCs w:val="4"/>
              </w:rPr>
            </w:pPr>
            <w:r>
              <w:rPr>
                <w:sz w:val="4"/>
                <w:szCs w:val="4"/>
              </w:rPr>
            </w:r>
          </w:p>
        </w:tc>
        <w:tc>
          <w:tcPr>
            <w:tcW w:w="2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2" w:type="dxa"/>
            <w:gridSpan w:val="3"/>
            <w:tcBorders/>
            <w:vAlign w:val="center"/>
          </w:tcPr>
          <w:p>
            <w:pPr>
              <w:pStyle w:val="TableContents"/>
              <w:bidi w:val="0"/>
              <w:spacing w:before="0" w:after="283"/>
              <w:jc w:val="left"/>
              <w:rPr>
                <w:sz w:val="4"/>
                <w:szCs w:val="4"/>
              </w:rPr>
            </w:pPr>
            <w:r>
              <w:rPr>
                <w:sz w:val="4"/>
                <w:szCs w:val="4"/>
              </w:rPr>
            </w:r>
          </w:p>
        </w:tc>
      </w:tr>
      <w:tr>
        <w:trPr/>
        <w:tc>
          <w:tcPr>
            <w:tcW w:w="2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 other non-current liabilities</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6" w:type="dxa"/>
            <w:gridSpan w:val="3"/>
            <w:tcBorders/>
            <w:vAlign w:val="center"/>
          </w:tcPr>
          <w:p>
            <w:pPr>
              <w:pStyle w:val="TableContents"/>
              <w:bidi w:val="0"/>
              <w:spacing w:before="0" w:after="283"/>
              <w:jc w:val="left"/>
              <w:rPr>
                <w:sz w:val="4"/>
                <w:szCs w:val="4"/>
              </w:rPr>
            </w:pPr>
            <w:r>
              <w:rPr>
                <w:sz w:val="4"/>
                <w:szCs w:val="4"/>
              </w:rPr>
            </w:r>
          </w:p>
        </w:tc>
        <w:tc>
          <w:tcPr>
            <w:tcW w:w="2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92"/>
        <w:gridCol w:w="884"/>
        <w:gridCol w:w="886"/>
        <w:gridCol w:w="556"/>
        <w:gridCol w:w="1902"/>
        <w:gridCol w:w="287"/>
        <w:gridCol w:w="109"/>
        <w:gridCol w:w="109"/>
        <w:gridCol w:w="109"/>
        <w:gridCol w:w="582"/>
        <w:gridCol w:w="1122"/>
        <w:gridCol w:w="304"/>
        <w:gridCol w:w="109"/>
        <w:gridCol w:w="109"/>
        <w:gridCol w:w="109"/>
        <w:gridCol w:w="414"/>
        <w:gridCol w:w="1212"/>
        <w:gridCol w:w="310"/>
      </w:tblGrid>
      <w:tr>
        <w:trPr/>
        <w:tc>
          <w:tcPr>
            <w:tcW w:w="1092"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902"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2862" w:type="dxa"/>
            <w:gridSpan w:val="3"/>
            <w:tcBorders/>
            <w:vAlign w:val="center"/>
          </w:tcPr>
          <w:p>
            <w:pPr>
              <w:pStyle w:val="TableContents"/>
              <w:bidi w:val="0"/>
              <w:spacing w:before="0" w:after="283"/>
              <w:jc w:val="left"/>
              <w:rPr>
                <w:sz w:val="4"/>
                <w:szCs w:val="4"/>
              </w:rPr>
            </w:pPr>
            <w:r>
              <w:rPr>
                <w:sz w:val="4"/>
                <w:szCs w:val="4"/>
              </w:rPr>
            </w:r>
          </w:p>
        </w:tc>
        <w:tc>
          <w:tcPr>
            <w:tcW w:w="2745" w:type="dxa"/>
            <w:gridSpan w:val="3"/>
            <w:tcBorders/>
            <w:vAlign w:val="center"/>
          </w:tcPr>
          <w:p>
            <w:pPr>
              <w:pStyle w:val="TableContents"/>
              <w:bidi w:val="0"/>
              <w:spacing w:before="0" w:after="283"/>
              <w:jc w:val="left"/>
              <w:rPr>
                <w:sz w:val="4"/>
                <w:szCs w:val="4"/>
              </w:rPr>
            </w:pPr>
            <w:r>
              <w:rPr>
                <w:sz w:val="4"/>
                <w:szCs w:val="4"/>
              </w:rPr>
            </w:r>
          </w:p>
        </w:tc>
        <w:tc>
          <w:tcPr>
            <w:tcW w:w="4598" w:type="dxa"/>
            <w:gridSpan w:val="12"/>
            <w:tcBorders/>
          </w:tcPr>
          <w:p>
            <w:pPr>
              <w:pStyle w:val="TableContents"/>
              <w:bidi w:val="0"/>
              <w:spacing w:before="0" w:after="283"/>
              <w:jc w:val="left"/>
              <w:rPr>
                <w:sz w:val="4"/>
                <w:szCs w:val="4"/>
              </w:rPr>
            </w:pPr>
            <w:r>
              <w:rPr>
                <w:sz w:val="4"/>
                <w:szCs w:val="4"/>
              </w:rPr>
            </w:r>
          </w:p>
        </w:tc>
      </w:tr>
      <w:tr>
        <w:trPr/>
        <w:tc>
          <w:tcPr>
            <w:tcW w:w="28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December 31, 2023</w:t>
            </w:r>
          </w:p>
        </w:tc>
        <w:tc>
          <w:tcPr>
            <w:tcW w:w="27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Quoted Prices in Active Markets for Identical Assets</w:t>
              <w:b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Other Observable Inputs</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Significant Unobservable Inputs</w:t>
              <w:br/>
              <w:t>(Level 3)</w:t>
            </w:r>
          </w:p>
        </w:tc>
      </w:tr>
      <w:tr>
        <w:trPr/>
        <w:tc>
          <w:tcPr>
            <w:tcW w:w="2862" w:type="dxa"/>
            <w:gridSpan w:val="3"/>
            <w:tcBorders/>
            <w:vAlign w:val="center"/>
          </w:tcPr>
          <w:p>
            <w:pPr>
              <w:pStyle w:val="TableContents"/>
              <w:bidi w:val="0"/>
              <w:spacing w:before="0" w:after="283"/>
              <w:jc w:val="left"/>
              <w:rPr>
                <w:sz w:val="4"/>
                <w:szCs w:val="4"/>
              </w:rPr>
            </w:pPr>
            <w:r>
              <w:rPr>
                <w:sz w:val="4"/>
                <w:szCs w:val="4"/>
              </w:rPr>
            </w:r>
          </w:p>
        </w:tc>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r>
      <w:tr>
        <w:trPr/>
        <w:tc>
          <w:tcPr>
            <w:tcW w:w="2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 - other non-current liabilities</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15,421 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1,135 </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2" w:type="dxa"/>
            <w:gridSpan w:val="3"/>
            <w:tcBorders/>
            <w:vAlign w:val="center"/>
          </w:tcPr>
          <w:p>
            <w:pPr>
              <w:pStyle w:val="TableContents"/>
              <w:bidi w:val="0"/>
              <w:spacing w:before="0" w:after="283"/>
              <w:jc w:val="left"/>
              <w:rPr>
                <w:sz w:val="4"/>
                <w:szCs w:val="4"/>
              </w:rPr>
            </w:pPr>
            <w:r>
              <w:rPr>
                <w:sz w:val="4"/>
                <w:szCs w:val="4"/>
              </w:rPr>
            </w:r>
          </w:p>
        </w:tc>
        <w:tc>
          <w:tcPr>
            <w:tcW w:w="2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2023 Warrants and 2021 Warrants is determined using the observable market price of a share of our common stock, less the $0.01 per share exercise price (Level 1).</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2019 Warrants is determined using a valuation model that utilizes unobservable inputs to determine the probability that the 2019 Warrants will remain outstanding for future periods (Level 3). The probabilities resulted in a weighted average term of 2.9 years as of June 30, 2024 and December 31, 2023.</w:t>
      </w:r>
    </w:p>
    <w:p>
      <w:pPr>
        <w:pStyle w:val="TextBody"/>
        <w:bidi w:val="0"/>
        <w:spacing w:lineRule="auto" w:line="288" w:before="24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Swap</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22, 2021, we entered into a fixed-rate interest rate swap agreement to change the LIBOR-based component of the interest rate on a portion of our variable rate debt to a fixed rate of 1.291% (the “2021 Swap”). The 2021 Swap had a notional amount of $60.0 million and a maturity date of July 31, 2024. We designated the 2021 Swap as a cash flow hedge at inception with cash settlements recognized in interest expense. During the first quarter of 2023, we terminated the 2021 Swap and received cash proceeds of $2.5 million, which was the then fair value of the 2021 Swap. Since the 2021 Swap was an effective cash flow hedge and the forecasted interest payments remain probable of occurring, the gain will be recognized as a reduction to interest expense through the original maturity date of July 31, 2024.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effects of the interest rate swap on the Condensed Consolidated Statements of Operations and Comprehensive Income (Loss).</w:t>
      </w:r>
    </w:p>
    <w:tbl>
      <w:tblPr>
        <w:tblW w:w="6075" w:type="dxa"/>
        <w:jc w:val="left"/>
        <w:tblInd w:w="0" w:type="dxa"/>
        <w:tblLayout w:type="fixed"/>
        <w:tblCellMar>
          <w:top w:w="28" w:type="dxa"/>
          <w:left w:w="28" w:type="dxa"/>
          <w:bottom w:w="28" w:type="dxa"/>
          <w:right w:w="28" w:type="dxa"/>
        </w:tblCellMar>
      </w:tblPr>
      <w:tblGrid>
        <w:gridCol w:w="581"/>
        <w:gridCol w:w="510"/>
        <w:gridCol w:w="514"/>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11"/>
        <w:gridCol w:w="541"/>
        <w:gridCol w:w="154"/>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Six Months Ended </w:t>
              <w:br/>
              <w:t>June 30,</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benefit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w:t>
      </w:r>
    </w:p>
    <w:p>
      <w:pPr>
        <w:pStyle w:val="TextBody"/>
        <w:bidi w:val="0"/>
        <w:spacing w:lineRule="auto" w:line="288" w:before="60" w:after="12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(1) Represents gain recognized in interest expense on effective interest rate swap.</w:t>
      </w:r>
    </w:p>
    <w:p>
      <w:pPr>
        <w:pStyle w:val="TextBody"/>
        <w:bidi w:val="0"/>
        <w:spacing w:lineRule="auto" w:line="288" w:before="18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Fair Value Disclosures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instruments that are subject to fair value disclosure consist of cash and cash equivalents, accounts receivable, accounts payable, and debt. As of June 30, 2024 and December 31, 2023, the carrying values of these financial instruments,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18f5a0ebe87146159c7110a754333c3e_7">
        <w:r>
          <w:rPr>
            <w:rStyle w:val="InternetLink"/>
            <w:rFonts w:ascii="Times New Roman;sans-serif" w:hAnsi="Times New Roman;sans-serif"/>
            <w:b w:val="false"/>
            <w:color w:val="0000FF"/>
            <w:sz w:val="18"/>
            <w:u w:val="single"/>
          </w:rPr>
          <w:t>Table of Contents</w:t>
        </w:r>
      </w:hyperlink>
      <w:r>
        <w:rPr>
          <w:color w:val="000000"/>
        </w:rPr>
        <w:t>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except for debt, approximated fair value. The fair value of our debt was $160.4 million and $162.2 million, with a carrying amount of $158.7 million and $153.3 million, as of June 30, 2024 and December 31, 2023, respectively. The fair value of debt was calculated by discounting the future cash flows to its present value using prevailing market interest rates for debt with similar creditworthiness, terms and maturities (Level 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Note 16. Subsequent Events</w:t>
      </w:r>
    </w:p>
    <w:p>
      <w:pPr>
        <w:pStyle w:val="TextBody"/>
        <w:bidi w:val="0"/>
        <w:spacing w:lineRule="auto" w:line="288" w:before="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Assets and Liabilities Held for Sale</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2, 2024, we completed the sale of our lone plastics injection-molding plant, known as Industrial Molding Corporation (“IMC”), for $17.0 million in cash, subject to customary purchase price adjustments. We received net proceeds of $15.4 million after paying certain transaction costs, which was used to repay a portion of the outstanding borrowings under the Term Loan Facility in July 2024. We determined that the sale of IMC does not represent a strategic shift that will have a major effect on the consolidated results of operations, therefore the results of this business were not classified as discontinued operations and will continue to be reported within our Power Solutions segment. We determined that the IMC business met the criteria to be classified as held for sale as of June 30, 2024, and therefore have reclassified the related assets and liabilities as held for sale.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is a summary of the major categories of assets and liabilities that have been classified as held for sale, and the line item on the Condensed Consolidated Balance Sheet they are reported in: </w:t>
      </w:r>
    </w:p>
    <w:tbl>
      <w:tblPr>
        <w:tblW w:w="7177" w:type="dxa"/>
        <w:jc w:val="left"/>
        <w:tblInd w:w="0" w:type="dxa"/>
        <w:tblLayout w:type="fixed"/>
        <w:tblCellMar>
          <w:top w:w="28" w:type="dxa"/>
          <w:left w:w="28" w:type="dxa"/>
          <w:bottom w:w="28" w:type="dxa"/>
          <w:right w:w="28" w:type="dxa"/>
        </w:tblCellMar>
      </w:tblPr>
      <w:tblGrid>
        <w:gridCol w:w="1104"/>
        <w:gridCol w:w="973"/>
        <w:gridCol w:w="982"/>
        <w:gridCol w:w="109"/>
        <w:gridCol w:w="109"/>
        <w:gridCol w:w="109"/>
        <w:gridCol w:w="764"/>
        <w:gridCol w:w="764"/>
        <w:gridCol w:w="767"/>
        <w:gridCol w:w="109"/>
        <w:gridCol w:w="109"/>
        <w:gridCol w:w="109"/>
        <w:gridCol w:w="251"/>
        <w:gridCol w:w="735"/>
        <w:gridCol w:w="183"/>
      </w:tblGrid>
      <w:tr>
        <w:trPr/>
        <w:tc>
          <w:tcPr>
            <w:tcW w:w="1104"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Financial Statement Line 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Assets: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3,839 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wages and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18f5a0ebe87146159c7110a754333c3e_7">
        <w:r>
          <w:rPr>
            <w:rStyle w:val="InternetLink"/>
            <w:rFonts w:ascii="Times New Roman;sans-serif" w:hAnsi="Times New Roman;sans-serif"/>
            <w:b w:val="false"/>
            <w:color w:val="0000FF"/>
            <w:sz w:val="18"/>
            <w:u w:val="single"/>
          </w:rPr>
          <w:t>Table of Contents</w:t>
        </w:r>
      </w:hyperlink>
      <w:r>
        <w:rPr>
          <w:color w:val="000000"/>
        </w:rPr>
        <w:t>    </w:t>
      </w:r>
    </w:p>
    <w:p>
      <w:pPr>
        <w:pStyle w:val="TextBody"/>
        <w:bidi w:val="0"/>
        <w:spacing w:lineRule="auto" w:line="288" w:before="240" w:after="6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 is intended to help the reader understand the results of operations and financial condition of NN, Inc. and its consolidated subsidiaries for the three and six months ended June 30, 2024. The financial information as of June 30, 2024, should be read in conjunction with the consolidated financial statements for the year ended December 31, 2023, contained in our 2023 Annual Report, and the Condensed Consolidated Financial Statements included in this Quarterly Report.</w:t>
      </w:r>
    </w:p>
    <w:p>
      <w:pPr>
        <w:pStyle w:val="TextBody"/>
        <w:bidi w:val="0"/>
        <w:spacing w:lineRule="auto" w:line="288" w:before="180" w:after="6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NN, Inc., a Delaware corporation, is a diversified industrial company that combines advanced engineering and production capabilities with in-depth materials science expertise to design and manufacture high-precision components and assemblies for a variety of end markets on a global basis. As used in this Quarterly Report, the terms “NN,” the “Company,” “we,” “our,” or “us” refer to NN, Inc. and its subsidiaries. </w:t>
      </w:r>
    </w:p>
    <w:p>
      <w:pPr>
        <w:pStyle w:val="TextBody"/>
        <w:bidi w:val="0"/>
        <w:spacing w:lineRule="auto" w:line="288" w:before="180" w:after="60"/>
        <w:jc w:val="left"/>
        <w:rPr>
          <w:rFonts w:ascii="Times New Roman;sans-serif" w:hAnsi="Times New Roman;sans-serif"/>
          <w:b/>
          <w:color w:val="000000"/>
          <w:sz w:val="20"/>
        </w:rPr>
      </w:pPr>
      <w:r>
        <w:rPr>
          <w:rFonts w:ascii="Times New Roman;sans-serif" w:hAnsi="Times New Roman;sans-serif"/>
          <w:b/>
          <w:color w:val="000000"/>
          <w:sz w:val="20"/>
        </w:rPr>
        <w:t xml:space="preserve">Forward-Looking Statements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contains forward-looking statements within the meaning of Section 27A of the Securities Act of 1933, as amended, and Section 21E of the Securities Exchange Act of 1934, as amended (the “Exchange Act”), which are intended to be covered by the safe harbor provisions of the Private Securities Litigation Reform Act of 1995 and include this statement for purposes of complying with these safe harbor provisions. These statements may discuss goals, intentions and expectations as to future trends, plans, events, results of operations or financial condition, or state other information relating to the Company, based on current beliefs of management as well as assumptions made by, and information currently available to, management. Forward-looking statements generally will be accompanied by words such as “anticipate,” “believe,” “could,” “estimate,” “expect,” “forecast,” “guidance,” “intend,” “may,” “possible,” “potential,” “predict,” “project” or other similar words, phrases or expressions. Forward-looking statements involve a number of risks and uncertainties that are outside of management’s control and that may cause actual results to be materially different from such forward-looking statements. Such factors include, among others, general economic conditions and economic conditions in the industrial sector; the impacts of pandemics, epidemics, disease outbreaks and other public health crises on our financial condition, business operations and liquidity; competitive influences; risks that current customers will commence or increase captive production; risks of capacity underutilization; quality issues; material changes in the costs and availability of raw materials; economic, social, political and geopolitical instability, military conflict, currency fluctuation, and other risks of doing business outside of the United States; inflationary pressures and changes in the cost or availability of materials, supply chain shortages and disruptions, the availability of labor and labor disruptions along the supply chain; our dependence on certain major customers, some of whom are not parties to long-term agreements (and/or are terminable on short notice); the impact of acquisitions and divestitures, as well as expansion of end markets and product offerings; our ability to hire or retain key personnel; the level of our indebtedness; the restrictions contained in our debt agreements; our ability to obtain financing at favorable rates, if at all, and to refinance existing debt as it matures; our ability to secure, maintain or enforce patents or other appropriate protections for our intellectual property; new laws and governmental regulations; the impact of climate change on our operations; and cyber liability or potential liability for breaches of our or our service providers’ information technology systems or business operations disruptions. Any forward-looking statement speaks only as of the date of this Quarterly Report, and the Company undertakes no obligation to publicly update or review any forward-looking statement, whether as a result of new information, future developments or otherwise, except as required by law. New risks and uncertainties may emerge from time to time, and it is not possible for the Company to predict their occurrence or how they will affect the Company. The Company qualifies all forward-looking statements by these cautionary statements.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concerning such risk factors and cautionary statements, please see the sections titled “Item 1A. Risk Factors” in the 2023 Annual Report and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Factors That May Influence Results of Operations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paragraphs describe factors that have influenced results of operations for the six months ended June 30, 2024, that management believes are important to provide an understanding of the business and results of operations or that may influence operations in the future.</w:t>
      </w:r>
    </w:p>
    <w:p>
      <w:pPr>
        <w:pStyle w:val="TextBody"/>
        <w:bidi w:val="0"/>
        <w:spacing w:lineRule="auto" w:line="288" w:before="180" w:after="6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Macroeconomic Conditions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continue to monitor the ongoing impacts of current macroeconomic and geopolitical events, including changing conditions from ongoing military conflicts, inflationary cost pressures, elevated interest rates, supply chain disruptions, and labor shortages and disruptions.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18f5a0ebe87146159c7110a754333c3e_7">
        <w:r>
          <w:rPr>
            <w:rStyle w:val="InternetLink"/>
            <w:rFonts w:ascii="Times New Roman;sans-serif" w:hAnsi="Times New Roman;sans-serif"/>
            <w:b w:val="false"/>
            <w:color w:val="0000FF"/>
            <w:sz w:val="18"/>
            <w:u w:val="single"/>
          </w:rPr>
          <w:t>Table of Contents</w:t>
        </w:r>
      </w:hyperlink>
      <w:r>
        <w:rPr>
          <w:color w:val="000000"/>
        </w:rPr>
        <w:t>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Ongoing military conflicts continue to create volatility in global financial and energy markets, creating energy and supply chain shortages, which has added to the inflationary pressures experienced by the global economy. We continue to actively work with our suppliers to minimize impacts of supply shortages on our manufacturing capabilities. Although our business has not been materially impacted by these ongoing military conflicts as of the date of this filing, we cannot reasonably predict the extent to which our operations, or those of our customers or suppliers, will be impacted in the future, or the ways in which the conflicts may impact our business, financial condition, results of operations and cash flows.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U.S. economy has experienced inflationary increases and elevated interest rates, as well as supply issues in materials, services, and labor due to economic policy and military conflicts. We cannot predict the future impact on our end-markets or input costs nor our ability to recover cost increases through pricing.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Three Months Ended June 30, 2024 compared to the Three Months Ended June 30, 2023 </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Consolidated Results</w:t>
      </w:r>
    </w:p>
    <w:tbl>
      <w:tblPr>
        <w:tblW w:w="10205" w:type="dxa"/>
        <w:jc w:val="left"/>
        <w:tblInd w:w="0" w:type="dxa"/>
        <w:tblLayout w:type="fixed"/>
        <w:tblCellMar>
          <w:top w:w="28" w:type="dxa"/>
          <w:left w:w="28" w:type="dxa"/>
          <w:bottom w:w="28" w:type="dxa"/>
          <w:right w:w="28" w:type="dxa"/>
        </w:tblCellMar>
      </w:tblPr>
      <w:tblGrid>
        <w:gridCol w:w="2250"/>
        <w:gridCol w:w="1945"/>
        <w:gridCol w:w="1977"/>
        <w:gridCol w:w="211"/>
        <w:gridCol w:w="826"/>
        <w:gridCol w:w="109"/>
        <w:gridCol w:w="109"/>
        <w:gridCol w:w="109"/>
        <w:gridCol w:w="109"/>
        <w:gridCol w:w="211"/>
        <w:gridCol w:w="826"/>
        <w:gridCol w:w="109"/>
        <w:gridCol w:w="109"/>
        <w:gridCol w:w="109"/>
        <w:gridCol w:w="109"/>
        <w:gridCol w:w="211"/>
        <w:gridCol w:w="721"/>
        <w:gridCol w:w="155"/>
      </w:tblGrid>
      <w:tr>
        <w:trPr/>
        <w:tc>
          <w:tcPr>
            <w:tcW w:w="2250"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(exclusive of depreciation and amortization shown separately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17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17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(9,102)</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benefit (provision) for income taxes and share of net income from joint venture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of net income from joint venture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7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17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12,174 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ans-serif" w:hAnsi="Times New Roman;sans-serif"/>
          <w:b w:val="false"/>
          <w:i/>
          <w:color w:val="000000"/>
          <w:sz w:val="20"/>
        </w:rPr>
        <w:t>Net Sales</w:t>
      </w:r>
      <w:r>
        <w:rPr>
          <w:rFonts w:ascii="Times New Roman;sans-serif" w:hAnsi="Times New Roman;sans-serif"/>
          <w:b w:val="false"/>
          <w:color w:val="000000"/>
          <w:sz w:val="20"/>
        </w:rPr>
        <w:t xml:space="preserve">. Net sales decreased by $2.2 million, or 1.8%, during the three months ended June 30, 2024, compared to the three months ended June 30, 2023, primarily due to rationalized volume at plants undergoing turnarounds and unfavorable foreign exchange effects of $1.0 million, partially offset by the net impact of contractual pricing provisions. </w:t>
      </w:r>
    </w:p>
    <w:p>
      <w:pPr>
        <w:pStyle w:val="TextBody"/>
        <w:bidi w:val="0"/>
        <w:spacing w:lineRule="auto" w:line="288" w:before="0" w:after="120"/>
        <w:jc w:val="left"/>
        <w:rPr/>
      </w:pPr>
      <w:r>
        <w:rPr>
          <w:rFonts w:ascii="Times New Roman;sans-serif" w:hAnsi="Times New Roman;sans-serif"/>
          <w:b w:val="false"/>
          <w:i/>
          <w:color w:val="000000"/>
          <w:sz w:val="20"/>
        </w:rPr>
        <w:t>Cost of Sales.</w:t>
      </w:r>
      <w:r>
        <w:rPr>
          <w:color w:val="000000"/>
        </w:rPr>
        <w:t> </w:t>
      </w:r>
      <w:r>
        <w:rPr>
          <w:rFonts w:ascii="Times New Roman;sans-serif" w:hAnsi="Times New Roman;sans-serif"/>
          <w:b w:val="false"/>
          <w:color w:val="000000"/>
          <w:sz w:val="20"/>
        </w:rPr>
        <w:t xml:space="preserve">Cost of sales decreased by $6.4 million, or 6.0%, during the three months ended June 30, 2024, compared to the three months ended June 30, 2023, primarily due to a reduction in indirect manufacturing costs related to actions taken in 2023 to optimize plant operations as well as the impact of lower sales volume. </w:t>
      </w:r>
    </w:p>
    <w:p>
      <w:pPr>
        <w:pStyle w:val="TextBody"/>
        <w:bidi w:val="0"/>
        <w:spacing w:lineRule="auto" w:line="288" w:before="0" w:after="120"/>
        <w:jc w:val="left"/>
        <w:rPr/>
      </w:pPr>
      <w:r>
        <w:rPr>
          <w:rFonts w:ascii="Times New Roman;sans-serif" w:hAnsi="Times New Roman;sans-serif"/>
          <w:b w:val="false"/>
          <w:i/>
          <w:color w:val="000000"/>
          <w:sz w:val="20"/>
        </w:rPr>
        <w:t>Selling, General, and Administrative Expense.</w:t>
      </w:r>
      <w:r>
        <w:rPr>
          <w:color w:val="000000"/>
        </w:rPr>
        <w:t> </w:t>
      </w:r>
      <w:r>
        <w:rPr>
          <w:rFonts w:ascii="Times New Roman;sans-serif" w:hAnsi="Times New Roman;sans-serif"/>
          <w:b w:val="false"/>
          <w:color w:val="000000"/>
          <w:sz w:val="20"/>
        </w:rPr>
        <w:t xml:space="preserve">Selling, general, and administrative expense increased by $2.5 million during the three months ended June 30, 2024, compared to the three months ended June 30, 2023, primarily due to higher incentive compensation and stock compensation expense. </w:t>
      </w:r>
    </w:p>
    <w:p>
      <w:pPr>
        <w:pStyle w:val="TextBody"/>
        <w:bidi w:val="0"/>
        <w:spacing w:lineRule="auto" w:line="288" w:before="0" w:after="120"/>
        <w:jc w:val="left"/>
        <w:rPr/>
      </w:pPr>
      <w:r>
        <w:rPr>
          <w:rFonts w:ascii="Times New Roman;sans-serif" w:hAnsi="Times New Roman;sans-serif"/>
          <w:b w:val="false"/>
          <w:i/>
          <w:color w:val="000000"/>
          <w:sz w:val="20"/>
        </w:rPr>
        <w:t>Other Operating Income, Net.</w:t>
      </w:r>
      <w:r>
        <w:rPr>
          <w:color w:val="000000"/>
        </w:rPr>
        <w:t xml:space="preserve"> </w:t>
      </w:r>
      <w:r>
        <w:rPr>
          <w:rFonts w:ascii="Times New Roman;sans-serif" w:hAnsi="Times New Roman;sans-serif"/>
          <w:b w:val="false"/>
          <w:color w:val="000000"/>
          <w:sz w:val="20"/>
        </w:rPr>
        <w:t xml:space="preserve">Other operating income, net changed favorably by $0.4 million during the three months ended June 30, 2024, compared to the three months ended June 30, 2023, primarily due to sublease income related to the facilities that closed during the second quarter of 2023, partially offset by a reduction in gains on sales of machinery and equipment. </w:t>
      </w:r>
    </w:p>
    <w:p>
      <w:pPr>
        <w:pStyle w:val="TextBody"/>
        <w:bidi w:val="0"/>
        <w:spacing w:lineRule="auto" w:line="288" w:before="0" w:after="0"/>
        <w:jc w:val="left"/>
        <w:rPr/>
      </w:pPr>
      <w:r>
        <w:rPr>
          <w:rFonts w:ascii="Times New Roman;sans-serif" w:hAnsi="Times New Roman;sans-serif"/>
          <w:b w:val="false"/>
          <w:i/>
          <w:color w:val="000000"/>
          <w:sz w:val="20"/>
        </w:rPr>
        <w:t>Interest Expense.</w:t>
      </w:r>
      <w:r>
        <w:rPr>
          <w:color w:val="000000"/>
        </w:rPr>
        <w:t xml:space="preserve">  </w:t>
      </w:r>
      <w:r>
        <w:rPr>
          <w:rFonts w:ascii="Times New Roman;sans-serif" w:hAnsi="Times New Roman;sans-serif"/>
          <w:b w:val="false"/>
          <w:color w:val="000000"/>
          <w:sz w:val="20"/>
        </w:rPr>
        <w:t>Interest expense increased by $0.4 million during the three months ended June 30, 2024, compared to the three months ended June 30, 2023, primarily due to a lower amount of interest expense that was capitalized in the current quarter compared with the second quarter of 2023.</w:t>
      </w:r>
    </w:p>
    <w:tbl>
      <w:tblPr>
        <w:tblW w:w="6402" w:type="dxa"/>
        <w:jc w:val="left"/>
        <w:tblInd w:w="0" w:type="dxa"/>
        <w:tblLayout w:type="fixed"/>
        <w:tblCellMar>
          <w:top w:w="28" w:type="dxa"/>
          <w:left w:w="28" w:type="dxa"/>
          <w:bottom w:w="28" w:type="dxa"/>
          <w:right w:w="28" w:type="dxa"/>
        </w:tblCellMar>
      </w:tblPr>
      <w:tblGrid>
        <w:gridCol w:w="1482"/>
        <w:gridCol w:w="1300"/>
        <w:gridCol w:w="1312"/>
        <w:gridCol w:w="217"/>
        <w:gridCol w:w="634"/>
        <w:gridCol w:w="112"/>
        <w:gridCol w:w="112"/>
        <w:gridCol w:w="112"/>
        <w:gridCol w:w="112"/>
        <w:gridCol w:w="217"/>
        <w:gridCol w:w="634"/>
        <w:gridCol w:w="158"/>
      </w:tblGrid>
      <w:tr>
        <w:trPr/>
        <w:tc>
          <w:tcPr>
            <w:tcW w:w="1482"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debt</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recognized on interest rate swap</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discount</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18f5a0ebe87146159c7110a754333c3e_7">
        <w:r>
          <w:rPr>
            <w:rStyle w:val="InternetLink"/>
            <w:rFonts w:ascii="Times New Roman;sans-serif" w:hAnsi="Times New Roman;sans-serif"/>
            <w:b w:val="false"/>
            <w:color w:val="0000FF"/>
            <w:sz w:val="18"/>
            <w:u w:val="single"/>
          </w:rPr>
          <w:t>Table of Contents</w:t>
        </w:r>
      </w:hyperlink>
      <w:r>
        <w:rPr>
          <w:color w:val="000000"/>
        </w:rPr>
        <w:t>    </w:t>
      </w:r>
    </w:p>
    <w:p>
      <w:pPr>
        <w:pStyle w:val="TextBody"/>
        <w:bidi w:val="0"/>
        <w:spacing w:lineRule="auto" w:line="288" w:before="0" w:after="120"/>
        <w:jc w:val="left"/>
        <w:rPr/>
      </w:pPr>
      <w:r>
        <w:rPr>
          <w:rFonts w:ascii="Times New Roman;sans-serif" w:hAnsi="Times New Roman;sans-serif"/>
          <w:b w:val="false"/>
          <w:i/>
          <w:color w:val="000000"/>
          <w:sz w:val="20"/>
        </w:rPr>
        <w:t xml:space="preserve">Other Expense (Income), Net. </w:t>
      </w:r>
      <w:r>
        <w:rPr>
          <w:rFonts w:ascii="Times New Roman;sans-serif" w:hAnsi="Times New Roman;sans-serif"/>
          <w:b w:val="false"/>
          <w:color w:val="000000"/>
          <w:sz w:val="20"/>
        </w:rPr>
        <w:t xml:space="preserve">Other expense (income), net changed favorably by $9.1 million during the three months ended June 30, 2024, compared to the three months ended June 30, 2023, primarily due to noncash derivative mark-to-market gains recognized during the current quarter compared to losses recognized in the second quarter of 2023. </w:t>
      </w:r>
    </w:p>
    <w:p>
      <w:pPr>
        <w:pStyle w:val="TextBody"/>
        <w:bidi w:val="0"/>
        <w:spacing w:lineRule="auto" w:line="288" w:before="0" w:after="120"/>
        <w:jc w:val="left"/>
        <w:rPr/>
      </w:pPr>
      <w:r>
        <w:rPr>
          <w:rFonts w:ascii="Times New Roman;sans-serif" w:hAnsi="Times New Roman;sans-serif"/>
          <w:b w:val="false"/>
          <w:i/>
          <w:color w:val="000000"/>
          <w:sz w:val="20"/>
        </w:rPr>
        <w:t>Benefit (Provision) For Income Taxes</w:t>
      </w:r>
      <w:r>
        <w:rPr>
          <w:rFonts w:ascii="Times New Roman;sans-serif" w:hAnsi="Times New Roman;sans-serif"/>
          <w:b w:val="false"/>
          <w:color w:val="000000"/>
          <w:sz w:val="20"/>
        </w:rPr>
        <w:t>. Our effective tax rate was 4.7% for the three months ended June 30, 2024, compared to (2.1)% for the three months ended June 30, 2023. The rate for the three months ended June 30, 2024 was unfavorably impacted due to the accrual of tax on non-permanently reinvested unremitted earnings of foreign subsidiaries and by the limitation on the amount of tax benefit recorded for losses in certain jurisdictions where we believe it is more likely than not that a future tax benefit may not be realized. The effective tax rate was favorably impacted by return to provision adjustments in certain foreign jurisdictions and an amended return in a state jurisdiction.</w:t>
      </w:r>
    </w:p>
    <w:p>
      <w:pPr>
        <w:pStyle w:val="TextBody"/>
        <w:bidi w:val="0"/>
        <w:spacing w:lineRule="auto" w:line="288" w:before="0" w:after="120"/>
        <w:jc w:val="left"/>
        <w:rPr/>
      </w:pPr>
      <w:r>
        <w:rPr>
          <w:rFonts w:ascii="Times New Roman;sans-serif" w:hAnsi="Times New Roman;sans-serif"/>
          <w:b w:val="false"/>
          <w:i/>
          <w:color w:val="000000"/>
          <w:sz w:val="20"/>
        </w:rPr>
        <w:t xml:space="preserve">Share of Net Income from Joint Venture. </w:t>
      </w:r>
      <w:r>
        <w:rPr>
          <w:rFonts w:ascii="Times New Roman;sans-serif" w:hAnsi="Times New Roman;sans-serif"/>
          <w:b w:val="false"/>
          <w:color w:val="000000"/>
          <w:sz w:val="20"/>
        </w:rPr>
        <w:t xml:space="preserve">Share of net income from the JV increased by $1.0 million during the three months ended June 30, 2024, compared to the three months ended June 30, 2023, primarily due to higher sales partially offset by higher fixed costs. The JV, in which we own a 49% investment, recognized net sales of $31.6 million and $24.9 million for the three months ended June 30, 2024 and 2023, respectively. </w:t>
      </w:r>
    </w:p>
    <w:p>
      <w:pPr>
        <w:pStyle w:val="TextBody"/>
        <w:bidi w:val="0"/>
        <w:spacing w:lineRule="auto" w:line="288" w:before="240" w:after="60"/>
        <w:jc w:val="left"/>
        <w:rPr/>
      </w:pPr>
      <w:r>
        <w:rPr>
          <w:rFonts w:ascii="Times New Roman;sans-serif" w:hAnsi="Times New Roman;sans-serif"/>
          <w:b w:val="false"/>
          <w:color w:val="000000"/>
          <w:sz w:val="20"/>
          <w:u w:val="single"/>
        </w:rPr>
        <w:t>Results by Segment</w:t>
      </w:r>
      <w:r>
        <w:rPr>
          <w:color w:val="000000"/>
        </w:rPr>
        <w:t xml:space="preserve">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MOBILE SOLUTIONS</w:t>
      </w:r>
    </w:p>
    <w:tbl>
      <w:tblPr>
        <w:tblW w:w="5606" w:type="dxa"/>
        <w:jc w:val="left"/>
        <w:tblInd w:w="0" w:type="dxa"/>
        <w:tblLayout w:type="fixed"/>
        <w:tblCellMar>
          <w:top w:w="28" w:type="dxa"/>
          <w:left w:w="28" w:type="dxa"/>
          <w:bottom w:w="28" w:type="dxa"/>
          <w:right w:w="28" w:type="dxa"/>
        </w:tblCellMar>
      </w:tblPr>
      <w:tblGrid>
        <w:gridCol w:w="656"/>
        <w:gridCol w:w="574"/>
        <w:gridCol w:w="584"/>
        <w:gridCol w:w="211"/>
        <w:gridCol w:w="721"/>
        <w:gridCol w:w="109"/>
        <w:gridCol w:w="109"/>
        <w:gridCol w:w="109"/>
        <w:gridCol w:w="109"/>
        <w:gridCol w:w="211"/>
        <w:gridCol w:w="721"/>
        <w:gridCol w:w="109"/>
        <w:gridCol w:w="109"/>
        <w:gridCol w:w="109"/>
        <w:gridCol w:w="109"/>
        <w:gridCol w:w="211"/>
        <w:gridCol w:w="691"/>
        <w:gridCol w:w="154"/>
      </w:tblGrid>
      <w:tr>
        <w:trPr/>
        <w:tc>
          <w:tcPr>
            <w:tcW w:w="65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sales decreased by $4.3 million, or 5.6%, during the three months ended June 30, 2024, compared to the three months ended June 30, 2023, primarily due to lower volume at facilities undergoing turnarounds, contractual reduction in customer pricing and unfavorable foreign exchange effects.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Loss from operations decreased by $0.2 million during the three months ended June 30, 2024, compared to the same period in the prior year, primarily due to a reduction in indirect manufacturing costs related to actions taken in 2023 to optimize plant operations. These reductions were partially offset by higher incentive compensation and depreciation expense.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POWER SOLUTIONS </w:t>
      </w:r>
    </w:p>
    <w:tbl>
      <w:tblPr>
        <w:tblW w:w="5757" w:type="dxa"/>
        <w:jc w:val="left"/>
        <w:tblInd w:w="0" w:type="dxa"/>
        <w:tblLayout w:type="fixed"/>
        <w:tblCellMar>
          <w:top w:w="28" w:type="dxa"/>
          <w:left w:w="28" w:type="dxa"/>
          <w:bottom w:w="28" w:type="dxa"/>
          <w:right w:w="28" w:type="dxa"/>
        </w:tblCellMar>
      </w:tblPr>
      <w:tblGrid>
        <w:gridCol w:w="738"/>
        <w:gridCol w:w="646"/>
        <w:gridCol w:w="656"/>
        <w:gridCol w:w="211"/>
        <w:gridCol w:w="721"/>
        <w:gridCol w:w="109"/>
        <w:gridCol w:w="109"/>
        <w:gridCol w:w="109"/>
        <w:gridCol w:w="109"/>
        <w:gridCol w:w="211"/>
        <w:gridCol w:w="721"/>
        <w:gridCol w:w="109"/>
        <w:gridCol w:w="109"/>
        <w:gridCol w:w="109"/>
        <w:gridCol w:w="109"/>
        <w:gridCol w:w="211"/>
        <w:gridCol w:w="616"/>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Net sales increased by $2.1 million, or 4.3%, during the three months ended June 30, 2024 compared to the three months ended June 30, 2023, primarily due to higher precious metals pass-through pricing and inflation pricing, partially offset by lower volume during the current quarter.</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 increased by $2.7 million during the three months ended June 30, 2024 compared to the same period in the prior year, primarily due to the higher revenue as well as lower costs associated with the facilities that closed in 2023 and sublease income earned on those closed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18f5a0ebe87146159c7110a754333c3e_7">
        <w:r>
          <w:rPr>
            <w:rStyle w:val="InternetLink"/>
            <w:rFonts w:ascii="Times New Roman;sans-serif" w:hAnsi="Times New Roman;sans-serif"/>
            <w:b w:val="false"/>
            <w:color w:val="0000FF"/>
            <w:sz w:val="18"/>
            <w:u w:val="single"/>
          </w:rPr>
          <w:t>Table of Contents</w:t>
        </w:r>
      </w:hyperlink>
      <w:r>
        <w:rPr>
          <w:color w:val="000000"/>
        </w:rPr>
        <w:t>    </w:t>
      </w:r>
    </w:p>
    <w:p>
      <w:pPr>
        <w:pStyle w:val="TextBody"/>
        <w:bidi w:val="0"/>
        <w:spacing w:lineRule="auto" w:line="288" w:before="24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Six Months Ended June 30, 2024 compared to the Six Months Ended June 30, 2023</w:t>
      </w:r>
    </w:p>
    <w:p>
      <w:pPr>
        <w:pStyle w:val="TextBody"/>
        <w:bidi w:val="0"/>
        <w:spacing w:lineRule="auto" w:line="288" w:before="0" w:after="0"/>
        <w:jc w:val="left"/>
        <w:rPr/>
      </w:pPr>
      <w:r>
        <w:rPr>
          <w:rFonts w:ascii="Times New Roman;sans-serif" w:hAnsi="Times New Roman;sans-serif"/>
          <w:b w:val="false"/>
          <w:color w:val="000000"/>
          <w:sz w:val="20"/>
          <w:u w:val="single"/>
        </w:rPr>
        <w:t>Consolidated Results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217"/>
        <w:gridCol w:w="1927"/>
        <w:gridCol w:w="1959"/>
        <w:gridCol w:w="211"/>
        <w:gridCol w:w="826"/>
        <w:gridCol w:w="109"/>
        <w:gridCol w:w="109"/>
        <w:gridCol w:w="109"/>
        <w:gridCol w:w="109"/>
        <w:gridCol w:w="211"/>
        <w:gridCol w:w="826"/>
        <w:gridCol w:w="109"/>
        <w:gridCol w:w="109"/>
        <w:gridCol w:w="109"/>
        <w:gridCol w:w="109"/>
        <w:gridCol w:w="211"/>
        <w:gridCol w:w="788"/>
        <w:gridCol w:w="157"/>
      </w:tblGrid>
      <w:tr>
        <w:trPr/>
        <w:tc>
          <w:tcPr>
            <w:tcW w:w="221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0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6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360"/>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6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(8,104)</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 (exclusive of depreciation and amortization shown separately below)</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(13,762)</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Loss from operations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61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61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(2,741)</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provision for income taxes and share of net income from joint venture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1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 of net income from joint venture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610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(24,552)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9,812 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ans-serif" w:hAnsi="Times New Roman;sans-serif"/>
          <w:b w:val="false"/>
          <w:i/>
          <w:color w:val="000000"/>
          <w:sz w:val="20"/>
        </w:rPr>
        <w:t>Net Sales</w:t>
      </w:r>
      <w:r>
        <w:rPr>
          <w:rFonts w:ascii="Times New Roman;sans-serif" w:hAnsi="Times New Roman;sans-serif"/>
          <w:b w:val="false"/>
          <w:color w:val="000000"/>
          <w:sz w:val="20"/>
        </w:rPr>
        <w:t>. Net sales decreased by $8.1 million, or 3.2%, during the six months ended June 30, 2024, compared to the six months ended June 30, 2023, primarily due to reduced volume, lower customer settlements and unfavorable foreign exchange effects of $0.9 million. These decreases were partially offset by the net impact of contractual pricing provisions.</w:t>
      </w:r>
    </w:p>
    <w:p>
      <w:pPr>
        <w:pStyle w:val="TextBody"/>
        <w:bidi w:val="0"/>
        <w:spacing w:lineRule="auto" w:line="288" w:before="0" w:after="120"/>
        <w:jc w:val="left"/>
        <w:rPr/>
      </w:pPr>
      <w:r>
        <w:rPr>
          <w:rFonts w:ascii="Times New Roman;sans-serif" w:hAnsi="Times New Roman;sans-serif"/>
          <w:b w:val="false"/>
          <w:i/>
          <w:color w:val="000000"/>
          <w:sz w:val="20"/>
        </w:rPr>
        <w:t>Cost of Sales.</w:t>
      </w:r>
      <w:r>
        <w:rPr>
          <w:color w:val="000000"/>
        </w:rPr>
        <w:t xml:space="preserve">  </w:t>
      </w:r>
      <w:r>
        <w:rPr>
          <w:rFonts w:ascii="Times New Roman;sans-serif" w:hAnsi="Times New Roman;sans-serif"/>
          <w:b w:val="false"/>
          <w:color w:val="000000"/>
          <w:sz w:val="20"/>
        </w:rPr>
        <w:t>Cost of sales decreased by $13.8 million, or 6.4%, during the six months ended June 30, 2024, compared to the six months ended June 30, 2023, primarily due to lower sales volume and lower labor costs associated with facility closures.</w:t>
      </w:r>
    </w:p>
    <w:p>
      <w:pPr>
        <w:pStyle w:val="TextBody"/>
        <w:bidi w:val="0"/>
        <w:spacing w:lineRule="auto" w:line="288" w:before="0" w:after="120"/>
        <w:jc w:val="left"/>
        <w:rPr/>
      </w:pPr>
      <w:r>
        <w:rPr>
          <w:rFonts w:ascii="Times New Roman;sans-serif" w:hAnsi="Times New Roman;sans-serif"/>
          <w:b w:val="false"/>
          <w:i/>
          <w:color w:val="000000"/>
          <w:sz w:val="20"/>
        </w:rPr>
        <w:t>Selling, General, and Administrative Expense.</w:t>
      </w:r>
      <w:r>
        <w:rPr>
          <w:color w:val="000000"/>
        </w:rPr>
        <w:t xml:space="preserve">  </w:t>
      </w:r>
      <w:r>
        <w:rPr>
          <w:rFonts w:ascii="Times New Roman;sans-serif" w:hAnsi="Times New Roman;sans-serif"/>
          <w:b w:val="false"/>
          <w:color w:val="000000"/>
          <w:sz w:val="20"/>
        </w:rPr>
        <w:t>Selling, general, and administrative expense increased by $2.7 million during the six months ended June 30, 2024, compared to the six months ended June 30, 2023, primarily due to higher incentive compensation, stock compensation, travel and marketing costs.</w:t>
      </w:r>
    </w:p>
    <w:p>
      <w:pPr>
        <w:pStyle w:val="TextBody"/>
        <w:bidi w:val="0"/>
        <w:spacing w:lineRule="auto" w:line="288" w:before="0" w:after="120"/>
        <w:jc w:val="left"/>
        <w:rPr/>
      </w:pPr>
      <w:r>
        <w:rPr>
          <w:rFonts w:ascii="Times New Roman;sans-serif" w:hAnsi="Times New Roman;sans-serif"/>
          <w:b w:val="false"/>
          <w:i/>
          <w:color w:val="000000"/>
          <w:sz w:val="20"/>
        </w:rPr>
        <w:t>Other Operating Expense (Income), Net.</w:t>
      </w:r>
      <w:r>
        <w:rPr>
          <w:color w:val="000000"/>
        </w:rPr>
        <w:t xml:space="preserve"> </w:t>
      </w:r>
      <w:r>
        <w:rPr>
          <w:rFonts w:ascii="Times New Roman;sans-serif" w:hAnsi="Times New Roman;sans-serif"/>
          <w:b w:val="false"/>
          <w:color w:val="000000"/>
          <w:sz w:val="20"/>
        </w:rPr>
        <w:t>Other operating expense (income), net changed favorably by $2.5 million primarily due to sublease income earned on closed facilities.</w:t>
      </w:r>
    </w:p>
    <w:p>
      <w:pPr>
        <w:pStyle w:val="TextBody"/>
        <w:bidi w:val="0"/>
        <w:spacing w:lineRule="auto" w:line="288" w:before="0" w:after="180"/>
        <w:jc w:val="left"/>
        <w:rPr/>
      </w:pPr>
      <w:r>
        <w:rPr>
          <w:rFonts w:ascii="Times New Roman;sans-serif" w:hAnsi="Times New Roman;sans-serif"/>
          <w:b w:val="false"/>
          <w:i/>
          <w:color w:val="000000"/>
          <w:sz w:val="20"/>
        </w:rPr>
        <w:t>Interest Expense.</w:t>
      </w:r>
      <w:r>
        <w:rPr>
          <w:color w:val="000000"/>
        </w:rPr>
        <w:t xml:space="preserve">  </w:t>
      </w:r>
      <w:r>
        <w:rPr>
          <w:rFonts w:ascii="Times New Roman;sans-serif" w:hAnsi="Times New Roman;sans-serif"/>
          <w:b w:val="false"/>
          <w:color w:val="000000"/>
          <w:sz w:val="20"/>
        </w:rPr>
        <w:t>Interest expense increased by $1.5 million during the six months ended June 30, 2024, compared to the six months ended June 30, 2023, primarily due to higher debt balances and higher average interest rates.</w:t>
      </w:r>
    </w:p>
    <w:tbl>
      <w:tblPr>
        <w:tblW w:w="6548" w:type="dxa"/>
        <w:jc w:val="left"/>
        <w:tblInd w:w="0" w:type="dxa"/>
        <w:tblLayout w:type="fixed"/>
        <w:tblCellMar>
          <w:top w:w="28" w:type="dxa"/>
          <w:left w:w="28" w:type="dxa"/>
          <w:bottom w:w="28" w:type="dxa"/>
          <w:right w:w="28" w:type="dxa"/>
        </w:tblCellMar>
      </w:tblPr>
      <w:tblGrid>
        <w:gridCol w:w="1482"/>
        <w:gridCol w:w="1300"/>
        <w:gridCol w:w="1312"/>
        <w:gridCol w:w="211"/>
        <w:gridCol w:w="721"/>
        <w:gridCol w:w="109"/>
        <w:gridCol w:w="109"/>
        <w:gridCol w:w="109"/>
        <w:gridCol w:w="109"/>
        <w:gridCol w:w="211"/>
        <w:gridCol w:w="721"/>
        <w:gridCol w:w="154"/>
      </w:tblGrid>
      <w:tr>
        <w:trPr/>
        <w:tc>
          <w:tcPr>
            <w:tcW w:w="1482"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recognized on interest rate swap</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discount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ans-serif" w:hAnsi="Times New Roman;sans-serif"/>
          <w:b w:val="false"/>
          <w:i/>
          <w:color w:val="000000"/>
          <w:sz w:val="20"/>
        </w:rPr>
        <w:t xml:space="preserve">Other Expense, Net. </w:t>
      </w:r>
      <w:r>
        <w:rPr>
          <w:rFonts w:ascii="Times New Roman;sans-serif" w:hAnsi="Times New Roman;sans-serif"/>
          <w:b w:val="false"/>
          <w:color w:val="000000"/>
          <w:sz w:val="20"/>
        </w:rPr>
        <w:t xml:space="preserve">Other expense, net decreased by $2.7 million during the six months ended June 30, 2024, compared to the six months ended June 30, 2023, primarily due to noncash derivative mark-to-market gains recognized during the first two quarters of 2024 compared to losses recognized during the first two quarters of 2023. This decrease was partially offset by unfavorable foreign exchange effects associated with intercompany borrowings. </w:t>
      </w:r>
    </w:p>
    <w:p>
      <w:pPr>
        <w:pStyle w:val="TextBody"/>
        <w:bidi w:val="0"/>
        <w:spacing w:lineRule="auto" w:line="288" w:before="0" w:after="120"/>
        <w:jc w:val="left"/>
        <w:rPr/>
      </w:pPr>
      <w:r>
        <w:rPr>
          <w:rFonts w:ascii="Times New Roman;sans-serif" w:hAnsi="Times New Roman;sans-serif"/>
          <w:b w:val="false"/>
          <w:i/>
          <w:color w:val="000000"/>
          <w:sz w:val="20"/>
        </w:rPr>
        <w:t xml:space="preserve">Benefit (Provision) for Income Taxes. </w:t>
      </w:r>
      <w:r>
        <w:rPr>
          <w:rFonts w:ascii="Times New Roman;sans-serif" w:hAnsi="Times New Roman;sans-serif"/>
          <w:b w:val="false"/>
          <w:color w:val="000000"/>
          <w:sz w:val="20"/>
        </w:rPr>
        <w:t>Our effective tax rate was (1.5)% for the six months ended June 30, 2024, compared to (6.7)% for the six months ended June 30, 2023. The rate for the six months ended June 30, 2024 was unfavorably impacted due to the accrual of tax on non-permanently reinvested unremitted earnings of foreign subsidiaries and by the limitation on the amount of tax benefit recorded for losses in certain jurisdictions where we believe it is more likely than not that a future tax benefit may not be realized. The effective tax rate was favorably impacted by return to provision adjustments in certain foreign jurisdictions and an amended return in a state jurisdiction.</w:t>
      </w:r>
    </w:p>
    <w:p>
      <w:pPr>
        <w:pStyle w:val="TextBody"/>
        <w:bidi w:val="0"/>
        <w:spacing w:lineRule="auto" w:line="288" w:before="0" w:after="120"/>
        <w:jc w:val="left"/>
        <w:rPr/>
      </w:pPr>
      <w:r>
        <w:rPr>
          <w:rFonts w:ascii="Times New Roman;sans-serif" w:hAnsi="Times New Roman;sans-serif"/>
          <w:b w:val="false"/>
          <w:i/>
          <w:color w:val="000000"/>
          <w:sz w:val="20"/>
        </w:rPr>
        <w:t xml:space="preserve">Share of Net Income from Joint Venture. </w:t>
      </w:r>
      <w:r>
        <w:rPr>
          <w:rFonts w:ascii="Times New Roman;sans-serif" w:hAnsi="Times New Roman;sans-serif"/>
          <w:b w:val="false"/>
          <w:color w:val="000000"/>
          <w:sz w:val="20"/>
        </w:rPr>
        <w:t xml:space="preserve">Share of net income from the JV increased by $3.0 million during the six months ended June 30, 2024, compared to the six months ended June 30, 2023, primarily due to higher sales partially offset by higher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18f5a0ebe87146159c7110a754333c3e_7">
        <w:r>
          <w:rPr>
            <w:rStyle w:val="InternetLink"/>
            <w:rFonts w:ascii="Times New Roman;sans-serif" w:hAnsi="Times New Roman;sans-serif"/>
            <w:b w:val="false"/>
            <w:color w:val="0000FF"/>
            <w:sz w:val="18"/>
            <w:u w:val="single"/>
          </w:rPr>
          <w:t>Table of Contents</w:t>
        </w:r>
      </w:hyperlink>
      <w:r>
        <w:rPr>
          <w:color w:val="000000"/>
        </w:rPr>
        <w:t>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fixed costs, depreciation and interest expense. The JV, in which we own a 49% investment, recognized net sales of $62.7 million and $45.6 million for the six months ended June 30, 2024 and 2023, respectively.</w:t>
      </w:r>
    </w:p>
    <w:p>
      <w:pPr>
        <w:pStyle w:val="TextBody"/>
        <w:bidi w:val="0"/>
        <w:spacing w:lineRule="auto" w:line="288" w:before="240" w:after="283"/>
        <w:jc w:val="left"/>
        <w:rPr/>
      </w:pPr>
      <w:r>
        <w:rPr>
          <w:rFonts w:ascii="Times New Roman;sans-serif" w:hAnsi="Times New Roman;sans-serif"/>
          <w:b w:val="false"/>
          <w:color w:val="000000"/>
          <w:sz w:val="20"/>
          <w:u w:val="single"/>
        </w:rPr>
        <w:t>Results by Segment</w:t>
      </w:r>
      <w:r>
        <w:rPr>
          <w:color w:val="000000"/>
        </w:rPr>
        <w:t xml:space="preser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MOBILE SOLUTIONS </w:t>
      </w:r>
    </w:p>
    <w:tbl>
      <w:tblPr>
        <w:tblW w:w="5816" w:type="dxa"/>
        <w:jc w:val="left"/>
        <w:tblInd w:w="0" w:type="dxa"/>
        <w:tblLayout w:type="fixed"/>
        <w:tblCellMar>
          <w:top w:w="28" w:type="dxa"/>
          <w:left w:w="28" w:type="dxa"/>
          <w:bottom w:w="28" w:type="dxa"/>
          <w:right w:w="28" w:type="dxa"/>
        </w:tblCellMar>
      </w:tblPr>
      <w:tblGrid>
        <w:gridCol w:w="656"/>
        <w:gridCol w:w="574"/>
        <w:gridCol w:w="584"/>
        <w:gridCol w:w="211"/>
        <w:gridCol w:w="826"/>
        <w:gridCol w:w="109"/>
        <w:gridCol w:w="109"/>
        <w:gridCol w:w="109"/>
        <w:gridCol w:w="109"/>
        <w:gridCol w:w="211"/>
        <w:gridCol w:w="826"/>
        <w:gridCol w:w="109"/>
        <w:gridCol w:w="109"/>
        <w:gridCol w:w="109"/>
        <w:gridCol w:w="109"/>
        <w:gridCol w:w="211"/>
        <w:gridCol w:w="691"/>
        <w:gridCol w:w="154"/>
      </w:tblGrid>
      <w:tr>
        <w:trPr/>
        <w:tc>
          <w:tcPr>
            <w:tcW w:w="65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0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Net sales decreased by $9.3 million, or 6.0%, during the six months ended June 30, 2024, compared to the six months ended June 30, 2023, primarily due lower volume at facilities undergoing turnarounds, contractual reduction in customer pricing and unfavorable foreign exchange effects.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 decreased by $1.0 million during the six months ended June 30, 2024 compared to the same period in the prior year, primarily due to a reduction of indirect manufacturing costs related to actions taken in 2023 to optimize plant operations. These decreases were partially offset by the impact of lower sales and higher depreciation expense.</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POWER SOLUTIONS </w:t>
      </w:r>
    </w:p>
    <w:tbl>
      <w:tblPr>
        <w:tblW w:w="5757" w:type="dxa"/>
        <w:jc w:val="left"/>
        <w:tblInd w:w="0" w:type="dxa"/>
        <w:tblLayout w:type="fixed"/>
        <w:tblCellMar>
          <w:top w:w="28" w:type="dxa"/>
          <w:left w:w="28" w:type="dxa"/>
          <w:bottom w:w="28" w:type="dxa"/>
          <w:right w:w="28" w:type="dxa"/>
        </w:tblCellMar>
      </w:tblPr>
      <w:tblGrid>
        <w:gridCol w:w="738"/>
        <w:gridCol w:w="646"/>
        <w:gridCol w:w="656"/>
        <w:gridCol w:w="211"/>
        <w:gridCol w:w="721"/>
        <w:gridCol w:w="109"/>
        <w:gridCol w:w="109"/>
        <w:gridCol w:w="109"/>
        <w:gridCol w:w="109"/>
        <w:gridCol w:w="211"/>
        <w:gridCol w:w="721"/>
        <w:gridCol w:w="109"/>
        <w:gridCol w:w="109"/>
        <w:gridCol w:w="109"/>
        <w:gridCol w:w="109"/>
        <w:gridCol w:w="211"/>
        <w:gridCol w:w="616"/>
        <w:gridCol w:w="154"/>
      </w:tblGrid>
      <w:tr>
        <w:trPr/>
        <w:tc>
          <w:tcPr>
            <w:tcW w:w="738"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Net sales increased by $1.3 million, or 1.3%, during the six months ended June 30, 2024, compared to the six months ended June 30, 2023, due to higher precious metals pass-through pricing and higher volumes, partially offset by premium pricing received on a certain customer project during the first quarter of 2023.</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 increased by $5.0 million during the six months ended June 30, 2024 compared to the same period in the prior year, primarily due to lower costs associated with the facilities that closed in the second quarter of 2023 and sublease income earned on those closed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 xml:space="preserve">Changes in Financial Condition from December 31, 2023 to June 30, 2024 </w:t>
      </w:r>
    </w:p>
    <w:p>
      <w:pPr>
        <w:pStyle w:val="TextBody"/>
        <w:bidi w:val="0"/>
        <w:spacing w:lineRule="auto" w:line="288" w:before="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Overview</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From December 31, 2023 to June 30, 2024, total assets decreased by $13.7 million primarily due to decreases in property, plant and equipment and intangible assets due to depreciation and amortization. Additionally, accounts receivable, inventory and property, plant and equipment decreased due to the classification of the IMC assets as held for sale, which were offset by increases in other current and noncurrent assets.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From December 31, 2023 to June 30, 2024, total liabilities decreased by $4.6 million, primarily due to a decrease in other non-current liabilities due to the exercise of warrants in 2024, partially offset by an increase in long-term debt.</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 which consists of current assets less current liabilities, was $94.4 million as of June 30, 2024, compared to $100.9 million as of December 31, 2023. The decrease in working capital was primarily due to increases accounts payable and in the current maturities of long-term debt.</w:t>
      </w:r>
    </w:p>
    <w:p>
      <w:pPr>
        <w:pStyle w:val="TextBody"/>
        <w:bidi w:val="0"/>
        <w:spacing w:lineRule="auto" w:line="288" w:before="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Cash Flows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used in operations was $0.6 million for the six months ended June 30, 2024, compared with cash provided by operations of $8.6 million for the six months ended June 30, 2023. The unfavorable change was due to an increase in accounts receivable due to higher revenue in the second quarter of 2024 compared with the fourth quarter of 2023, a decrease in inventory during the first half of 2023 and an increase in accounts payable during the first half of 2023.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decreased by $0.6 million primarily due to the lower expenditures for property, plant and equipment, partially offset by proceeds from the sale of equipment at the Taunton and Irvine facilities in the first half of 2023.</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decreased by $0.7 million primarily due to higher repayments of long-term debt and debt issuance costs, partially offset by proceeds from the sale-leaseback transactions and proceeds from international loans in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18f5a0ebe87146159c7110a754333c3e_7">
        <w:r>
          <w:rPr>
            <w:rStyle w:val="InternetLink"/>
            <w:rFonts w:ascii="Times New Roman;sans-serif" w:hAnsi="Times New Roman;sans-serif"/>
            <w:b w:val="false"/>
            <w:color w:val="0000FF"/>
            <w:sz w:val="18"/>
            <w:u w:val="single"/>
          </w:rPr>
          <w:t>Table of Contents</w:t>
        </w:r>
      </w:hyperlink>
      <w:r>
        <w:rPr>
          <w:color w:val="000000"/>
        </w:rPr>
        <w:t>    </w:t>
      </w:r>
    </w:p>
    <w:p>
      <w:pPr>
        <w:pStyle w:val="TextBody"/>
        <w:bidi w:val="0"/>
        <w:spacing w:lineRule="auto" w:line="288" w:before="240" w:after="120"/>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Facilities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principal amount outstanding under our Term Loan Facility as of June 30, 2024, was $129.4 million, without regard to unamortized debt issuance costs and discount. As of June 30, 2024, we had $27.0 million available for future borrowings under the ABL Facility. This amount of borrowing capacity is net of $9.9 million of outstanding letters of credit at June 30, 2024, which are considered as usage of the ABL Facility.</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Loan Facility requires quarterly principal payments of $0.4 million with the remaining unpaid principal amount due on the final maturity date of September 22, 2026. We may be required to make additional principal payments annually that are calculated as a percentage of our excess cash flow, as defined by the lender, based on our net leverage ratio. Outstanding borrowings under the Term Loan Facility bear interest at either: 1) one-month, three-month, or six-month Adjusted SOFR, subject to a 1.00% floor, plus an applicable margin of 6.875%; or 2) the greater of various benchmark rates plus an applicable margin of 5.875%. Beginning with the second quarter of 2023, interest is increased on a paid-in-kind basis at a rate between 1.00% and 2.00%, dependent on the our leverage ratio. Based on the interest rate in effect at June 30, 2024, annual cash interest payments would be approximately $16.3 million.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ABL Facility bears interest on a variable borrowing rate based on either: 1) Adjusted SOFR plus an applicable margin of 1.75% or 2.00%, depending on availability; or 2) the greater of the federal funds rate or prime, plus an applicable margin of 0.75% or 1.00%, depending on availability. We pay a commitment fee of 0.375% for unused capacity under the ABL Facility.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were in compliance with all requirements under our Term Loan Facility and ABL Facility as of June 30, 2024. Both credit facilities allow for optional expansion of available borrowings, subject to certain terms and conditions.</w:t>
      </w:r>
    </w:p>
    <w:p>
      <w:pPr>
        <w:pStyle w:val="TextBody"/>
        <w:bidi w:val="0"/>
        <w:spacing w:lineRule="auto" w:line="288" w:before="18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Sale Leaseback Transactions</w:t>
      </w:r>
    </w:p>
    <w:p>
      <w:pPr>
        <w:pStyle w:val="TextBody"/>
        <w:bidi w:val="0"/>
        <w:spacing w:lineRule="auto" w:line="26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we entered into several sale-leaseback transactions. We received $16.9 million from the sale and leaseback of three properties, with the net proceeds used to repay a portion of the outstanding borrowings under the Term Loan Facility. The effective interest rate of the transaction, which terminates in 20 years, is lower than the current borrowings on the Term Loan Facility. We received $8.3 million from the sale and leaseback of equipment, with $3.4 million of the net proceeds used to repay a portion of the outstanding borrowings under the Term Loan Facility and the balance used for ongoing operational investments.</w:t>
      </w:r>
    </w:p>
    <w:p>
      <w:pPr>
        <w:pStyle w:val="TextBody"/>
        <w:bidi w:val="0"/>
        <w:spacing w:lineRule="auto" w:line="288" w:before="18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Accounts Receivable Sales Programs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participate in programs established by our customers which allows us to sell certain receivables from that customer on a non-recourse basis to a third-party financial institution. In exchange, we receive payment on the receivables, less a discount, sooner than under the customary credit terms we have extended to that customer. These programs allow us to improve working capital and cash flows at the same or lower interest rates as available on our ABL Facility. Our access to these programs is dependent on our customers ongoing agreements with the third-parties. Our participation in these programs is based on our specific cash needs throughout the year, the discount charged to receive payment earlier, the length of the payment terms with our customers, as well being subject to limits in our ABL Facility and Term Loan Facility agreements. </w:t>
      </w:r>
    </w:p>
    <w:p>
      <w:pPr>
        <w:pStyle w:val="TextBody"/>
        <w:bidi w:val="0"/>
        <w:spacing w:lineRule="auto" w:line="288" w:before="18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Other Receivables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In 2021, we filed a refund claim with the IRS as a result of the Coronavirus Aid, Relief, and Economic Security Act. Including interest accrued on the initial refund amount, we have a $11.9 million tax refund receivable at June 30, 2024, which is in the process of IRS review and approval. The timing of the receipt of the refund remains uncertain.</w:t>
      </w: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Seasonality and Fluctuation in Quarterly Results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General economic conditions impact our business and financial results, and certain businesses experience seasonal and other trends related to the industries and end markets that they serve. For example, European sales are often weaker in the summer months as customers slow production, and sales to original equipment manufacturers are often stronger immediately preceding and following the launch of new products. However, as a whole, we are not materially impacted by seasonality.</w:t>
      </w: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Our critical accounting policies, including the assumptions and judgments underlying them, are disclosed in the 2023 Annual Report, including those policies as discussed in Note 1 to the Notes to Consolidated Financial Statements included in the 2023 Annual Report. There have been no material changes to these policies during the six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3.Quantitative and Qualitative Disclosures About Market Risk</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exposed to changes in financial market conditions in the normal course of business due to use of certain financial instruments as well as transacting business in various foreign currencies. To mitigate the exposure to these market risks,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18f5a0ebe87146159c7110a754333c3e_7">
        <w:r>
          <w:rPr>
            <w:rStyle w:val="InternetLink"/>
            <w:rFonts w:ascii="Times New Roman;sans-serif" w:hAnsi="Times New Roman;sans-serif"/>
            <w:b w:val="false"/>
            <w:color w:val="0000FF"/>
            <w:sz w:val="18"/>
            <w:u w:val="single"/>
          </w:rPr>
          <w:t>Table of Contents</w:t>
        </w:r>
      </w:hyperlink>
      <w:r>
        <w:rPr>
          <w:color w:val="000000"/>
        </w:rPr>
        <w:t>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have established policies, procedures, and internal processes governing the management of financial market risks. We are exposed to changes in interest rates primarily as a result of borrowing activities.</w:t>
      </w: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interest rate risk due to our variable rate debt, which comprises a majority of our outstanding indebtedness. The nature and amount of borrowings may vary as a result of future business requirements, market conditions, and other factors. To manage interest rate risk, we have used, and may in the future use, interest rate swap agreements.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2024, we had $129.4 million of principal outstanding under the Term Loan Facility, without regard to unamortized debt issuance costs and discount. A one-percent increase in one-month SOFR would have resulted in a net increase in interest expense of $1.3 million on an annualized basis.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June 30, 2024, using Adjusted SOFR plus a 2.00% spread, any borrowings under the ABL Facility would have been at a 7.431% interest rate. </w:t>
      </w: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Foreign Currency Risk</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Translation of our operating cash flows denominated in foreign currencies is impacted by changes in foreign exchange rates. We invoice and receive payment from many of our customers in various other currencies. Additionally, we are party to third party and intercompany loans, payables, and receivables denominated in currencies other than the U.S. dollar. To help reduce exposure to foreign currency fluctuation, we have incurred debt in euros in the past. Various strategies to manage this risk are available to management, including producing and selling in local currencies and hedging programs. We did not hold a position in any foreign currency derivatives as of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supervision and with the participation of management, including our Chief Executive Officer and Chief Financial Officer, we evaluated the effectiveness of disclosure controls and procedures (as defined in Rule 13a-15(e) and 15d-15(e) of the Exchange Act). Based upon that evaluation, our Chief Executive Officer and Chief Financial Officer concluded that our disclosure controls and procedures were effective as of June 30, 2024,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management, including the Chief Executive Officer and Chief Financial Officer, as appropriate, to allow for timely decisions regarding required disclosure.</w:t>
      </w: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defined in the Exchange Act Rules 13a-15(f) and 15d-15(f)) that occurred during the fiscal quarter ended June 30, 2024,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18f5a0ebe87146159c7110a754333c3e_7">
        <w:r>
          <w:rPr>
            <w:rStyle w:val="InternetLink"/>
            <w:rFonts w:ascii="Times New Roman;sans-serif" w:hAnsi="Times New Roman;sans-serif"/>
            <w:b w:val="false"/>
            <w:color w:val="0000FF"/>
            <w:sz w:val="18"/>
            <w:u w:val="single"/>
          </w:rPr>
          <w:t>Table of Contents</w:t>
        </w:r>
      </w:hyperlink>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As disclosed in Note 10 in the Notes to Condensed Consolidated Financial Statements included in this Quarterly Report, we are engaged in certain legal proceedings, and the disclosure set forth in Note 10 relating to legal proceedings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the risk factors disclosed in the 2023 Annual Report under 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purchases we made during the quarter ended June 30, 2024.</w:t>
      </w:r>
    </w:p>
    <w:tbl>
      <w:tblPr>
        <w:tblW w:w="8642" w:type="dxa"/>
        <w:jc w:val="center"/>
        <w:tblInd w:w="0" w:type="dxa"/>
        <w:tblLayout w:type="fixed"/>
        <w:tblCellMar>
          <w:top w:w="28" w:type="dxa"/>
          <w:left w:w="28" w:type="dxa"/>
          <w:bottom w:w="28" w:type="dxa"/>
          <w:right w:w="28" w:type="dxa"/>
        </w:tblCellMar>
      </w:tblPr>
      <w:tblGrid>
        <w:gridCol w:w="364"/>
        <w:gridCol w:w="318"/>
        <w:gridCol w:w="322"/>
        <w:gridCol w:w="109"/>
        <w:gridCol w:w="109"/>
        <w:gridCol w:w="109"/>
        <w:gridCol w:w="494"/>
        <w:gridCol w:w="494"/>
        <w:gridCol w:w="496"/>
        <w:gridCol w:w="109"/>
        <w:gridCol w:w="109"/>
        <w:gridCol w:w="109"/>
        <w:gridCol w:w="362"/>
        <w:gridCol w:w="876"/>
        <w:gridCol w:w="188"/>
        <w:gridCol w:w="109"/>
        <w:gridCol w:w="109"/>
        <w:gridCol w:w="109"/>
        <w:gridCol w:w="455"/>
        <w:gridCol w:w="455"/>
        <w:gridCol w:w="456"/>
        <w:gridCol w:w="109"/>
        <w:gridCol w:w="109"/>
        <w:gridCol w:w="109"/>
        <w:gridCol w:w="601"/>
        <w:gridCol w:w="601"/>
        <w:gridCol w:w="852"/>
      </w:tblGrid>
      <w:tr>
        <w:trPr/>
        <w:tc>
          <w:tcPr>
            <w:tcW w:w="36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Total Number of</w:t>
            </w:r>
          </w:p>
          <w:p>
            <w:pPr>
              <w:pStyle w:val="TableContents"/>
              <w:bidi w:val="0"/>
              <w:spacing w:lineRule="auto" w:line="240" w:before="0" w:after="0"/>
              <w:jc w:val="center"/>
              <w:rPr/>
            </w:pPr>
            <w:r>
              <w:rPr>
                <w:rFonts w:ascii="Times New Roman;sans-serif" w:hAnsi="Times New Roman;sans-serif"/>
                <w:b w:val="false"/>
                <w:color w:val="000000"/>
                <w:sz w:val="16"/>
              </w:rPr>
              <w:t>Shares Purchased</w:t>
            </w:r>
            <w:r>
              <w:rPr>
                <w:color w:val="000000"/>
              </w:rPr>
              <w:t> </w:t>
            </w:r>
            <w:r>
              <w:rPr>
                <w:rFonts w:ascii="Times New Roman;sans-serif" w:hAnsi="Times New Roman;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Average Price 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Total Number of</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Shares Purchased</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as Part of Publicly</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Announced Plans</w:t>
            </w:r>
          </w:p>
          <w:p>
            <w:pPr>
              <w:pStyle w:val="TableContents"/>
              <w:bidi w:val="0"/>
              <w:spacing w:lineRule="auto" w:line="240" w:before="0" w:after="0"/>
              <w:jc w:val="center"/>
              <w:rPr/>
            </w:pPr>
            <w:r>
              <w:rPr>
                <w:rFonts w:ascii="Times New Roman;sans-serif" w:hAnsi="Times New Roman;sans-serif"/>
                <w:b w:val="false"/>
                <w:color w:val="000000"/>
                <w:sz w:val="16"/>
              </w:rPr>
              <w:t xml:space="preserve">or Programs </w:t>
            </w:r>
            <w:r>
              <w:rPr>
                <w:rFonts w:ascii="Times New Roman;sans-serif" w:hAnsi="Times New Roman;sans-serif"/>
                <w:b w:val="false"/>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Maximum Number (or</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Approximate Dollar Value)</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of Shares That May Yet</w:t>
            </w:r>
          </w:p>
          <w:p>
            <w:pPr>
              <w:pStyle w:val="TableContents"/>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Be Purchased Under the</w:t>
            </w:r>
          </w:p>
          <w:p>
            <w:pPr>
              <w:pStyle w:val="TableContents"/>
              <w:bidi w:val="0"/>
              <w:spacing w:lineRule="auto" w:line="240" w:before="0" w:after="0"/>
              <w:jc w:val="center"/>
              <w:rPr/>
            </w:pPr>
            <w:r>
              <w:rPr>
                <w:rFonts w:ascii="Times New Roman;sans-serif" w:hAnsi="Times New Roman;sans-serif"/>
                <w:b w:val="false"/>
                <w:color w:val="000000"/>
                <w:sz w:val="16"/>
              </w:rPr>
              <w:t xml:space="preserve">Plan or Programs </w:t>
            </w:r>
            <w:r>
              <w:rPr>
                <w:rFonts w:ascii="Times New Roman;sans-serif" w:hAnsi="Times New Roman;sans-serif"/>
                <w:b w:val="false"/>
                <w:color w:val="000000"/>
                <w:sz w:val="10"/>
              </w:rPr>
              <w:t>(1)</w:t>
            </w:r>
          </w:p>
        </w:tc>
      </w:tr>
      <w:tr>
        <w:trPr/>
        <w:tc>
          <w:tcPr>
            <w:tcW w:w="1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46,158 </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86,850 </w:t>
            </w:r>
          </w:p>
        </w:tc>
        <w:tc>
          <w:tcPr>
            <w:tcW w:w="4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4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133,667 </w:t>
            </w:r>
          </w:p>
        </w:tc>
        <w:tc>
          <w:tcPr>
            <w:tcW w:w="4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w:t>
            </w:r>
          </w:p>
        </w:tc>
        <w:tc>
          <w:tcPr>
            <w:tcW w:w="18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8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w:t>
      </w:r>
    </w:p>
    <w:p>
      <w:pPr>
        <w:pStyle w:val="TextBody"/>
        <w:bidi w:val="0"/>
        <w:spacing w:lineRule="auto" w:line="288" w:before="120" w:after="283"/>
        <w:ind w:left="0" w:right="0" w:hanging="360"/>
        <w:jc w:val="left"/>
        <w:rPr/>
      </w:pPr>
      <w:r>
        <w:rPr>
          <w:rFonts w:ascii="Times New Roman;sans-serif" w:hAnsi="Times New Roman;sans-serif"/>
          <w:b w:val="false"/>
          <w:color w:val="000000"/>
          <w:sz w:val="16"/>
        </w:rPr>
        <w:t>(1)</w:t>
      </w:r>
      <w:r>
        <w:rPr>
          <w:rFonts w:ascii="Times New Roman;sans-serif" w:hAnsi="Times New Roman;sans-serif"/>
          <w:b w:val="false"/>
          <w:color w:val="000000"/>
          <w:sz w:val="20"/>
        </w:rPr>
        <w:t>Shares were withheld to pay for tax obligations due upon the vesting of share-based awards held by employees granted under the NN, Inc. Amended and Restated 2022 Omnibus Incentive Plan and prior plans (collectively the “Incentive Plans”). The Incentive Plans provides for the withholding of shares or units to satisfy income tax obligations. It does not specify a maximum number of shares or units that can be withheld for this purpose. These shares may be deemed to be “issuer purchases” of shares that are required to be disclosed pursuant to this Item.</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60"/>
        <w:ind w:left="0" w:right="0" w:hanging="108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60"/>
        <w:jc w:val="left"/>
        <w:rPr>
          <w:rFonts w:ascii="Times New Roman;sans-serif" w:hAnsi="Times New Roman;sans-serif"/>
          <w:b w:val="false"/>
          <w:i/>
          <w:color w:val="000000"/>
          <w:sz w:val="20"/>
        </w:rPr>
      </w:pPr>
      <w:r>
        <w:rPr>
          <w:rFonts w:ascii="Times New Roman;sans-serif" w:hAnsi="Times New Roman;sans-serif"/>
          <w:b w:val="false"/>
          <w:i/>
          <w:color w:val="000000"/>
          <w:sz w:val="20"/>
        </w:rPr>
        <w:t>Adoption or Termination of Trading Arrangements</w:t>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June 30, 2024, none of the Company’s directors or executive officers adopted or terminated any Rule 10b5-1 trading arrangement or non-Rule 10b5-1 trading arrangement,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18f5a0ebe87146159c7110a754333c3e_7">
        <w:r>
          <w:rPr>
            <w:rStyle w:val="InternetLink"/>
            <w:rFonts w:ascii="Times New Roman;sans-serif" w:hAnsi="Times New Roman;sans-serif"/>
            <w:b w:val="false"/>
            <w:color w:val="0000FF"/>
            <w:sz w:val="18"/>
            <w:u w:val="single"/>
          </w:rPr>
          <w:t>Table of Contents</w:t>
        </w:r>
      </w:hyperlink>
      <w:r>
        <w:rPr>
          <w:color w:val="000000"/>
        </w:rPr>
        <w:t>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344"/>
        <w:gridCol w:w="304"/>
        <w:gridCol w:w="305"/>
        <w:gridCol w:w="109"/>
        <w:gridCol w:w="109"/>
        <w:gridCol w:w="109"/>
        <w:gridCol w:w="2795"/>
        <w:gridCol w:w="2526"/>
        <w:gridCol w:w="3604"/>
      </w:tblGrid>
      <w:tr>
        <w:trPr/>
        <w:tc>
          <w:tcPr>
            <w:tcW w:w="34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5"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c>
          <w:tcPr>
            <w:tcW w:w="3604" w:type="dxa"/>
            <w:tcBorders/>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r>
      <w:tr>
        <w:trPr/>
        <w:tc>
          <w:tcPr>
            <w:tcW w:w="9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80"/>
                  <w:sz w:val="20"/>
                  <w:u w:val="single"/>
                </w:rPr>
                <w:t>NN, Inc. Amended and Restated 2022 Omnibus Incentive Plan</w:t>
              </w:r>
            </w:hyperlink>
            <w:hyperlink r:id="rId4">
              <w:r>
                <w:rPr>
                  <w:rStyle w:val="InternetLink"/>
                  <w:rFonts w:ascii="Times New Roman;sans-serif" w:hAnsi="Times New Roman;sans-serif"/>
                  <w:b w:val="false"/>
                  <w:color w:val="000080"/>
                  <w:sz w:val="20"/>
                  <w:u w:val="single"/>
                </w:rPr>
                <w:t xml:space="preserve"> (</w:t>
              </w:r>
            </w:hyperlink>
            <w:hyperlink r:id="rId5">
              <w:r>
                <w:rPr>
                  <w:rStyle w:val="InternetLink"/>
                  <w:rFonts w:ascii="Times New Roman;sans-serif" w:hAnsi="Times New Roman;sans-serif"/>
                  <w:b w:val="false"/>
                  <w:color w:val="000080"/>
                  <w:sz w:val="20"/>
                  <w:u w:val="single"/>
                </w:rPr>
                <w:t>Filed as Appendix A to the Registrant's Definitive Proxy Statement on Schedule 14A filed on April 4, 2024 and incorporated herein by reference</w:t>
              </w:r>
            </w:hyperlink>
            <w:hyperlink r:id="rId6">
              <w:r>
                <w:rPr>
                  <w:rStyle w:val="InternetLink"/>
                  <w:rFonts w:ascii="Times New Roman;sans-serif" w:hAnsi="Times New Roman;sans-serif"/>
                  <w:b w:val="false"/>
                  <w:color w:val="000080"/>
                  <w:sz w:val="20"/>
                  <w:u w:val="single"/>
                </w:rPr>
                <w:t>).</w:t>
              </w:r>
            </w:hyperlink>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Consulting Agreement by and between NN, Inc. and Michael C. Felcher (Filed as Exhibit 10.1 to the Registrant’s Current Report on Form 8-K filed on June 24, 2024 and incorporated herein by reference).</w:t>
              </w:r>
            </w:hyperlink>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FF"/>
                  <w:sz w:val="20"/>
                  <w:u w:val="single"/>
                </w:rPr>
                <w:t>Letter of Understanding by and between NN, Inc. and Christopher H. Bohnert (Filed as Exhibit 10.2 to the Registrant’s Current Report on Form 8-K filed on June 24, 2024 and incorporated herein by reference).</w:t>
              </w:r>
            </w:hyperlink>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Restricted Share Award Agreement by and between NN, Inc. and Christopher H. Bohnert (Filed as Exhibit 10.3 to the Registrant’s Current Report on Form 8-K filed on June 24, 2024 and incorporated herein by reference).</w:t>
              </w:r>
            </w:hyperlink>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Performance Share Unit Award Agreement by and between NN, Inc. and Christopher H. Bohnert (Filed as Exhibit 10.4 to the Registrant’s Current Report on Form 8-K filed on June 24, 2024 and incorporated herein by reference).</w:t>
              </w:r>
            </w:hyperlink>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Separation Agreement by and between NN, Inc. and Christopher H. Bohnert (Filed as Exhibit 10.5 to the Registrant’s Current Report on Form 8-K filed on June 24, 2024 and incorporated herein by reference).</w:t>
              </w:r>
            </w:hyperlink>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Indemnification Agreement by and between NN, Inc. and Christopher H. Bohnert (Filed as Exhibit 10.6 to the Registrant’s Current Report on Form 8-K filed on June 24, 2024 and incorporated herein by reference).</w:t>
              </w:r>
            </w:hyperlink>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2024-q2.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amended.</w:t>
              </w:r>
            </w:hyperlink>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2024-q2.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amended.</w:t>
              </w:r>
            </w:hyperlink>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2024-q2.htm">
              <w:r>
                <w:rPr>
                  <w:rStyle w:val="InternetLink"/>
                  <w:rFonts w:ascii="Times New Roman;sans-serif" w:hAnsi="Times New Roman;sans-serif"/>
                  <w:b w:val="false"/>
                  <w:color w:val="0000FF"/>
                  <w:sz w:val="20"/>
                  <w:u w:val="single"/>
                </w:rPr>
                <w:t>Certification of Principal Executive Officer pursuant to Section 906 of the Sarbanes-Oxley Act of 2002.</w:t>
              </w:r>
            </w:hyperlink>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2024-q2.htm">
              <w:r>
                <w:rPr>
                  <w:rStyle w:val="InternetLink"/>
                  <w:rFonts w:ascii="Times New Roman;sans-serif" w:hAnsi="Times New Roman;sans-serif"/>
                  <w:b w:val="false"/>
                  <w:color w:val="0000FF"/>
                  <w:sz w:val="20"/>
                  <w:u w:val="single"/>
                </w:rPr>
                <w:t>Certification of Principal Financial Officer pursuant to Section 906 of the Sarbanes-Oxley Act of 2002.</w:t>
              </w:r>
            </w:hyperlink>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(the instance document does not appear in the Interactive Data File because its XBRL tags are embedded within the Inline XBRL document)</w:t>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9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0" w:after="0"/>
        <w:jc w:val="left"/>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0" w:after="0"/>
        <w:jc w:val="left"/>
        <w:rPr/>
      </w:pPr>
      <w:hyperlink w:anchor="i18f5a0ebe87146159c7110a754333c3e_7">
        <w:r>
          <w:rPr>
            <w:rStyle w:val="InternetLink"/>
            <w:rFonts w:ascii="Times New Roman;sans-serif" w:hAnsi="Times New Roman;sans-serif"/>
            <w:b w:val="false"/>
            <w:color w:val="0000FF"/>
            <w:sz w:val="18"/>
            <w:u w:val="single"/>
          </w:rPr>
          <w:t>Table of Contents</w:t>
        </w:r>
      </w:hyperlink>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3264"/>
        <w:gridCol w:w="2870"/>
        <w:gridCol w:w="4071"/>
      </w:tblGrid>
      <w:tr>
        <w:trPr/>
        <w:tc>
          <w:tcPr>
            <w:tcW w:w="3264"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71"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c>
      </w:tr>
    </w:tbl>
    <w:p>
      <w:pPr>
        <w:pStyle w:val="TextBody"/>
        <w:bidi w:val="0"/>
        <w:spacing w:before="0" w:after="0"/>
        <w:jc w:val="left"/>
        <w:rPr/>
      </w:pPr>
      <w:r>
        <w:rPr/>
      </w:r>
    </w:p>
    <w:tbl>
      <w:tblPr>
        <w:tblW w:w="5983" w:type="dxa"/>
        <w:jc w:val="center"/>
        <w:tblInd w:w="0" w:type="dxa"/>
        <w:tblLayout w:type="fixed"/>
        <w:tblCellMar>
          <w:top w:w="28" w:type="dxa"/>
          <w:left w:w="28" w:type="dxa"/>
          <w:bottom w:w="28" w:type="dxa"/>
          <w:right w:w="28" w:type="dxa"/>
        </w:tblCellMar>
      </w:tblPr>
      <w:tblGrid>
        <w:gridCol w:w="667"/>
        <w:gridCol w:w="587"/>
        <w:gridCol w:w="590"/>
        <w:gridCol w:w="1204"/>
        <w:gridCol w:w="1204"/>
        <w:gridCol w:w="173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73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NN,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2024</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Harold C. Bevis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Harold C. Bevis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(Duly Authorized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2024</w:t>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H. Bohnert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H. Bohnert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and Accounting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(Duly Authorized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4139"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4139"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4139"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4139" w:type="dxa"/>
            <w:gridSpan w:val="3"/>
            <w:tcBorders/>
            <w:vAlign w:val="center"/>
          </w:tcPr>
          <w:p>
            <w:pPr>
              <w:pStyle w:val="TableContents"/>
              <w:bidi w:val="0"/>
              <w:spacing w:before="0" w:after="283"/>
              <w:jc w:val="left"/>
              <w:rPr>
                <w:sz w:val="4"/>
                <w:szCs w:val="4"/>
              </w:rPr>
            </w:pPr>
            <w:r>
              <w:rPr>
                <w:sz w:val="4"/>
                <w:szCs w:val="4"/>
              </w:rPr>
            </w:r>
          </w:p>
        </w:tc>
      </w:tr>
      <w:tr>
        <w:trPr/>
        <w:tc>
          <w:tcPr>
            <w:tcW w:w="1844" w:type="dxa"/>
            <w:gridSpan w:val="3"/>
            <w:tcBorders/>
            <w:vAlign w:val="center"/>
          </w:tcPr>
          <w:p>
            <w:pPr>
              <w:pStyle w:val="TableContents"/>
              <w:bidi w:val="0"/>
              <w:spacing w:before="0" w:after="283"/>
              <w:jc w:val="left"/>
              <w:rPr>
                <w:sz w:val="4"/>
                <w:szCs w:val="4"/>
              </w:rPr>
            </w:pPr>
            <w:r>
              <w:rPr>
                <w:sz w:val="4"/>
                <w:szCs w:val="4"/>
              </w:rPr>
            </w:r>
          </w:p>
        </w:tc>
        <w:tc>
          <w:tcPr>
            <w:tcW w:w="41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center"/>
        <w:rPr/>
      </w:pPr>
      <w:r>
        <w:rPr/>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PURSUANT TO RULES 13a-14(a) AND 15d-14(a)</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UNDER THE SECURITIES EXCHANGE ACT OF 1934, AS AMENDED</w:t>
      </w:r>
    </w:p>
    <w:p>
      <w:pPr>
        <w:pStyle w:val="TextBody"/>
        <w:bidi w:val="0"/>
        <w:spacing w:before="60" w:after="283"/>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Harold C. Bevis, certify that: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NN, Inc.;</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20" w:after="283"/>
        <w:jc w:val="left"/>
        <w:rPr>
          <w:color w:val="000000"/>
        </w:rPr>
      </w:pPr>
      <w:r>
        <w:rPr>
          <w:color w:val="000000"/>
        </w:rPr>
        <w:t> </w:t>
      </w:r>
    </w:p>
    <w:tbl>
      <w:tblPr>
        <w:tblW w:w="5803" w:type="dxa"/>
        <w:jc w:val="left"/>
        <w:tblInd w:w="0" w:type="dxa"/>
        <w:tblLayout w:type="fixed"/>
        <w:tblCellMar>
          <w:top w:w="28" w:type="dxa"/>
          <w:left w:w="28" w:type="dxa"/>
          <w:bottom w:w="28" w:type="dxa"/>
          <w:right w:w="28" w:type="dxa"/>
        </w:tblCellMar>
      </w:tblPr>
      <w:tblGrid>
        <w:gridCol w:w="667"/>
        <w:gridCol w:w="587"/>
        <w:gridCol w:w="590"/>
        <w:gridCol w:w="1157"/>
        <w:gridCol w:w="1157"/>
        <w:gridCol w:w="164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2024</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Harold C. Bevis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Harold C. Bevis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before="0" w:after="0"/>
        <w:jc w:val="center"/>
        <w:rPr/>
      </w:pPr>
      <w:r>
        <w:rPr/>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 TO RULES 13a-14(a) AND 15d-14(a)</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UNDER THE SECURITIES EXCHANGE ACT OF 1934, AS AMENDED</w:t>
      </w:r>
    </w:p>
    <w:p>
      <w:pPr>
        <w:pStyle w:val="TextBody"/>
        <w:bidi w:val="0"/>
        <w:spacing w:before="60" w:after="283"/>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Christopher H. Bohnert, certify that:</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NN, Inc.;</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tbl>
      <w:tblPr>
        <w:tblW w:w="5984" w:type="dxa"/>
        <w:jc w:val="left"/>
        <w:tblInd w:w="0" w:type="dxa"/>
        <w:tblLayout w:type="fixed"/>
        <w:tblCellMar>
          <w:top w:w="28" w:type="dxa"/>
          <w:left w:w="28" w:type="dxa"/>
          <w:bottom w:w="28" w:type="dxa"/>
          <w:right w:w="28" w:type="dxa"/>
        </w:tblCellMar>
      </w:tblPr>
      <w:tblGrid>
        <w:gridCol w:w="667"/>
        <w:gridCol w:w="587"/>
        <w:gridCol w:w="590"/>
        <w:gridCol w:w="1210"/>
        <w:gridCol w:w="1210"/>
        <w:gridCol w:w="172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2024</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H. Bohnert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H. Bohnert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before="0" w:after="0"/>
        <w:jc w:val="center"/>
        <w:rPr/>
      </w:pPr>
      <w:r>
        <w:rPr/>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EXECUTIVE OFFICER PURSUANT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 SECTION 906 OF THE SARBANES-OXLEY ACT OF 2002</w:t>
      </w:r>
    </w:p>
    <w:p>
      <w:pPr>
        <w:pStyle w:val="TextBody"/>
        <w:bidi w:val="0"/>
        <w:spacing w:before="60" w:after="283"/>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NN, Inc. (the “Company”) on Form 10-Q for the quarterly period ended June 30, 2024,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pStyle w:val="TextBody"/>
        <w:bidi w:val="0"/>
        <w:spacing w:before="0" w:after="0"/>
        <w:jc w:val="left"/>
        <w:rPr/>
      </w:pPr>
      <w:r>
        <w:rPr/>
      </w:r>
    </w:p>
    <w:p>
      <w:pPr>
        <w:pStyle w:val="TextBody"/>
        <w:bidi w:val="0"/>
        <w:spacing w:before="0" w:after="0"/>
        <w:jc w:val="left"/>
        <w:rPr/>
      </w:pPr>
      <w:r>
        <w:rPr/>
      </w:r>
    </w:p>
    <w:tbl>
      <w:tblPr>
        <w:tblW w:w="5803" w:type="dxa"/>
        <w:jc w:val="left"/>
        <w:tblInd w:w="0" w:type="dxa"/>
        <w:tblLayout w:type="fixed"/>
        <w:tblCellMar>
          <w:top w:w="28" w:type="dxa"/>
          <w:left w:w="28" w:type="dxa"/>
          <w:bottom w:w="28" w:type="dxa"/>
          <w:right w:w="28" w:type="dxa"/>
        </w:tblCellMar>
      </w:tblPr>
      <w:tblGrid>
        <w:gridCol w:w="667"/>
        <w:gridCol w:w="587"/>
        <w:gridCol w:w="590"/>
        <w:gridCol w:w="1157"/>
        <w:gridCol w:w="1157"/>
        <w:gridCol w:w="1645"/>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2024</w:t>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Harold C. Bevis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Harold C. Bevis</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Director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center"/>
        <w:rPr/>
      </w:pPr>
      <w:r>
        <w:rPr/>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CERTIFICATION OF PRINCIPAL FINANCIAL OFFICER PURSUANT</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 SECTION 906 OF THE SARBANES-OXLEY ACT OF 2002</w:t>
      </w:r>
    </w:p>
    <w:p>
      <w:pPr>
        <w:pStyle w:val="TextBody"/>
        <w:bidi w:val="0"/>
        <w:spacing w:before="60" w:after="283"/>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NN, Inc. (the “Company”) on Form 10-Q for the quarterly period ended June 30, 2024,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pStyle w:val="TextBody"/>
        <w:bidi w:val="0"/>
        <w:spacing w:before="0" w:after="0"/>
        <w:jc w:val="left"/>
        <w:rPr/>
      </w:pPr>
      <w:r>
        <w:rPr/>
      </w:r>
    </w:p>
    <w:p>
      <w:pPr>
        <w:pStyle w:val="TextBody"/>
        <w:bidi w:val="0"/>
        <w:spacing w:before="0" w:after="0"/>
        <w:jc w:val="left"/>
        <w:rPr/>
      </w:pPr>
      <w:r>
        <w:rPr/>
      </w:r>
    </w:p>
    <w:tbl>
      <w:tblPr>
        <w:tblW w:w="5984" w:type="dxa"/>
        <w:jc w:val="left"/>
        <w:tblInd w:w="0" w:type="dxa"/>
        <w:tblLayout w:type="fixed"/>
        <w:tblCellMar>
          <w:top w:w="28" w:type="dxa"/>
          <w:left w:w="28" w:type="dxa"/>
          <w:bottom w:w="28" w:type="dxa"/>
          <w:right w:w="28" w:type="dxa"/>
        </w:tblCellMar>
      </w:tblPr>
      <w:tblGrid>
        <w:gridCol w:w="667"/>
        <w:gridCol w:w="587"/>
        <w:gridCol w:w="590"/>
        <w:gridCol w:w="1210"/>
        <w:gridCol w:w="1210"/>
        <w:gridCol w:w="172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7, 2024</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Christopher H. Bohnert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H. Bohnert</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918541/000091854124000056/proxystatement2024.htm" TargetMode="External"/><Relationship Id="rId4" Type="http://schemas.openxmlformats.org/officeDocument/2006/relationships/hyperlink" Target="https://www.sec.gov/Archives/edgar/data/918541/000091854124000056/proxystatement2024.htm" TargetMode="External"/><Relationship Id="rId5" Type="http://schemas.openxmlformats.org/officeDocument/2006/relationships/hyperlink" Target="https://www.sec.gov/Archives/edgar/data/918541/000091854124000056/proxystatement2024.htm" TargetMode="External"/><Relationship Id="rId6" Type="http://schemas.openxmlformats.org/officeDocument/2006/relationships/hyperlink" Target="https://www.sec.gov/Archives/edgar/data/918541/000091854124000056/proxystatement2024.htm" TargetMode="External"/><Relationship Id="rId7" Type="http://schemas.openxmlformats.org/officeDocument/2006/relationships/hyperlink" Target="https://www.sec.gov/Archives/edgar/data/918541/000119312524167079/d838374dex101.htm" TargetMode="External"/><Relationship Id="rId8" Type="http://schemas.openxmlformats.org/officeDocument/2006/relationships/hyperlink" Target="https://www.sec.gov/Archives/edgar/data/918541/000119312524167079/d838374dex102.htm" TargetMode="External"/><Relationship Id="rId9" Type="http://schemas.openxmlformats.org/officeDocument/2006/relationships/hyperlink" Target="https://www.sec.gov/Archives/edgar/data/918541/000119312524167079/d838374dex103.htm" TargetMode="External"/><Relationship Id="rId10" Type="http://schemas.openxmlformats.org/officeDocument/2006/relationships/hyperlink" Target="https://www.sec.gov/Archives/edgar/data/918541/000119312524167079/d838374dex104.htm" TargetMode="External"/><Relationship Id="rId11" Type="http://schemas.openxmlformats.org/officeDocument/2006/relationships/hyperlink" Target="https://www.sec.gov/Archives/edgar/data/918541/000119312524167079/d838374dex105.htm" TargetMode="External"/><Relationship Id="rId12" Type="http://schemas.openxmlformats.org/officeDocument/2006/relationships/hyperlink" Target="https://www.sec.gov/Archives/edgar/data/918541/000119312524167079/d838374dex106.htm" TargetMode="External"/><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14750</Words>
  <Characters>80292</Characters>
  <CharactersWithSpaces>93971</CharactersWithSpaces>
  <Paragraphs>2218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