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46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660" w:type="dxa"/>
            <w:vAlign w:val="bottom"/>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46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660" w:type="dxa"/>
            <w:vAlign w:val="bottom"/>
            <w:vMerge w:val="restart"/>
          </w:tcPr>
          <w:p>
            <w:pPr>
              <w:ind w:left="1960"/>
              <w:spacing w:after="0"/>
              <w:rPr>
                <w:sz w:val="20"/>
                <w:szCs w:val="20"/>
                <w:color w:val="auto"/>
              </w:rPr>
            </w:pPr>
            <w:r>
              <w:rPr>
                <w:rFonts w:ascii="Arial" w:cs="Arial" w:eastAsia="Arial" w:hAnsi="Arial"/>
                <w:sz w:val="22"/>
                <w:szCs w:val="22"/>
                <w:color w:val="auto"/>
                <w:w w:val="85"/>
              </w:rPr>
              <w:t>501,231</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460" w:type="dxa"/>
            <w:vAlign w:val="bottom"/>
            <w:vMerge w:val="continue"/>
          </w:tcPr>
          <w:p>
            <w:pPr>
              <w:spacing w:after="0"/>
              <w:rPr>
                <w:sz w:val="14"/>
                <w:szCs w:val="14"/>
                <w:color w:val="auto"/>
              </w:rPr>
            </w:pPr>
          </w:p>
        </w:tc>
        <w:tc>
          <w:tcPr>
            <w:tcW w:w="2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46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660" w:type="dxa"/>
            <w:vAlign w:val="bottom"/>
            <w:vMerge w:val="restart"/>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460" w:type="dxa"/>
            <w:vAlign w:val="bottom"/>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46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660" w:type="dxa"/>
            <w:vAlign w:val="bottom"/>
            <w:vMerge w:val="restart"/>
          </w:tcPr>
          <w:p>
            <w:pPr>
              <w:ind w:left="1960"/>
              <w:spacing w:after="0"/>
              <w:rPr>
                <w:sz w:val="20"/>
                <w:szCs w:val="20"/>
                <w:color w:val="auto"/>
              </w:rPr>
            </w:pPr>
            <w:r>
              <w:rPr>
                <w:rFonts w:ascii="Arial" w:cs="Arial" w:eastAsia="Arial" w:hAnsi="Arial"/>
                <w:sz w:val="22"/>
                <w:szCs w:val="22"/>
                <w:color w:val="auto"/>
                <w:w w:val="85"/>
              </w:rPr>
              <w:t>594,438</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60" w:type="dxa"/>
            <w:vAlign w:val="bottom"/>
            <w:vMerge w:val="continue"/>
          </w:tcPr>
          <w:p>
            <w:pPr>
              <w:spacing w:after="0"/>
              <w:rPr>
                <w:sz w:val="7"/>
                <w:szCs w:val="7"/>
                <w:color w:val="auto"/>
              </w:rPr>
            </w:pPr>
          </w:p>
        </w:tc>
        <w:tc>
          <w:tcPr>
            <w:tcW w:w="2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54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594,438</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3.41%</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40"/>
          </w:cols>
          <w:pgMar w:left="280" w:top="388" w:right="1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NN,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2000 Waters Edge Drive</w:t>
      </w:r>
    </w:p>
    <w:p>
      <w:pPr>
        <w:ind w:left="1780" w:right="738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Building C, Suite 12 Johnson City, TN 37604</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280 Congress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02210</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629337106</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18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594,438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3.41%</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501,231</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594,438</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2014</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2019-12-06T10:41:27Z</dcterms:created>
  <dcterms:modified xsi:type="dcterms:W3CDTF">2019-12-06T10:41:27Z</dcterms:modified>
</cp:coreProperties>
</file>