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February 19, 2015</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Ms. 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File Number 333-201274</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REQUEST FOR ACCELERATION OF EFFECTIVENESS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225" w:lineRule="exact"/>
        <w:rPr>
          <w:sz w:val="24"/>
          <w:szCs w:val="24"/>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In accordance with Rule 461 under the Securities Act of 1933, as amended, NN,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respectfully requests acceleration of the effectiveness of the Company’s Registration Statement on Form S-3, File Number 333-201274, so that it will be declared effective on Monday, February 23, 2015 at 4:30 p.m. Eastern Time, or as soon as practicable thereafter.</w:t>
      </w:r>
    </w:p>
    <w:p>
      <w:pPr>
        <w:spacing w:after="0" w:line="18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letter will confirm that the Company acknowledges that:</w:t>
      </w:r>
    </w:p>
    <w:p>
      <w:pPr>
        <w:spacing w:after="0" w:line="131" w:lineRule="exact"/>
        <w:rPr>
          <w:sz w:val="24"/>
          <w:szCs w:val="24"/>
          <w:color w:val="auto"/>
        </w:rPr>
      </w:pPr>
    </w:p>
    <w:p>
      <w:pPr>
        <w:ind w:left="900" w:right="58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right="420" w:firstLine="456"/>
        <w:spacing w:after="0" w:line="277" w:lineRule="auto"/>
        <w:rPr>
          <w:sz w:val="20"/>
          <w:szCs w:val="20"/>
          <w:color w:val="auto"/>
        </w:rPr>
      </w:pPr>
      <w:r>
        <w:rPr>
          <w:rFonts w:ascii="Arial" w:cs="Arial" w:eastAsia="Arial" w:hAnsi="Arial"/>
          <w:sz w:val="18"/>
          <w:szCs w:val="18"/>
          <w:color w:val="auto"/>
        </w:rPr>
        <w:t>Please contact our counsel, Matthew Heiter, of Baker, Donelson, Bearman, Caldwell &amp; Berkowitz, PC, at 901-577-8117 if you have any questions concerning this request.</w:t>
      </w:r>
    </w:p>
    <w:p>
      <w:pPr>
        <w:spacing w:after="0" w:line="197"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4"/>
          <w:szCs w:val="24"/>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Chief Administrative Officer</w:t>
            </w:r>
          </w:p>
        </w:tc>
      </w:tr>
    </w:tbl>
    <w:p>
      <w:pPr>
        <w:spacing w:after="0" w:line="1" w:lineRule="exact"/>
        <w:rPr>
          <w:sz w:val="24"/>
          <w:szCs w:val="24"/>
          <w:color w:val="auto"/>
        </w:rPr>
      </w:pP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2019-12-06T10:53:11Z</dcterms:created>
  <dcterms:modified xsi:type="dcterms:W3CDTF">2019-12-06T10:53:11Z</dcterms:modified>
</cp:coreProperties>
</file>