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8"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5)</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NN, Inc.</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Common Stock, par value $0.01 per share</w:t>
      </w:r>
    </w:p>
    <w:p>
      <w:pPr>
        <w:spacing w:after="0" w:line="20"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220"/>
        <w:spacing w:after="0"/>
        <w:rPr>
          <w:sz w:val="20"/>
          <w:szCs w:val="20"/>
          <w:color w:val="auto"/>
        </w:rPr>
      </w:pPr>
      <w:r>
        <w:rPr>
          <w:rFonts w:ascii="Arial" w:cs="Arial" w:eastAsia="Arial" w:hAnsi="Arial"/>
          <w:sz w:val="22"/>
          <w:szCs w:val="22"/>
          <w:u w:val="single" w:color="auto"/>
          <w:color w:val="auto"/>
        </w:rPr>
        <w:t>629337106</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CHRISTOPHER S. KIPER</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LEGION PARTNERS ASSET MANAGEMENT, LLC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9401 Wilshire Blvd, Suite 705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Beverly Hills, CA 90212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(424) 253-1773</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STEVE WOLOSKY, ESQ.</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ELIZABETH GONZALEZ-SUSSMAN, ESQ.</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(212) 451-2300</w:t>
      </w:r>
    </w:p>
    <w:p>
      <w:pPr>
        <w:jc w:val="center"/>
        <w:ind w:right="-159"/>
        <w:spacing w:after="0" w:line="236" w:lineRule="auto"/>
        <w:rPr>
          <w:sz w:val="20"/>
          <w:szCs w:val="20"/>
          <w:color w:val="auto"/>
        </w:rPr>
      </w:pPr>
      <w:r>
        <w:rPr>
          <w:rFonts w:ascii="Arial" w:cs="Arial" w:eastAsia="Arial" w:hAnsi="Arial"/>
          <w:sz w:val="22"/>
          <w:szCs w:val="22"/>
          <w:color w:val="auto"/>
        </w:rPr>
        <w:t>(Name, Address and Telephone Number of Person</w:t>
      </w: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December 11, 2019</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629337106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L.P. I</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2,951,495</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2,951,495</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2,951,495</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6.98%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Legion Partners, L.P. II</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163,119</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163,119</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163,119</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Special Opportunities, L.P. XI</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770,703</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770,703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770,703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1.82%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3,885,317</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3,885,317</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3,885,317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Legion Partners Asset Management, LLC</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3,885,317</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3,885,317</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3,885,317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Legion Partners Holdings, LLC</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3,885,617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Christopher S. Kiper</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USA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3,885,617</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Arial" w:cs="Arial" w:eastAsia="Arial" w:hAnsi="Arial"/>
                <w:sz w:val="18"/>
                <w:szCs w:val="18"/>
                <w:color w:val="auto"/>
              </w:rPr>
              <w:t>9.18%</w:t>
            </w: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629337106</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3"/>
              </w:rPr>
              <w:t>Raymond White</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w w:val="95"/>
              </w:rPr>
              <w:t>SOURCE OF FUNDS</w:t>
            </w:r>
          </w:p>
        </w:tc>
        <w:tc>
          <w:tcPr>
            <w:tcW w:w="660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0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660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6"/>
                <w:szCs w:val="16"/>
                <w:color w:val="auto"/>
              </w:rPr>
            </w:pPr>
          </w:p>
        </w:tc>
        <w:tc>
          <w:tcPr>
            <w:tcW w:w="660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3,885,617</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3,885,617</w:t>
            </w: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9.18%</w:t>
            </w: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0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5 to the Schedule 13D filed by the undersigned (the “Amendment No. 5”).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 amends and restates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to add the following:</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On December 11, 2019, the Financing Transaction closed and the Series B Preferred Stock and Warrants were issued pursuant to the terms of the Purchase Agreement. The Warrants held by the Legion Investors may not be exercised until following the first meeting of stockholders of the Issuer at which a vote is held on a proposal with respect to the Stockholder Approval.</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Copies of the Certificate of Designation, the Warrants and the Registration Rights Agreement, which are defined and described in Amendment No. 4 to the Schedule 13D, are filed as Exhibit 3.1, Exhibit 4.1 and Exhibit 10.2, respectively, in the Issuer’s Form 8-K filed with the Securities and Exchange Commission (the “SEC”) on December 11, 2019 and are incorporated herein by reference.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6 is hereby amended to add the following: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as disclosed in this Amendment No. 5 is incorporated herein by reference.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7 is hereby amended to add the following exhibits: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Certificate of Designation of Series B Convertible Preferred Stock, dated December 11, 2019 (incorporated by reference to Exhibit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 of the Issuer’s Current Report on Form 8-K filed with SEC on December 11, 2019).</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99.2 Form of Common Stock Purchase Warrant, dated December 11, 2019 (incorporated by reference to Exhibit 4.1 of the Issuer’s Current Report on Form 8-K filed with SEC on December 11, 2019).</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99.3 Registration Rights Agreement, dated December 11, 2019 (incorporated by reference to Exhibit 10.2 of the Issuer’s Current Report on Form 8-K filed with SEC on December 11,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629337106</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his knowledge and belief, each of the undersigned certifies that the information set forth in this statement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is true, complete and correct.</w:t>
            </w:r>
          </w:p>
        </w:tc>
        <w:tc>
          <w:tcPr>
            <w:tcW w:w="10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6620" w:type="dxa"/>
            <w:vAlign w:val="bottom"/>
          </w:tcPr>
          <w:p>
            <w:pPr>
              <w:spacing w:after="0"/>
              <w:rPr>
                <w:sz w:val="20"/>
                <w:szCs w:val="20"/>
                <w:color w:val="auto"/>
              </w:rPr>
            </w:pPr>
            <w:r>
              <w:rPr>
                <w:rFonts w:ascii="Arial" w:cs="Arial" w:eastAsia="Arial" w:hAnsi="Arial"/>
                <w:sz w:val="18"/>
                <w:szCs w:val="18"/>
                <w:color w:val="auto"/>
              </w:rPr>
              <w:t>Dated: December 13, 2019</w:t>
            </w:r>
          </w:p>
        </w:tc>
        <w:tc>
          <w:tcPr>
            <w:tcW w:w="10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2"/>
              </w:rPr>
              <w:t>Legion Partners, L.P. 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0"/>
              </w:rPr>
              <w:t>Legion Partners, L.P. II</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11320" w:type="dxa"/>
            <w:vAlign w:val="bottom"/>
            <w:gridSpan w:val="3"/>
          </w:tcPr>
          <w:p>
            <w:pPr>
              <w:ind w:left="5940"/>
              <w:spacing w:after="0"/>
              <w:rPr>
                <w:sz w:val="20"/>
                <w:szCs w:val="20"/>
                <w:color w:val="auto"/>
              </w:rPr>
            </w:pPr>
            <w:r>
              <w:rPr>
                <w:rFonts w:ascii="Arial" w:cs="Arial" w:eastAsia="Arial" w:hAnsi="Arial"/>
                <w:sz w:val="18"/>
                <w:szCs w:val="18"/>
                <w:color w:val="auto"/>
              </w:rPr>
              <w:t>Legion Partners Special Opportunities, L.P. XI</w:t>
            </w: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Asset Management,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Investment Advisor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100" w:type="dxa"/>
            <w:vAlign w:val="bottom"/>
          </w:tcPr>
          <w:p>
            <w:pPr>
              <w:spacing w:after="0"/>
              <w:rPr>
                <w:sz w:val="20"/>
                <w:szCs w:val="20"/>
                <w:color w:val="auto"/>
              </w:rPr>
            </w:pPr>
          </w:p>
        </w:tc>
      </w:tr>
      <w:tr>
        <w:trPr>
          <w:trHeight w:val="432"/>
        </w:trPr>
        <w:tc>
          <w:tcPr>
            <w:tcW w:w="7620" w:type="dxa"/>
            <w:vAlign w:val="bottom"/>
            <w:gridSpan w:val="2"/>
          </w:tcPr>
          <w:p>
            <w:pPr>
              <w:ind w:left="5940"/>
              <w:spacing w:after="0"/>
              <w:rPr>
                <w:sz w:val="20"/>
                <w:szCs w:val="20"/>
                <w:color w:val="auto"/>
              </w:rPr>
            </w:pPr>
            <w:r>
              <w:rPr>
                <w:rFonts w:ascii="Arial" w:cs="Arial" w:eastAsia="Arial" w:hAnsi="Arial"/>
                <w:sz w:val="18"/>
                <w:szCs w:val="18"/>
                <w:color w:val="auto"/>
                <w:w w:val="97"/>
              </w:rPr>
              <w:t>Legion Partners, LLC</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Legion Partners Holdings, LLC</w:t>
            </w:r>
          </w:p>
        </w:tc>
        <w:tc>
          <w:tcPr>
            <w:tcW w:w="100" w:type="dxa"/>
            <w:vAlign w:val="bottom"/>
          </w:tcPr>
          <w:p>
            <w:pPr>
              <w:spacing w:after="0"/>
              <w:rPr>
                <w:sz w:val="24"/>
                <w:szCs w:val="24"/>
                <w:color w:val="auto"/>
              </w:rPr>
            </w:pPr>
          </w:p>
        </w:tc>
      </w:tr>
      <w:tr>
        <w:trPr>
          <w:trHeight w:val="230"/>
        </w:trPr>
        <w:tc>
          <w:tcPr>
            <w:tcW w:w="66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432"/>
        </w:trPr>
        <w:tc>
          <w:tcPr>
            <w:tcW w:w="6620" w:type="dxa"/>
            <w:vAlign w:val="bottom"/>
          </w:tcPr>
          <w:p>
            <w:pPr>
              <w:ind w:left="594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c>
          <w:tcPr>
            <w:tcW w:w="100" w:type="dxa"/>
            <w:vAlign w:val="bottom"/>
          </w:tcPr>
          <w:p>
            <w:pPr>
              <w:spacing w:after="0"/>
              <w:rPr>
                <w:sz w:val="24"/>
                <w:szCs w:val="24"/>
                <w:color w:val="auto"/>
              </w:rPr>
            </w:pPr>
          </w:p>
        </w:tc>
      </w:tr>
      <w:tr>
        <w:trPr>
          <w:trHeight w:val="195"/>
        </w:trPr>
        <w:tc>
          <w:tcPr>
            <w:tcW w:w="662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ind w:left="20"/>
              <w:spacing w:after="0" w:line="195" w:lineRule="exact"/>
              <w:rPr>
                <w:sz w:val="20"/>
                <w:szCs w:val="20"/>
                <w:color w:val="auto"/>
              </w:rPr>
            </w:pPr>
            <w:r>
              <w:rPr>
                <w:rFonts w:ascii="Arial" w:cs="Arial" w:eastAsia="Arial" w:hAnsi="Arial"/>
                <w:sz w:val="18"/>
                <w:szCs w:val="18"/>
                <w:color w:val="auto"/>
              </w:rPr>
              <w:t>Christopher S. Kiper</w:t>
            </w:r>
          </w:p>
        </w:tc>
        <w:tc>
          <w:tcPr>
            <w:tcW w:w="100" w:type="dxa"/>
            <w:vAlign w:val="bottom"/>
          </w:tcPr>
          <w:p>
            <w:pPr>
              <w:spacing w:after="0"/>
              <w:rPr>
                <w:sz w:val="16"/>
                <w:szCs w:val="16"/>
                <w:color w:val="auto"/>
              </w:rPr>
            </w:pPr>
          </w:p>
        </w:tc>
      </w:tr>
      <w:tr>
        <w:trPr>
          <w:trHeight w:val="230"/>
        </w:trPr>
        <w:tc>
          <w:tcPr>
            <w:tcW w:w="66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ind w:left="20"/>
              <w:spacing w:after="0"/>
              <w:rPr>
                <w:sz w:val="20"/>
                <w:szCs w:val="20"/>
                <w:color w:val="auto"/>
              </w:rPr>
            </w:pPr>
            <w:r>
              <w:rPr>
                <w:rFonts w:ascii="Arial" w:cs="Arial" w:eastAsia="Arial" w:hAnsi="Arial"/>
                <w:sz w:val="18"/>
                <w:szCs w:val="18"/>
                <w:color w:val="auto"/>
              </w:rPr>
              <w:t>Managing Member</w:t>
            </w:r>
          </w:p>
        </w:tc>
        <w:tc>
          <w:tcPr>
            <w:tcW w:w="100" w:type="dxa"/>
            <w:vAlign w:val="bottom"/>
          </w:tcPr>
          <w:p>
            <w:pPr>
              <w:spacing w:after="0"/>
              <w:rPr>
                <w:sz w:val="20"/>
                <w:szCs w:val="20"/>
                <w:color w:val="auto"/>
              </w:rPr>
            </w:pPr>
          </w:p>
        </w:tc>
      </w:tr>
      <w:tr>
        <w:trPr>
          <w:trHeight w:val="540"/>
        </w:trPr>
        <w:tc>
          <w:tcPr>
            <w:tcW w:w="662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11</w:t>
            </w:r>
          </w:p>
        </w:tc>
        <w:tc>
          <w:tcPr>
            <w:tcW w:w="10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629337106</w:t>
      </w:r>
    </w:p>
    <w:p>
      <w:pPr>
        <w:spacing w:after="0" w:line="105"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Legion Partners Asset Management, LLC</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/s/ Christopher S. Kiper</w:t>
            </w:r>
          </w:p>
        </w:tc>
      </w:tr>
      <w:tr>
        <w:trPr>
          <w:trHeight w:val="216"/>
        </w:trPr>
        <w:tc>
          <w:tcPr>
            <w:tcW w:w="68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260"/>
              <w:spacing w:after="0"/>
              <w:rPr>
                <w:sz w:val="20"/>
                <w:szCs w:val="20"/>
                <w:color w:val="auto"/>
              </w:rPr>
            </w:pPr>
            <w:r>
              <w:rPr>
                <w:rFonts w:ascii="Arial" w:cs="Arial" w:eastAsia="Arial" w:hAnsi="Arial"/>
                <w:sz w:val="18"/>
                <w:szCs w:val="18"/>
                <w:color w:val="auto"/>
              </w:rPr>
              <w:t>Christopher S. Kiper</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60"/>
              <w:spacing w:after="0"/>
              <w:rPr>
                <w:sz w:val="20"/>
                <w:szCs w:val="20"/>
                <w:color w:val="auto"/>
              </w:rPr>
            </w:pPr>
            <w:r>
              <w:rPr>
                <w:rFonts w:ascii="Arial" w:cs="Arial" w:eastAsia="Arial" w:hAnsi="Arial"/>
                <w:sz w:val="18"/>
                <w:szCs w:val="18"/>
                <w:color w:val="auto"/>
              </w:rPr>
              <w:t>Managing Director</w:t>
            </w:r>
          </w:p>
        </w:tc>
      </w:tr>
      <w:tr>
        <w:trPr>
          <w:trHeight w:val="432"/>
        </w:trPr>
        <w:tc>
          <w:tcPr>
            <w:tcW w:w="5380" w:type="dxa"/>
            <w:vAlign w:val="bottom"/>
            <w:gridSpan w:val="3"/>
          </w:tcPr>
          <w:p>
            <w:pPr>
              <w:spacing w:after="0"/>
              <w:rPr>
                <w:sz w:val="20"/>
                <w:szCs w:val="20"/>
                <w:color w:val="auto"/>
              </w:rPr>
            </w:pPr>
            <w:r>
              <w:rPr>
                <w:rFonts w:ascii="Arial" w:cs="Arial" w:eastAsia="Arial" w:hAnsi="Arial"/>
                <w:sz w:val="18"/>
                <w:szCs w:val="18"/>
                <w:color w:val="auto"/>
              </w:rPr>
              <w:t>Legion Partners Holdings, LLC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S. Kiper</w:t>
            </w:r>
          </w:p>
        </w:tc>
      </w:tr>
      <w:tr>
        <w:trPr>
          <w:trHeight w:val="195"/>
        </w:trPr>
        <w:tc>
          <w:tcPr>
            <w:tcW w:w="680" w:type="dxa"/>
            <w:vAlign w:val="bottom"/>
          </w:tcPr>
          <w:p>
            <w:pPr>
              <w:spacing w:after="0"/>
              <w:rPr>
                <w:sz w:val="16"/>
                <w:szCs w:val="16"/>
                <w:color w:val="auto"/>
              </w:rPr>
            </w:pPr>
          </w:p>
        </w:tc>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40" w:type="dxa"/>
            <w:vAlign w:val="bottom"/>
          </w:tcPr>
          <w:p>
            <w:pPr>
              <w:ind w:left="260"/>
              <w:spacing w:after="0" w:line="195" w:lineRule="exact"/>
              <w:rPr>
                <w:sz w:val="20"/>
                <w:szCs w:val="20"/>
                <w:color w:val="auto"/>
              </w:rPr>
            </w:pPr>
            <w:r>
              <w:rPr>
                <w:rFonts w:ascii="Arial" w:cs="Arial" w:eastAsia="Arial" w:hAnsi="Arial"/>
                <w:sz w:val="18"/>
                <w:szCs w:val="18"/>
                <w:color w:val="auto"/>
              </w:rPr>
              <w:t>Christopher S. Kiper</w:t>
            </w:r>
          </w:p>
        </w:tc>
      </w:tr>
      <w:tr>
        <w:trPr>
          <w:trHeight w:val="230"/>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Christopher S. Kiper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13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Raymond White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-130810</wp:posOffset>
            </wp:positionV>
            <wp:extent cx="3413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20"/>
      </w:cols>
      <w:pgMar w:left="240" w:top="2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1"/>
      <w:numFmt w:val="decimal"/>
      <w:start w:val="14"/>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2019-12-13T15:03:32Z</dcterms:created>
  <dcterms:modified xsi:type="dcterms:W3CDTF">2019-12-13T15:03:32Z</dcterms:modified>
</cp:coreProperties>
</file>