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2)1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614,100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1,062,100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1,062,100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6.91%</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2000 Waters Edge Drive, Building C, Suite 12</w:t>
      </w:r>
    </w:p>
    <w:p>
      <w:pPr>
        <w:ind w:left="1700"/>
        <w:spacing w:after="0" w:line="238" w:lineRule="auto"/>
        <w:tabs>
          <w:tab w:leader="none" w:pos="3460" w:val="left"/>
        </w:tabs>
        <w:rPr>
          <w:sz w:val="20"/>
          <w:szCs w:val="20"/>
          <w:color w:val="auto"/>
        </w:rPr>
      </w:pPr>
      <w:r>
        <w:rPr>
          <w:rFonts w:ascii="Courier New" w:cs="Courier New" w:eastAsia="Courier New" w:hAnsi="Courier New"/>
          <w:sz w:val="18"/>
          <w:szCs w:val="18"/>
          <w:color w:val="auto"/>
        </w:rPr>
        <w:t>Johnson City TN</w:t>
        <w:tab/>
        <w:t>37604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1,062,100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6.91%</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614,100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1,062,100</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629337106</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2019-12-14T03:09:18Z</dcterms:created>
  <dcterms:modified xsi:type="dcterms:W3CDTF">2019-12-14T03:09:18Z</dcterms:modified>
</cp:coreProperties>
</file>