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GENTRY FRANK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53"/>
        <w:spacing w:after="0" w:line="402"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11/21/2013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SVP - Managing Director</w:t>
      </w:r>
    </w:p>
    <w:p>
      <w:pPr>
        <w:spacing w:after="0" w:line="558" w:lineRule="exact"/>
        <w:rPr>
          <w:sz w:val="24"/>
          <w:szCs w:val="24"/>
          <w:color w:val="auto"/>
        </w:rPr>
      </w:pPr>
    </w:p>
    <w:p>
      <w:pPr>
        <w:sectPr>
          <w:pgSz w:w="11900" w:h="16838" w:orient="portrait"/>
          <w:cols w:equalWidth="0" w:num="3">
            <w:col w:w="3353" w:space="720"/>
            <w:col w:w="3264"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0000FF"/>
              </w:rPr>
              <w:t>TN</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10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11/21/2013</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jc w:val="right"/>
              <w:ind w:right="29"/>
              <w:spacing w:after="0"/>
              <w:rPr>
                <w:sz w:val="20"/>
                <w:szCs w:val="20"/>
                <w:color w:val="auto"/>
              </w:rPr>
            </w:pPr>
            <w:r>
              <w:rPr>
                <w:rFonts w:ascii="Arial" w:cs="Arial" w:eastAsia="Arial" w:hAnsi="Arial"/>
                <w:sz w:val="18"/>
                <w:szCs w:val="18"/>
                <w:color w:val="0000FF"/>
              </w:rPr>
              <w:t>8,561</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w:t>
            </w:r>
            <w:r>
              <w:rPr>
                <w:rFonts w:ascii="Arial" w:cs="Arial" w:eastAsia="Arial" w:hAnsi="Arial"/>
                <w:sz w:val="22"/>
                <w:szCs w:val="22"/>
                <w:color w:val="008000"/>
                <w:w w:val="83"/>
                <w:vertAlign w:val="superscript"/>
              </w:rPr>
              <w:t>(1)</w:t>
            </w:r>
          </w:p>
        </w:tc>
        <w:tc>
          <w:tcPr>
            <w:tcW w:w="340" w:type="dxa"/>
            <w:vAlign w:val="bottom"/>
          </w:tcPr>
          <w:p>
            <w:pPr>
              <w:spacing w:after="0"/>
              <w:rPr>
                <w:sz w:val="18"/>
                <w:szCs w:val="18"/>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79"/>
              </w:rPr>
              <w:t>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Karen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Gentry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11/21/2013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29"/>
              <w:spacing w:after="0"/>
              <w:rPr>
                <w:sz w:val="20"/>
                <w:szCs w:val="20"/>
                <w:color w:val="auto"/>
              </w:rPr>
            </w:pPr>
            <w:r>
              <w:rPr>
                <w:rFonts w:ascii="Arial" w:cs="Arial" w:eastAsia="Arial" w:hAnsi="Arial"/>
                <w:sz w:val="18"/>
                <w:szCs w:val="18"/>
                <w:color w:val="0000FF"/>
              </w:rPr>
              <w:t>8,000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18.14</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48,100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11/22/2013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29"/>
              <w:spacing w:after="0"/>
              <w:rPr>
                <w:sz w:val="20"/>
                <w:szCs w:val="20"/>
                <w:color w:val="auto"/>
              </w:rPr>
            </w:pPr>
            <w:r>
              <w:rPr>
                <w:rFonts w:ascii="Arial" w:cs="Arial" w:eastAsia="Arial" w:hAnsi="Arial"/>
                <w:sz w:val="18"/>
                <w:szCs w:val="18"/>
                <w:color w:val="0000FF"/>
              </w:rPr>
              <w:t>9,000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18.42</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39,100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$17.95 to $18.06, inclusive. The reporting person undertakes to provide to NN, Inc., any security holder of NN, Inc., or the staff of the Securities and Exchange Commission, upon request, full information regarding the number of shares sold at each separate price within the range set forth in footnotes (1) through (3).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$18.11 to $18.21,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$18.38 to $18.49,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11/25/2013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2019-12-17T05:47:16Z</dcterms:created>
  <dcterms:modified xsi:type="dcterms:W3CDTF">2019-12-17T05:47:16Z</dcterms:modified>
</cp:coreProperties>
</file>