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DORTON JAMES HAROLD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53"/>
        <w:spacing w:after="0" w:line="402"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367" w:hanging="367"/>
        <w:spacing w:after="0"/>
        <w:tabs>
          <w:tab w:leader="none" w:pos="367" w:val="left"/>
        </w:tabs>
        <w:numPr>
          <w:ilvl w:val="0"/>
          <w:numId w:val="1"/>
        </w:numPr>
        <w:rPr>
          <w:rFonts w:ascii="Arial" w:cs="Arial" w:eastAsia="Arial" w:hAnsi="Arial"/>
          <w:sz w:val="22"/>
          <w:szCs w:val="22"/>
          <w:color w:val="0000EE"/>
        </w:rPr>
      </w:pPr>
      <w:hyperlink r:id="rId13">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ind w:left="7"/>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ind w:left="7"/>
        <w:spacing w:after="0"/>
        <w:rPr>
          <w:sz w:val="20"/>
          <w:szCs w:val="20"/>
          <w:color w:val="auto"/>
        </w:rPr>
      </w:pPr>
      <w:r>
        <w:rPr>
          <w:rFonts w:ascii="Arial" w:cs="Arial" w:eastAsia="Arial" w:hAnsi="Arial"/>
          <w:sz w:val="18"/>
          <w:szCs w:val="18"/>
          <w:color w:val="0000FF"/>
        </w:rPr>
        <w:t>11/22/2013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Sr. VP Chief Financial Officer</w:t>
      </w:r>
    </w:p>
    <w:p>
      <w:pPr>
        <w:spacing w:after="0" w:line="558" w:lineRule="exact"/>
        <w:rPr>
          <w:sz w:val="24"/>
          <w:szCs w:val="24"/>
          <w:color w:val="auto"/>
        </w:rPr>
      </w:pPr>
    </w:p>
    <w:p>
      <w:pPr>
        <w:sectPr>
          <w:pgSz w:w="11900" w:h="16838" w:orient="portrait"/>
          <w:cols w:equalWidth="0" w:num="3">
            <w:col w:w="3353" w:space="720"/>
            <w:col w:w="3264"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JOHNSON</w:t>
            </w:r>
          </w:p>
        </w:tc>
        <w:tc>
          <w:tcPr>
            <w:tcW w:w="1080" w:type="dxa"/>
            <w:vAlign w:val="bottom"/>
            <w:vMerge w:val="restart"/>
          </w:tcPr>
          <w:p>
            <w:pPr>
              <w:ind w:left="240"/>
              <w:spacing w:after="0"/>
              <w:rPr>
                <w:sz w:val="20"/>
                <w:szCs w:val="20"/>
                <w:color w:val="auto"/>
              </w:rPr>
            </w:pPr>
            <w:r>
              <w:rPr>
                <w:rFonts w:ascii="Arial" w:cs="Arial" w:eastAsia="Arial" w:hAnsi="Arial"/>
                <w:sz w:val="18"/>
                <w:szCs w:val="18"/>
                <w:color w:val="0000FF"/>
              </w:rPr>
              <w:t>TN</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10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11/22/2013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18.41</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38,400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2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$18.39 to $18.45, inclusive. The reporting person undertakes to provide to NN, Inc., any security holder of NN, Inc., or the staff of the Securities and Exchange Commission, upon request, full information regarding the number of shares sold at each separate price within the range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11/26/2013</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9962"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2019-12-17T05:54:11Z</dcterms:created>
  <dcterms:modified xsi:type="dcterms:W3CDTF">2019-12-17T05:54:11Z</dcterms:modified>
</cp:coreProperties>
</file>