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606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606925"/>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STATHAM JAMI</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ind w:left="360" w:hanging="356"/>
        <w:spacing w:after="0"/>
        <w:tabs>
          <w:tab w:leader="none" w:pos="360" w:val="left"/>
        </w:tabs>
        <w:numPr>
          <w:ilvl w:val="0"/>
          <w:numId w:val="1"/>
        </w:numPr>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51"/>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CHARLOTTE   NC</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28277</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03/18/2025</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38,888</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54,768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80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03/18/2025</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77,777</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77,777</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109,537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March 18, 2026.</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42" w:lineRule="exact"/>
        <w:rPr>
          <w:rFonts w:ascii="Times New Roman" w:cs="Times New Roman" w:eastAsia="Times New Roman" w:hAnsi="Times New Roman"/>
          <w:sz w:val="13"/>
          <w:szCs w:val="13"/>
          <w:color w:val="008000"/>
        </w:rPr>
      </w:pPr>
    </w:p>
    <w:p>
      <w:pPr>
        <w:ind w:left="40" w:right="200" w:firstLine="1"/>
        <w:spacing w:after="0" w:line="236"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rights will vest pursuant to the terms and subject to the conditions set forth in the Issuer's 2022 Amended and Restated Omnibus Incentive Plan and the applicable Performance Share Unit Award Agreement based on the relative total shareholder return ("TSR") of the Issuer over a one-, two-, and three-year period, as compared to the TSR of a custom subset of the S&amp;P SmallCap 600 Capital Goods Index, plus the Issuer's compensation peers not included in the Index), over the period beginning on January 1, 2025 and ending December 31, 2027. The performance rights granted represent the right to receive the target shares, and actual performance rights earned may be between 25% and 150% of the target shares.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An updated power of attorney is attached to this Form as Exhibit 24.</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Richard F. Mattern by Power </w:t>
      </w:r>
      <w:r>
        <w:rPr>
          <w:rFonts w:ascii="Times New Roman" w:cs="Times New Roman" w:eastAsia="Times New Roman" w:hAnsi="Times New Roman"/>
          <w:sz w:val="33"/>
          <w:szCs w:val="33"/>
          <w:color w:val="0000FF"/>
          <w:vertAlign w:val="subscript"/>
        </w:rPr>
        <w:t>03/20/2025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2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08" w:lineRule="exact"/>
        <w:rPr>
          <w:sz w:val="20"/>
          <w:szCs w:val="20"/>
          <w:color w:val="auto"/>
        </w:rPr>
      </w:pPr>
    </w:p>
    <w:p>
      <w:pPr>
        <w:ind w:right="20" w:firstLine="731"/>
        <w:spacing w:after="0" w:line="265"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Richard Mattern, David Marshburn, D. Gail Nixon, Peter Gedeon, Christopher Bohnert, and Jami Statham, with full power of substitution, the undersigned's true and lawful attorney-in-fact to:</w:t>
      </w:r>
    </w:p>
    <w:p>
      <w:pPr>
        <w:spacing w:after="0" w:line="157" w:lineRule="exact"/>
        <w:rPr>
          <w:sz w:val="20"/>
          <w:szCs w:val="20"/>
          <w:color w:val="auto"/>
        </w:rPr>
      </w:pPr>
    </w:p>
    <w:p>
      <w:pPr>
        <w:jc w:val="both"/>
        <w:ind w:left="1460" w:hanging="726"/>
        <w:spacing w:after="0" w:line="247" w:lineRule="auto"/>
        <w:tabs>
          <w:tab w:leader="none" w:pos="14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72" w:lineRule="exact"/>
        <w:rPr>
          <w:rFonts w:ascii="Times New Roman" w:cs="Times New Roman" w:eastAsia="Times New Roman" w:hAnsi="Times New Roman"/>
          <w:sz w:val="19"/>
          <w:szCs w:val="19"/>
          <w:color w:val="auto"/>
        </w:rPr>
      </w:pPr>
    </w:p>
    <w:p>
      <w:pPr>
        <w:jc w:val="both"/>
        <w:ind w:left="1460" w:hanging="726"/>
        <w:spacing w:after="0" w:line="252" w:lineRule="auto"/>
        <w:tabs>
          <w:tab w:leader="none" w:pos="14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66" w:lineRule="exact"/>
        <w:rPr>
          <w:rFonts w:ascii="Times New Roman" w:cs="Times New Roman" w:eastAsia="Times New Roman" w:hAnsi="Times New Roman"/>
          <w:sz w:val="19"/>
          <w:szCs w:val="19"/>
          <w:color w:val="auto"/>
        </w:rPr>
      </w:pPr>
    </w:p>
    <w:p>
      <w:pPr>
        <w:jc w:val="both"/>
        <w:ind w:left="1460" w:hanging="726"/>
        <w:spacing w:after="0" w:line="252" w:lineRule="auto"/>
        <w:tabs>
          <w:tab w:leader="none" w:pos="14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6" w:lineRule="exact"/>
        <w:rPr>
          <w:rFonts w:ascii="Times New Roman" w:cs="Times New Roman" w:eastAsia="Times New Roman" w:hAnsi="Times New Roman"/>
          <w:sz w:val="19"/>
          <w:szCs w:val="19"/>
          <w:color w:val="auto"/>
        </w:rPr>
      </w:pPr>
    </w:p>
    <w:p>
      <w:pPr>
        <w:jc w:val="both"/>
        <w:ind w:left="1460" w:hanging="726"/>
        <w:spacing w:after="0" w:line="247" w:lineRule="auto"/>
        <w:tabs>
          <w:tab w:leader="none" w:pos="14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3" w:lineRule="exact"/>
        <w:rPr>
          <w:sz w:val="20"/>
          <w:szCs w:val="20"/>
          <w:color w:val="auto"/>
        </w:rPr>
      </w:pPr>
    </w:p>
    <w:p>
      <w:pPr>
        <w:jc w:val="both"/>
        <w:ind w:firstLine="731"/>
        <w:spacing w:after="0" w:line="243"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76" w:lineRule="exact"/>
        <w:rPr>
          <w:sz w:val="20"/>
          <w:szCs w:val="20"/>
          <w:color w:val="auto"/>
        </w:rPr>
      </w:pPr>
    </w:p>
    <w:p>
      <w:pPr>
        <w:jc w:val="both"/>
        <w:ind w:firstLine="731"/>
        <w:spacing w:after="0" w:line="25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w:t>
      </w:r>
    </w:p>
    <w:p>
      <w:pPr>
        <w:spacing w:after="0" w:line="204" w:lineRule="exact"/>
        <w:rPr>
          <w:sz w:val="20"/>
          <w:szCs w:val="20"/>
          <w:color w:val="auto"/>
        </w:rPr>
      </w:pPr>
    </w:p>
    <w:p>
      <w:pPr>
        <w:ind w:left="5400"/>
        <w:spacing w:after="0"/>
        <w:tabs>
          <w:tab w:leader="none" w:pos="61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7"/>
          <w:szCs w:val="17"/>
          <w:color w:val="auto"/>
        </w:rPr>
        <w:t>/s/ Jami Statham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12700</wp:posOffset>
            </wp:positionV>
            <wp:extent cx="1908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908810" cy="8255"/>
                    </a:xfrm>
                    <a:prstGeom prst="rect">
                      <a:avLst/>
                    </a:prstGeom>
                    <a:noFill/>
                  </pic:spPr>
                </pic:pic>
              </a:graphicData>
            </a:graphic>
          </wp:anchor>
        </w:drawing>
      </w:r>
    </w:p>
    <w:p>
      <w:pPr>
        <w:spacing w:after="0" w:line="5" w:lineRule="exact"/>
        <w:rPr>
          <w:sz w:val="20"/>
          <w:szCs w:val="20"/>
          <w:color w:val="auto"/>
        </w:rPr>
      </w:pPr>
    </w:p>
    <w:p>
      <w:pPr>
        <w:ind w:left="5400"/>
        <w:spacing w:after="0"/>
        <w:tabs>
          <w:tab w:leader="none" w:pos="6140" w:val="left"/>
        </w:tabs>
        <w:rPr>
          <w:sz w:val="20"/>
          <w:szCs w:val="20"/>
          <w:color w:val="auto"/>
        </w:rPr>
      </w:pPr>
      <w:r>
        <w:rPr>
          <w:rFonts w:ascii="Times New Roman" w:cs="Times New Roman" w:eastAsia="Times New Roman" w:hAnsi="Times New Roman"/>
          <w:sz w:val="19"/>
          <w:szCs w:val="19"/>
          <w:color w:val="auto"/>
        </w:rPr>
        <w:t>Name:</w:t>
        <w:tab/>
        <w:t>Jami Statham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u w:val="single" w:color="auto"/>
          <w:color w:val="auto"/>
        </w:rPr>
        <w:t>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1210310</wp:posOffset>
            </wp:positionV>
            <wp:extent cx="699452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4525" cy="41910"/>
                    </a:xfrm>
                    <a:prstGeom prst="rect">
                      <a:avLst/>
                    </a:prstGeom>
                    <a:noFill/>
                  </pic:spPr>
                </pic:pic>
              </a:graphicData>
            </a:graphic>
          </wp:anchor>
        </w:drawing>
      </w:r>
    </w:p>
    <w:sectPr>
      <w:pgSz w:w="11900" w:h="16838" w:orient="portrait"/>
      <w:cols w:equalWidth="0" w:num="1">
        <w:col w:w="10980"/>
      </w:cols>
      <w:pgMar w:left="460" w:top="129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2027832"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2025-03-20T19:04:49Z</dcterms:created>
  <dcterms:modified xsi:type="dcterms:W3CDTF">2025-03-20T19:04:49Z</dcterms:modified>
</cp:coreProperties>
</file>