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37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spacing w:after="0" w:line="3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Securities Exchange Act of 1934</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 of Report (Date of earliest event reported) August 25, 2003 (August 18, 2003)</w:t>
      </w:r>
    </w:p>
    <w:p>
      <w:pPr>
        <w:spacing w:after="0" w:line="53" w:lineRule="exact"/>
        <w:rPr>
          <w:sz w:val="24"/>
          <w:szCs w:val="24"/>
          <w:color w:val="auto"/>
        </w:rPr>
      </w:pPr>
    </w:p>
    <w:p>
      <w:pPr>
        <w:ind w:left="5060"/>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NN, INC.</w:t>
      </w:r>
    </w:p>
    <w:p>
      <w:pPr>
        <w:spacing w:after="0" w:line="31"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3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pacing w:after="0" w:line="372" w:lineRule="exact"/>
        <w:rPr>
          <w:sz w:val="24"/>
          <w:szCs w:val="24"/>
          <w:color w:val="auto"/>
        </w:rPr>
      </w:pPr>
    </w:p>
    <w:tbl>
      <w:tblPr>
        <w:tblLayout w:type="fixed"/>
        <w:tblInd w:w="0" w:type="dxa"/>
        <w:tblCellMar>
          <w:top w:w="0" w:type="dxa"/>
          <w:left w:w="0" w:type="dxa"/>
          <w:bottom w:w="0" w:type="dxa"/>
          <w:right w:w="0" w:type="dxa"/>
        </w:tblCellMar>
      </w:tblPr>
      <w:tr>
        <w:trPr>
          <w:trHeight w:val="235"/>
        </w:trPr>
        <w:tc>
          <w:tcPr>
            <w:tcW w:w="2540" w:type="dxa"/>
            <w:vAlign w:val="bottom"/>
          </w:tcPr>
          <w:p>
            <w:pPr>
              <w:spacing w:after="0"/>
              <w:rPr>
                <w:sz w:val="20"/>
                <w:szCs w:val="20"/>
                <w:color w:val="auto"/>
              </w:rPr>
            </w:pPr>
            <w:r>
              <w:rPr>
                <w:rFonts w:ascii="Courier New" w:cs="Courier New" w:eastAsia="Courier New" w:hAnsi="Courier New"/>
                <w:sz w:val="18"/>
                <w:szCs w:val="18"/>
                <w:color w:val="auto"/>
              </w:rPr>
              <w:t>DELAWARE</w:t>
            </w:r>
          </w:p>
        </w:tc>
        <w:tc>
          <w:tcPr>
            <w:tcW w:w="326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0-23486</w:t>
            </w:r>
          </w:p>
        </w:tc>
        <w:tc>
          <w:tcPr>
            <w:tcW w:w="1900" w:type="dxa"/>
            <w:vAlign w:val="bottom"/>
          </w:tcPr>
          <w:p>
            <w:pPr>
              <w:jc w:val="right"/>
              <w:spacing w:after="0"/>
              <w:rPr>
                <w:sz w:val="20"/>
                <w:szCs w:val="20"/>
                <w:color w:val="auto"/>
              </w:rPr>
            </w:pPr>
            <w:r>
              <w:rPr>
                <w:rFonts w:ascii="Courier New" w:cs="Courier New" w:eastAsia="Courier New" w:hAnsi="Courier New"/>
                <w:sz w:val="18"/>
                <w:szCs w:val="18"/>
                <w:color w:val="auto"/>
              </w:rPr>
              <w:t>62-1096725</w:t>
            </w:r>
          </w:p>
        </w:tc>
      </w:tr>
    </w:tbl>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p>
    <w:p>
      <w:pPr>
        <w:spacing w:after="0"/>
        <w:tabs>
          <w:tab w:leader="none" w:pos="4100" w:val="left"/>
          <w:tab w:leader="none" w:pos="6520" w:val="left"/>
        </w:tabs>
        <w:rPr>
          <w:sz w:val="20"/>
          <w:szCs w:val="20"/>
          <w:color w:val="auto"/>
        </w:rPr>
      </w:pPr>
      <w:r>
        <w:rPr>
          <w:rFonts w:ascii="Courier New" w:cs="Courier New" w:eastAsia="Courier New" w:hAnsi="Courier New"/>
          <w:sz w:val="18"/>
          <w:szCs w:val="18"/>
          <w:color w:val="auto"/>
        </w:rPr>
        <w:t>(State or other jurisdiction</w:t>
      </w:r>
      <w:r>
        <w:rPr>
          <w:sz w:val="20"/>
          <w:szCs w:val="20"/>
          <w:color w:val="auto"/>
        </w:rPr>
        <w:tab/>
      </w:r>
      <w:r>
        <w:rPr>
          <w:rFonts w:ascii="Courier New" w:cs="Courier New" w:eastAsia="Courier New" w:hAnsi="Courier New"/>
          <w:sz w:val="18"/>
          <w:szCs w:val="18"/>
          <w:color w:val="auto"/>
        </w:rPr>
        <w:t>(Commission</w:t>
      </w:r>
      <w:r>
        <w:rPr>
          <w:sz w:val="20"/>
          <w:szCs w:val="20"/>
          <w:color w:val="auto"/>
        </w:rPr>
        <w:tab/>
      </w:r>
      <w:r>
        <w:rPr>
          <w:rFonts w:ascii="Courier New" w:cs="Courier New" w:eastAsia="Courier New" w:hAnsi="Courier New"/>
          <w:sz w:val="16"/>
          <w:szCs w:val="16"/>
          <w:color w:val="auto"/>
        </w:rPr>
        <w:t>(IRS Employer</w:t>
      </w:r>
    </w:p>
    <w:p>
      <w:pPr>
        <w:ind w:left="420"/>
        <w:spacing w:after="0"/>
        <w:tabs>
          <w:tab w:leader="none" w:pos="4100" w:val="left"/>
          <w:tab w:leader="none" w:pos="6420" w:val="left"/>
        </w:tabs>
        <w:rPr>
          <w:sz w:val="20"/>
          <w:szCs w:val="20"/>
          <w:color w:val="auto"/>
        </w:rPr>
      </w:pPr>
      <w:r>
        <w:rPr>
          <w:rFonts w:ascii="Courier New" w:cs="Courier New" w:eastAsia="Courier New" w:hAnsi="Courier New"/>
          <w:sz w:val="18"/>
          <w:szCs w:val="18"/>
          <w:color w:val="auto"/>
        </w:rPr>
        <w:t>of incorporation)</w:t>
      </w:r>
      <w:r>
        <w:rPr>
          <w:sz w:val="20"/>
          <w:szCs w:val="20"/>
          <w:color w:val="auto"/>
        </w:rPr>
        <w:tab/>
      </w:r>
      <w:r>
        <w:rPr>
          <w:rFonts w:ascii="Courier New" w:cs="Courier New" w:eastAsia="Courier New" w:hAnsi="Courier New"/>
          <w:sz w:val="18"/>
          <w:szCs w:val="18"/>
          <w:color w:val="auto"/>
        </w:rPr>
        <w:t>File Number)</w:t>
      </w:r>
      <w:r>
        <w:rPr>
          <w:sz w:val="20"/>
          <w:szCs w:val="20"/>
          <w:color w:val="auto"/>
        </w:rPr>
        <w:tab/>
      </w:r>
      <w:r>
        <w:rPr>
          <w:rFonts w:ascii="Courier New" w:cs="Courier New" w:eastAsia="Courier New" w:hAnsi="Courier New"/>
          <w:sz w:val="16"/>
          <w:szCs w:val="16"/>
          <w:color w:val="auto"/>
        </w:rPr>
        <w:t>Identification No.)</w:t>
      </w:r>
    </w:p>
    <w:p>
      <w:pPr>
        <w:spacing w:after="0" w:line="372" w:lineRule="exact"/>
        <w:rPr>
          <w:sz w:val="24"/>
          <w:szCs w:val="24"/>
          <w:color w:val="auto"/>
        </w:rPr>
      </w:pPr>
    </w:p>
    <w:p>
      <w:pPr>
        <w:spacing w:after="0"/>
        <w:tabs>
          <w:tab w:leader="none" w:pos="6940" w:val="left"/>
        </w:tabs>
        <w:rPr>
          <w:sz w:val="20"/>
          <w:szCs w:val="20"/>
          <w:color w:val="auto"/>
        </w:rPr>
      </w:pPr>
      <w:r>
        <w:rPr>
          <w:rFonts w:ascii="Courier New" w:cs="Courier New" w:eastAsia="Courier New" w:hAnsi="Courier New"/>
          <w:sz w:val="18"/>
          <w:szCs w:val="18"/>
          <w:color w:val="auto"/>
        </w:rPr>
        <w:t>2000 Waters Edge Drive, Johnson City, Tennessee</w:t>
      </w:r>
      <w:r>
        <w:rPr>
          <w:sz w:val="20"/>
          <w:szCs w:val="20"/>
          <w:color w:val="auto"/>
        </w:rPr>
        <w:tab/>
      </w:r>
      <w:r>
        <w:rPr>
          <w:rFonts w:ascii="Courier New" w:cs="Courier New" w:eastAsia="Courier New" w:hAnsi="Courier New"/>
          <w:sz w:val="16"/>
          <w:szCs w:val="16"/>
          <w:color w:val="auto"/>
        </w:rPr>
        <w:t>37604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52"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ectPr>
          <w:pgSz w:w="11900" w:h="16838" w:orient="portrait"/>
          <w:cols w:equalWidth="0" w:num="1">
            <w:col w:w="10219"/>
          </w:cols>
          <w:pgMar w:left="240" w:top="420"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(423) 743-9151</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280" w:space="100"/>
            <w:col w:w="4839"/>
          </w:cols>
          <w:pgMar w:left="240" w:top="420" w:right="1440" w:bottom="0" w:gutter="0" w:footer="0" w:header="0"/>
          <w:type w:val="continuous"/>
        </w:sectPr>
      </w:pPr>
    </w:p>
    <w:p>
      <w:pPr>
        <w:spacing w:after="0" w:line="397"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Not applicable</w:t>
      </w:r>
    </w:p>
    <w:p>
      <w:pPr>
        <w:spacing w:after="0" w:line="31"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0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b w:val="1"/>
          <w:bCs w:val="1"/>
          <w:color w:val="auto"/>
        </w:rPr>
        <w:t>Item 4.</w:t>
      </w:r>
      <w:r>
        <w:rPr>
          <w:sz w:val="20"/>
          <w:szCs w:val="20"/>
          <w:color w:val="auto"/>
        </w:rPr>
        <w:tab/>
      </w:r>
      <w:r>
        <w:rPr>
          <w:rFonts w:ascii="Courier New" w:cs="Courier New" w:eastAsia="Courier New" w:hAnsi="Courier New"/>
          <w:sz w:val="16"/>
          <w:szCs w:val="16"/>
          <w:b w:val="1"/>
          <w:bCs w:val="1"/>
          <w:color w:val="auto"/>
        </w:rPr>
        <w:t>Changes in the Registrant's Certifying Accountant.</w:t>
      </w:r>
    </w:p>
    <w:p>
      <w:pPr>
        <w:spacing w:after="0" w:line="237" w:lineRule="exact"/>
        <w:rPr>
          <w:sz w:val="24"/>
          <w:szCs w:val="24"/>
          <w:color w:val="auto"/>
        </w:rPr>
      </w:pPr>
    </w:p>
    <w:p>
      <w:pPr>
        <w:ind w:right="1879" w:firstLine="948"/>
        <w:spacing w:after="0" w:line="292" w:lineRule="auto"/>
        <w:rPr>
          <w:sz w:val="20"/>
          <w:szCs w:val="20"/>
          <w:color w:val="auto"/>
        </w:rPr>
      </w:pPr>
      <w:r>
        <w:rPr>
          <w:rFonts w:ascii="Courier New" w:cs="Courier New" w:eastAsia="Courier New" w:hAnsi="Courier New"/>
          <w:sz w:val="18"/>
          <w:szCs w:val="18"/>
          <w:color w:val="auto"/>
        </w:rPr>
        <w:t>On August 18, 2003, NN, Inc. (the "Company") dismissed KPMG LLP ("KPMG") as the Company's independent auditors, following approval by the Audit Committee of the Company's Board of Directors.</w:t>
      </w:r>
    </w:p>
    <w:p>
      <w:pPr>
        <w:spacing w:after="0" w:line="66" w:lineRule="exact"/>
        <w:rPr>
          <w:sz w:val="24"/>
          <w:szCs w:val="24"/>
          <w:color w:val="auto"/>
        </w:rPr>
      </w:pPr>
    </w:p>
    <w:p>
      <w:pPr>
        <w:ind w:right="1779" w:firstLine="948"/>
        <w:spacing w:after="0" w:line="274" w:lineRule="auto"/>
        <w:rPr>
          <w:sz w:val="20"/>
          <w:szCs w:val="20"/>
          <w:color w:val="auto"/>
        </w:rPr>
      </w:pPr>
      <w:r>
        <w:rPr>
          <w:rFonts w:ascii="Courier New" w:cs="Courier New" w:eastAsia="Courier New" w:hAnsi="Courier New"/>
          <w:sz w:val="18"/>
          <w:szCs w:val="18"/>
          <w:color w:val="auto"/>
        </w:rPr>
        <w:t>KPMG's reports on the Company's consolidated financial statements for each of the years ended December 31, 2002 and 2001 did not contain an adverse opinion or disclaimer of opinion, nor were such reports qualified or modified as to uncertainty, audit scope or accounting principles.</w:t>
      </w:r>
    </w:p>
    <w:p>
      <w:pPr>
        <w:spacing w:after="0" w:line="82" w:lineRule="exact"/>
        <w:rPr>
          <w:sz w:val="24"/>
          <w:szCs w:val="24"/>
          <w:color w:val="auto"/>
        </w:rPr>
      </w:pPr>
    </w:p>
    <w:p>
      <w:pPr>
        <w:ind w:right="1779" w:firstLine="948"/>
        <w:spacing w:after="0" w:line="277" w:lineRule="auto"/>
        <w:rPr>
          <w:sz w:val="20"/>
          <w:szCs w:val="20"/>
          <w:color w:val="auto"/>
        </w:rPr>
      </w:pPr>
      <w:r>
        <w:rPr>
          <w:rFonts w:ascii="Courier New" w:cs="Courier New" w:eastAsia="Courier New" w:hAnsi="Courier New"/>
          <w:sz w:val="16"/>
          <w:szCs w:val="16"/>
          <w:color w:val="auto"/>
        </w:rPr>
        <w:t>During the years ended December 31, 2002 and 2001 and through August 18, 2003, there were no disagreements with KPMG on any matter of accounting principle or practice, financial statement disclosure, or auditing scope or procedure which disagreements, if not resolved to KPMG's satisfaction would have caused them to make reference to the subject matter of the disagreement in connection with their opinion. The Company believes that there were no reportable events as defined in Item 304(a)(1)(v) of Regulation S-K. However, during the second quarter of 2001, the Company determined that an interest rate swap entered into by its Italian subsidiary was not recorded or disclosed in its March 31, 2001 10-Q. The Company addressed this by filing an amended 10-Q that disclosed this transaction. The adjustment to the financial statements resulted in the recording of an expense of approximately $98,000, net of income tax and minority interest. In addition, the Company has strengthened the internal contract review process to ensure material arrangements entered into throughout the organization are communicated to the appropriate corporate financial manager. On February 27, 2002, the Company received a letter from KPMG dated July 25, 2001, stating that the matter constituted a material weakness and</w:t>
      </w:r>
    </w:p>
    <w:p>
      <w:pPr>
        <w:sectPr>
          <w:pgSz w:w="11900" w:h="16838" w:orient="portrait"/>
          <w:cols w:equalWidth="0" w:num="1">
            <w:col w:w="10219"/>
          </w:cols>
          <w:pgMar w:left="240" w:top="420" w:right="1440" w:bottom="0" w:gutter="0" w:footer="0" w:header="0"/>
          <w:type w:val="continuous"/>
        </w:sectPr>
      </w:pPr>
    </w:p>
    <w:bookmarkStart w:id="1" w:name="page2"/>
    <w:bookmarkEnd w:id="1"/>
    <w:p>
      <w:pPr>
        <w:ind w:right="1999"/>
        <w:spacing w:after="0" w:line="292" w:lineRule="auto"/>
        <w:rPr>
          <w:sz w:val="20"/>
          <w:szCs w:val="20"/>
          <w:color w:val="auto"/>
        </w:rPr>
      </w:pPr>
      <w:r>
        <w:rPr>
          <w:rFonts w:ascii="Courier New" w:cs="Courier New" w:eastAsia="Courier New" w:hAnsi="Courier New"/>
          <w:sz w:val="18"/>
          <w:szCs w:val="18"/>
          <w:color w:val="auto"/>
        </w:rPr>
        <w:t>recommending the Company implement procedures to insure all contracts entered into by the Company and its subsidiaries be considered by corporate management for financial implications.</w:t>
      </w:r>
    </w:p>
    <w:p>
      <w:pPr>
        <w:spacing w:after="0" w:line="6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The Company provided KPMG with a copy of the foregoing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760095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jc w:val="both"/>
        <w:ind w:right="2099" w:firstLine="948"/>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66" w:lineRule="exact"/>
        <w:rPr>
          <w:sz w:val="20"/>
          <w:szCs w:val="20"/>
          <w:color w:val="auto"/>
        </w:rPr>
      </w:pPr>
    </w:p>
    <w:p>
      <w:pPr>
        <w:ind w:left="960"/>
        <w:spacing w:after="0"/>
        <w:tabs>
          <w:tab w:leader="none" w:pos="168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August 25, 2003</w:t>
      </w:r>
    </w:p>
    <w:p>
      <w:pPr>
        <w:spacing w:after="0" w:line="3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NN, INC.</w:t>
      </w:r>
    </w:p>
    <w:p>
      <w:pPr>
        <w:spacing w:after="0" w:line="37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William C. Kelly, Jr.</w:t>
      </w:r>
    </w:p>
    <w:p>
      <w:pPr>
        <w:spacing w:after="0" w:line="31"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William C. Kelly, Jr.,</w:t>
      </w:r>
    </w:p>
    <w:p>
      <w:pPr>
        <w:ind w:left="4640"/>
        <w:spacing w:after="0" w:line="238" w:lineRule="auto"/>
        <w:rPr>
          <w:sz w:val="20"/>
          <w:szCs w:val="20"/>
          <w:color w:val="auto"/>
        </w:rPr>
      </w:pPr>
      <w:r>
        <w:rPr>
          <w:rFonts w:ascii="Courier New" w:cs="Courier New" w:eastAsia="Courier New" w:hAnsi="Courier New"/>
          <w:sz w:val="18"/>
          <w:szCs w:val="18"/>
          <w:color w:val="auto"/>
        </w:rPr>
        <w:t>Secretary, Treasurer and Chief</w:t>
      </w:r>
    </w:p>
    <w:p>
      <w:pPr>
        <w:ind w:left="4640"/>
        <w:spacing w:after="0"/>
        <w:rPr>
          <w:sz w:val="20"/>
          <w:szCs w:val="20"/>
          <w:color w:val="auto"/>
        </w:rPr>
      </w:pPr>
      <w:r>
        <w:rPr>
          <w:rFonts w:ascii="Courier New" w:cs="Courier New" w:eastAsia="Courier New" w:hAnsi="Courier New"/>
          <w:sz w:val="18"/>
          <w:szCs w:val="18"/>
          <w:color w:val="auto"/>
        </w:rPr>
        <w:t>Administrative Officer</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2019-12-14T03:08:40Z</dcterms:created>
  <dcterms:modified xsi:type="dcterms:W3CDTF">2019-12-14T03:08:40Z</dcterms:modified>
</cp:coreProperties>
</file>