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74"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6"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Common Stock, par value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980" w:hanging="324"/>
        <w:spacing w:after="0"/>
        <w:tabs>
          <w:tab w:leader="none" w:pos="98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rFonts w:ascii="MS PGothic" w:cs="MS PGothic" w:eastAsia="MS PGothic" w:hAnsi="MS PGothic"/>
          <w:sz w:val="18"/>
          <w:szCs w:val="18"/>
          <w:color w:val="auto"/>
        </w:rPr>
      </w:pPr>
    </w:p>
    <w:p>
      <w:pPr>
        <w:ind w:right="380"/>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29"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629337106</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80" w:type="dxa"/>
            <w:vAlign w:val="bottom"/>
          </w:tcPr>
          <w:p>
            <w:pPr>
              <w:jc w:val="right"/>
              <w:ind w:right="3298"/>
              <w:spacing w:after="0"/>
              <w:rPr>
                <w:sz w:val="20"/>
                <w:szCs w:val="20"/>
                <w:color w:val="auto"/>
              </w:rPr>
            </w:pPr>
            <w:r>
              <w:rPr>
                <w:rFonts w:ascii="Times New Roman" w:cs="Times New Roman" w:eastAsia="Times New Roman" w:hAnsi="Times New Roman"/>
                <w:sz w:val="18"/>
                <w:szCs w:val="18"/>
                <w:color w:val="auto"/>
              </w:rPr>
              <w:t>13G</w:t>
            </w:r>
          </w:p>
        </w:tc>
        <w:tc>
          <w:tcPr>
            <w:tcW w:w="208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6"/>
              </w:rPr>
              <w:t>Page 2 of 9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7760" w:type="dxa"/>
            <w:vAlign w:val="bottom"/>
            <w:tcBorders>
              <w:bottom w:val="single" w:sz="8" w:color="auto"/>
            </w:tcBorders>
            <w:gridSpan w:val="6"/>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7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20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Nomura Holdings, Inc.</w:t>
            </w:r>
          </w:p>
        </w:tc>
        <w:tc>
          <w:tcPr>
            <w:tcW w:w="568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760" w:type="dxa"/>
            <w:vAlign w:val="bottom"/>
            <w:tcBorders>
              <w:bottom w:val="single" w:sz="8" w:color="auto"/>
            </w:tcBorders>
            <w:gridSpan w:val="6"/>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7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80" w:type="dxa"/>
            <w:vAlign w:val="bottom"/>
          </w:tcPr>
          <w:p>
            <w:pPr>
              <w:spacing w:after="0"/>
              <w:rPr>
                <w:sz w:val="23"/>
                <w:szCs w:val="23"/>
                <w:color w:val="auto"/>
              </w:rPr>
            </w:pP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760" w:type="dxa"/>
            <w:vAlign w:val="bottom"/>
            <w:shd w:val="clear" w:color="auto" w:fill="BFBFBF"/>
          </w:tcPr>
          <w:p>
            <w:pPr>
              <w:spacing w:after="0"/>
              <w:rPr>
                <w:sz w:val="20"/>
                <w:szCs w:val="20"/>
                <w:color w:val="auto"/>
              </w:rPr>
            </w:pPr>
          </w:p>
        </w:tc>
        <w:tc>
          <w:tcPr>
            <w:tcW w:w="5680" w:type="dxa"/>
            <w:vAlign w:val="bottom"/>
            <w:shd w:val="clear" w:color="auto" w:fill="BFBFBF"/>
          </w:tcPr>
          <w:p>
            <w:pPr>
              <w:spacing w:after="0"/>
              <w:rPr>
                <w:sz w:val="20"/>
                <w:szCs w:val="20"/>
                <w:color w:val="auto"/>
              </w:rPr>
            </w:pPr>
          </w:p>
        </w:tc>
        <w:tc>
          <w:tcPr>
            <w:tcW w:w="20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760" w:type="dxa"/>
            <w:vAlign w:val="bottom"/>
            <w:shd w:val="clear" w:color="auto" w:fill="BFBFBF"/>
          </w:tcPr>
          <w:p>
            <w:pPr>
              <w:spacing w:after="0"/>
              <w:rPr>
                <w:sz w:val="24"/>
                <w:szCs w:val="24"/>
                <w:color w:val="auto"/>
              </w:rPr>
            </w:pPr>
          </w:p>
        </w:tc>
        <w:tc>
          <w:tcPr>
            <w:tcW w:w="5680" w:type="dxa"/>
            <w:vAlign w:val="bottom"/>
            <w:shd w:val="clear" w:color="auto" w:fill="BFBFBF"/>
          </w:tcPr>
          <w:p>
            <w:pPr>
              <w:spacing w:after="0"/>
              <w:rPr>
                <w:sz w:val="24"/>
                <w:szCs w:val="24"/>
                <w:color w:val="auto"/>
              </w:rPr>
            </w:pPr>
          </w:p>
        </w:tc>
        <w:tc>
          <w:tcPr>
            <w:tcW w:w="20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460" w:type="dxa"/>
            <w:vAlign w:val="bottom"/>
            <w:tcBorders>
              <w:bottom w:val="single" w:sz="8" w:color="auto"/>
            </w:tcBorders>
            <w:gridSpan w:val="3"/>
            <w:shd w:val="clear" w:color="auto" w:fill="BFBFBF"/>
          </w:tcPr>
          <w:p>
            <w:pPr>
              <w:spacing w:after="0"/>
              <w:rPr>
                <w:sz w:val="23"/>
                <w:szCs w:val="23"/>
                <w:color w:val="auto"/>
              </w:rPr>
            </w:pPr>
          </w:p>
        </w:tc>
        <w:tc>
          <w:tcPr>
            <w:tcW w:w="20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7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40" w:type="dxa"/>
            <w:vAlign w:val="bottom"/>
            <w:tcBorders>
              <w:bottom w:val="single" w:sz="8" w:color="auto"/>
            </w:tcBorders>
            <w:gridSpan w:val="2"/>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568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40" w:type="dxa"/>
            <w:vAlign w:val="bottom"/>
            <w:tcBorders>
              <w:bottom w:val="single" w:sz="8" w:color="auto"/>
            </w:tcBorders>
            <w:gridSpan w:val="2"/>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3,005,837</w:t>
            </w:r>
          </w:p>
        </w:tc>
        <w:tc>
          <w:tcPr>
            <w:tcW w:w="5680" w:type="dxa"/>
            <w:vAlign w:val="bottom"/>
          </w:tcPr>
          <w:p>
            <w:pPr>
              <w:jc w:val="right"/>
              <w:ind w:right="5418"/>
              <w:spacing w:after="0"/>
              <w:rPr>
                <w:sz w:val="20"/>
                <w:szCs w:val="20"/>
                <w:color w:val="auto"/>
              </w:rPr>
            </w:pPr>
            <w:r>
              <w:rPr>
                <w:rFonts w:ascii="Times New Roman" w:cs="Times New Roman" w:eastAsia="Times New Roman" w:hAnsi="Times New Roman"/>
                <w:sz w:val="15"/>
                <w:szCs w:val="15"/>
                <w:color w:val="auto"/>
                <w:w w:val="91"/>
              </w:rPr>
              <w:t>(1)</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18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5680" w:type="dxa"/>
            <w:vAlign w:val="bottom"/>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680" w:type="dxa"/>
            <w:vAlign w:val="bottom"/>
            <w:tcBorders>
              <w:bottom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6440" w:type="dxa"/>
            <w:vAlign w:val="bottom"/>
            <w:gridSpan w:val="2"/>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5680" w:type="dxa"/>
            <w:vAlign w:val="bottom"/>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80" w:type="dxa"/>
            <w:vAlign w:val="bottom"/>
          </w:tcPr>
          <w:p>
            <w:pPr>
              <w:spacing w:after="0"/>
              <w:rPr>
                <w:sz w:val="4"/>
                <w:szCs w:val="4"/>
                <w:color w:val="auto"/>
              </w:rPr>
            </w:pPr>
          </w:p>
        </w:tc>
        <w:tc>
          <w:tcPr>
            <w:tcW w:w="20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gridSpan w:val="2"/>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3,005,837 </w:t>
            </w:r>
            <w:r>
              <w:rPr>
                <w:rFonts w:ascii="Times New Roman" w:cs="Times New Roman" w:eastAsia="Times New Roman" w:hAnsi="Times New Roman"/>
                <w:sz w:val="29"/>
                <w:szCs w:val="29"/>
                <w:color w:val="auto"/>
                <w:vertAlign w:val="superscript"/>
              </w:rPr>
              <w:t>(1)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7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3,005,837</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79"/>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tcPr>
          <w:p>
            <w:pPr>
              <w:spacing w:after="0"/>
              <w:rPr>
                <w:sz w:val="20"/>
                <w:szCs w:val="20"/>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7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6460" w:type="dxa"/>
            <w:vAlign w:val="bottom"/>
            <w:tcBorders>
              <w:bottom w:val="single" w:sz="8" w:color="auto"/>
            </w:tcBorders>
            <w:gridSpan w:val="3"/>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7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6"/>
              </w:rPr>
              <w:t xml:space="preserve">6.0% </w:t>
            </w:r>
            <w:r>
              <w:rPr>
                <w:rFonts w:ascii="Times New Roman" w:cs="Times New Roman" w:eastAsia="Times New Roman" w:hAnsi="Times New Roman"/>
                <w:sz w:val="29"/>
                <w:szCs w:val="29"/>
                <w:color w:val="auto"/>
                <w:w w:val="86"/>
                <w:vertAlign w:val="superscript"/>
              </w:rPr>
              <w:t>(2)</w:t>
            </w: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7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HC</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680" w:type="dxa"/>
            <w:vAlign w:val="bottom"/>
            <w:tcBorders>
              <w:bottom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ind w:left="500" w:hanging="492"/>
        <w:spacing w:after="0" w:line="255"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3,005,837 shares of Common Stock beneficially owned by Nomura Global Financial Products, Inc. (“NGFP”). NGFP is a wholly owned subsidiary of Nomura Holdings, Inc., which accordingly may be deemed to beneficially own the shares of Common Stock beneficially owned by NGFP.</w:t>
      </w:r>
    </w:p>
    <w:p>
      <w:pPr>
        <w:spacing w:after="0" w:line="185" w:lineRule="exact"/>
        <w:rPr>
          <w:rFonts w:ascii="Times New Roman" w:cs="Times New Roman" w:eastAsia="Times New Roman" w:hAnsi="Times New Roman"/>
          <w:sz w:val="18"/>
          <w:szCs w:val="18"/>
          <w:color w:val="auto"/>
        </w:rPr>
      </w:pPr>
    </w:p>
    <w:p>
      <w:pPr>
        <w:ind w:left="500" w:right="40" w:hanging="492"/>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is calculated based on 50,048,063 shares of Common Stock outstanding as of July 26, 2024, as reported in the Issuer’s quarterly report on Form 10-Q for the fiscal quarter ended June 30, 2024 filed with the SEC on August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629337106</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4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13G</w:t>
            </w:r>
          </w:p>
        </w:tc>
        <w:tc>
          <w:tcPr>
            <w:tcW w:w="208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6"/>
              </w:rPr>
              <w:t>Page 3 of 9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7760" w:type="dxa"/>
            <w:vAlign w:val="bottom"/>
            <w:tcBorders>
              <w:bottom w:val="single" w:sz="8" w:color="auto"/>
            </w:tcBorders>
            <w:gridSpan w:val="5"/>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7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7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Nomura Global Financial Products, Inc.</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760" w:type="dxa"/>
            <w:vAlign w:val="bottom"/>
            <w:tcBorders>
              <w:bottom w:val="single" w:sz="8" w:color="auto"/>
            </w:tcBorders>
            <w:gridSpan w:val="5"/>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7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40" w:type="dxa"/>
            <w:vAlign w:val="bottom"/>
          </w:tcPr>
          <w:p>
            <w:pPr>
              <w:spacing w:after="0"/>
              <w:rPr>
                <w:sz w:val="23"/>
                <w:szCs w:val="23"/>
                <w:color w:val="auto"/>
              </w:rPr>
            </w:pP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6440" w:type="dxa"/>
            <w:vAlign w:val="bottom"/>
            <w:shd w:val="clear" w:color="auto" w:fill="BFBFBF"/>
          </w:tcPr>
          <w:p>
            <w:pPr>
              <w:spacing w:after="0"/>
              <w:rPr>
                <w:sz w:val="20"/>
                <w:szCs w:val="20"/>
                <w:color w:val="auto"/>
              </w:rPr>
            </w:pPr>
          </w:p>
        </w:tc>
        <w:tc>
          <w:tcPr>
            <w:tcW w:w="20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6440" w:type="dxa"/>
            <w:vAlign w:val="bottom"/>
            <w:shd w:val="clear" w:color="auto" w:fill="BFBFBF"/>
          </w:tcPr>
          <w:p>
            <w:pPr>
              <w:spacing w:after="0"/>
              <w:rPr>
                <w:sz w:val="24"/>
                <w:szCs w:val="24"/>
                <w:color w:val="auto"/>
              </w:rPr>
            </w:pPr>
          </w:p>
        </w:tc>
        <w:tc>
          <w:tcPr>
            <w:tcW w:w="20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460" w:type="dxa"/>
            <w:vAlign w:val="bottom"/>
            <w:tcBorders>
              <w:bottom w:val="single" w:sz="8" w:color="auto"/>
            </w:tcBorders>
            <w:gridSpan w:val="2"/>
            <w:shd w:val="clear" w:color="auto" w:fill="BFBFBF"/>
          </w:tcPr>
          <w:p>
            <w:pPr>
              <w:spacing w:after="0"/>
              <w:rPr>
                <w:sz w:val="23"/>
                <w:szCs w:val="23"/>
                <w:color w:val="auto"/>
              </w:rPr>
            </w:pPr>
          </w:p>
        </w:tc>
        <w:tc>
          <w:tcPr>
            <w:tcW w:w="20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7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40" w:type="dxa"/>
            <w:vAlign w:val="bottom"/>
            <w:tcBorders>
              <w:bottom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40" w:type="dxa"/>
            <w:vAlign w:val="bottom"/>
            <w:tcBorders>
              <w:bottom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3,005,837</w:t>
            </w:r>
          </w:p>
        </w:tc>
        <w:tc>
          <w:tcPr>
            <w:tcW w:w="2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44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40" w:type="dxa"/>
            <w:vAlign w:val="bottom"/>
            <w:tcBorders>
              <w:bottom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644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64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2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440" w:type="dxa"/>
            <w:vAlign w:val="bottom"/>
          </w:tcPr>
          <w:p>
            <w:pPr>
              <w:spacing w:after="0"/>
              <w:rPr>
                <w:sz w:val="4"/>
                <w:szCs w:val="4"/>
                <w:color w:val="auto"/>
              </w:rPr>
            </w:pPr>
          </w:p>
        </w:tc>
        <w:tc>
          <w:tcPr>
            <w:tcW w:w="20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3,005,837</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460" w:type="dxa"/>
            <w:vAlign w:val="bottom"/>
            <w:tcBorders>
              <w:bottom w:val="single" w:sz="8" w:color="auto"/>
            </w:tcBorders>
            <w:gridSpan w:val="2"/>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7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3,005,837</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79"/>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tcPr>
          <w:p>
            <w:pPr>
              <w:spacing w:after="0"/>
              <w:rPr>
                <w:sz w:val="20"/>
                <w:szCs w:val="20"/>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6440" w:type="dxa"/>
            <w:vAlign w:val="bottom"/>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6460" w:type="dxa"/>
            <w:vAlign w:val="bottom"/>
            <w:tcBorders>
              <w:bottom w:val="single" w:sz="8" w:color="auto"/>
            </w:tcBorders>
            <w:gridSpan w:val="2"/>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7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6"/>
              </w:rPr>
              <w:t xml:space="preserve">6.0% </w:t>
            </w:r>
            <w:r>
              <w:rPr>
                <w:rFonts w:ascii="Times New Roman" w:cs="Times New Roman" w:eastAsia="Times New Roman" w:hAnsi="Times New Roman"/>
                <w:sz w:val="29"/>
                <w:szCs w:val="29"/>
                <w:color w:val="auto"/>
                <w:w w:val="86"/>
                <w:vertAlign w:val="superscript"/>
              </w:rPr>
              <w:t>(3)</w:t>
            </w: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7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BD</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40" w:type="dxa"/>
            <w:vAlign w:val="bottom"/>
            <w:tcBorders>
              <w:bottom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40" w:hanging="492"/>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is calculated based on 50,048,063 shares of Common Stock outstanding as of July 26, 2024, as reported in the Issuer’s quarterly report on Form 10-Q for the fiscal quarter ended June 30, 2024 filed with the SEC on August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5460" w:val="left"/>
          <w:tab w:leader="none" w:pos="9960" w:val="left"/>
        </w:tabs>
        <w:rPr>
          <w:sz w:val="20"/>
          <w:szCs w:val="20"/>
          <w:color w:val="auto"/>
        </w:rPr>
      </w:pPr>
      <w:r>
        <w:rPr>
          <w:rFonts w:ascii="Times New Roman" w:cs="Times New Roman" w:eastAsia="Times New Roman" w:hAnsi="Times New Roman"/>
          <w:sz w:val="18"/>
          <w:szCs w:val="18"/>
          <w:color w:val="auto"/>
        </w:rPr>
        <w:t>CUSIP No. 629337106</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4 of 9 pages</w:t>
      </w:r>
    </w:p>
    <w:p>
      <w:pPr>
        <w:spacing w:after="0" w:line="18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auto"/>
        </w:rPr>
        <w:t>Name of Issuer:</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NN, Inc. (the “Issuer”)</w:t>
      </w:r>
    </w:p>
    <w:p>
      <w:pPr>
        <w:spacing w:after="0" w:line="225" w:lineRule="exact"/>
        <w:rPr>
          <w:sz w:val="20"/>
          <w:szCs w:val="20"/>
          <w:color w:val="auto"/>
        </w:rPr>
      </w:pPr>
    </w:p>
    <w:p>
      <w:pPr>
        <w:ind w:left="1140" w:hanging="457"/>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Issuer's Principal Executive Offices:</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6210 Ardrey Kell Road, Suite 120</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Charlotte, NC 28277</w:t>
      </w:r>
    </w:p>
    <w:p>
      <w:pPr>
        <w:spacing w:after="0" w:line="20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auto"/>
        </w:rPr>
        <w:t>Name of Person(s) Filing:</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Nomura Holdings, Inc.</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Nomura Global Financial Products, Inc.</w:t>
      </w:r>
    </w:p>
    <w:p>
      <w:pPr>
        <w:spacing w:after="0" w:line="207" w:lineRule="exact"/>
        <w:rPr>
          <w:sz w:val="20"/>
          <w:szCs w:val="20"/>
          <w:color w:val="auto"/>
        </w:rPr>
      </w:pPr>
    </w:p>
    <w:p>
      <w:pPr>
        <w:ind w:left="1140" w:hanging="412"/>
        <w:spacing w:after="0"/>
        <w:tabs>
          <w:tab w:leader="none" w:pos="11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Principal Business Office or, if none, Residence:</w:t>
      </w:r>
    </w:p>
    <w:p>
      <w:pPr>
        <w:spacing w:after="0" w:line="225"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Nomura Holdings, Inc.</w:t>
      </w:r>
    </w:p>
    <w:p>
      <w:pPr>
        <w:spacing w:after="0" w:line="27"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 Nihonbashi 1-chome, Chuo-ku, Tokyo 103-8645, Japan</w:t>
      </w:r>
    </w:p>
    <w:p>
      <w:pPr>
        <w:spacing w:after="0" w:line="206" w:lineRule="exact"/>
        <w:rPr>
          <w:rFonts w:ascii="Times New Roman" w:cs="Times New Roman" w:eastAsia="Times New Roman" w:hAnsi="Times New Roman"/>
          <w:sz w:val="18"/>
          <w:szCs w:val="18"/>
          <w:color w:val="auto"/>
        </w:rPr>
      </w:pPr>
    </w:p>
    <w:p>
      <w:pPr>
        <w:ind w:left="1140" w:right="72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Nomura Global Financial Products, Inc. Worldwide Plaza</w:t>
      </w:r>
    </w:p>
    <w:p>
      <w:pPr>
        <w:ind w:left="1140" w:right="8520"/>
        <w:spacing w:after="0" w:line="2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309 West 49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Street New York, NY 10019</w:t>
      </w:r>
    </w:p>
    <w:p>
      <w:pPr>
        <w:spacing w:after="0" w:line="198" w:lineRule="exact"/>
        <w:rPr>
          <w:rFonts w:ascii="Times New Roman" w:cs="Times New Roman" w:eastAsia="Times New Roman" w:hAnsi="Times New Roman"/>
          <w:sz w:val="18"/>
          <w:szCs w:val="18"/>
          <w:color w:val="auto"/>
        </w:rPr>
      </w:pPr>
    </w:p>
    <w:p>
      <w:pPr>
        <w:ind w:left="1140" w:hanging="457"/>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Citizenship:</w:t>
      </w:r>
    </w:p>
    <w:p>
      <w:pPr>
        <w:spacing w:after="0" w:line="225" w:lineRule="exact"/>
        <w:rPr>
          <w:rFonts w:ascii="Times New Roman" w:cs="Times New Roman" w:eastAsia="Times New Roman" w:hAnsi="Times New Roman"/>
          <w:sz w:val="18"/>
          <w:szCs w:val="18"/>
          <w:color w:val="auto"/>
        </w:rPr>
      </w:pPr>
    </w:p>
    <w:p>
      <w:pPr>
        <w:ind w:left="1140" w:right="8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Nomura Holdings, Inc. Japan</w:t>
      </w:r>
    </w:p>
    <w:p>
      <w:pPr>
        <w:spacing w:after="0" w:line="161" w:lineRule="exact"/>
        <w:rPr>
          <w:rFonts w:ascii="Times New Roman" w:cs="Times New Roman" w:eastAsia="Times New Roman" w:hAnsi="Times New Roman"/>
          <w:sz w:val="18"/>
          <w:szCs w:val="18"/>
          <w:color w:val="auto"/>
        </w:rPr>
      </w:pPr>
    </w:p>
    <w:p>
      <w:pPr>
        <w:ind w:left="1140" w:right="72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Nomura Global Financial Products, Inc. Delaware</w:t>
      </w:r>
    </w:p>
    <w:p>
      <w:pPr>
        <w:spacing w:after="0" w:line="161" w:lineRule="exact"/>
        <w:rPr>
          <w:rFonts w:ascii="Times New Roman" w:cs="Times New Roman" w:eastAsia="Times New Roman" w:hAnsi="Times New Roman"/>
          <w:sz w:val="18"/>
          <w:szCs w:val="18"/>
          <w:color w:val="auto"/>
        </w:rPr>
      </w:pPr>
    </w:p>
    <w:p>
      <w:pPr>
        <w:ind w:left="1140" w:hanging="412"/>
        <w:spacing w:after="0"/>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of Class of Securities:</w:t>
      </w:r>
    </w:p>
    <w:p>
      <w:pPr>
        <w:spacing w:after="0" w:line="225"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par value $0.01 (“Common Stock”)</w:t>
      </w:r>
    </w:p>
    <w:p>
      <w:pPr>
        <w:spacing w:after="0" w:line="225" w:lineRule="exact"/>
        <w:rPr>
          <w:sz w:val="20"/>
          <w:szCs w:val="20"/>
          <w:color w:val="auto"/>
        </w:rPr>
      </w:pPr>
    </w:p>
    <w:p>
      <w:pPr>
        <w:ind w:left="1140" w:hanging="457"/>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629337106</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u w:val="single" w:color="auto"/>
          <w:color w:val="auto"/>
        </w:rPr>
        <w:t>If this statement is filed pursuant to §§240.13d-1(b) or 240.13d-2(b) or (c), check whether the person filing is a</w:t>
      </w:r>
      <w:r>
        <w:rPr>
          <w:rFonts w:ascii="Times New Roman" w:cs="Times New Roman" w:eastAsia="Times New Roman" w:hAnsi="Times New Roman"/>
          <w:sz w:val="17"/>
          <w:szCs w:val="17"/>
          <w:color w:val="auto"/>
        </w:rPr>
        <w:t>:</w:t>
      </w:r>
    </w:p>
    <w:p>
      <w:pPr>
        <w:spacing w:after="0" w:line="188" w:lineRule="exact"/>
        <w:rPr>
          <w:sz w:val="20"/>
          <w:szCs w:val="20"/>
          <w:color w:val="auto"/>
        </w:rPr>
      </w:pPr>
    </w:p>
    <w:p>
      <w:pPr>
        <w:ind w:left="1140" w:hanging="457"/>
        <w:spacing w:after="0" w:line="207" w:lineRule="exact"/>
        <w:tabs>
          <w:tab w:leader="none" w:pos="114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69" w:lineRule="exact"/>
        <w:rPr>
          <w:rFonts w:ascii="Times New Roman" w:cs="Times New Roman" w:eastAsia="Times New Roman" w:hAnsi="Times New Roman"/>
          <w:sz w:val="18"/>
          <w:szCs w:val="18"/>
          <w:color w:val="auto"/>
        </w:rPr>
      </w:pPr>
    </w:p>
    <w:p>
      <w:pPr>
        <w:ind w:left="1140" w:hanging="457"/>
        <w:spacing w:after="0" w:line="207" w:lineRule="exact"/>
        <w:tabs>
          <w:tab w:leader="none" w:pos="114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9" w:lineRule="exact"/>
        <w:rPr>
          <w:rFonts w:ascii="Times New Roman" w:cs="Times New Roman" w:eastAsia="Times New Roman" w:hAnsi="Times New Roman"/>
          <w:sz w:val="18"/>
          <w:szCs w:val="18"/>
          <w:color w:val="auto"/>
        </w:rPr>
      </w:pPr>
    </w:p>
    <w:p>
      <w:pPr>
        <w:ind w:left="1140" w:hanging="457"/>
        <w:spacing w:after="0" w:line="207" w:lineRule="exact"/>
        <w:tabs>
          <w:tab w:leader="none" w:pos="114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9" w:lineRule="exact"/>
        <w:rPr>
          <w:rFonts w:ascii="Times New Roman" w:cs="Times New Roman" w:eastAsia="Times New Roman" w:hAnsi="Times New Roman"/>
          <w:sz w:val="18"/>
          <w:szCs w:val="18"/>
          <w:color w:val="auto"/>
        </w:rPr>
      </w:pPr>
    </w:p>
    <w:p>
      <w:pPr>
        <w:ind w:left="1140" w:hanging="457"/>
        <w:spacing w:after="0" w:line="207" w:lineRule="exact"/>
        <w:tabs>
          <w:tab w:leader="none" w:pos="114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1140" w:hanging="457"/>
        <w:spacing w:after="0" w:line="207" w:lineRule="exact"/>
        <w:tabs>
          <w:tab w:leader="none" w:pos="114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9" w:lineRule="exact"/>
        <w:rPr>
          <w:rFonts w:ascii="Times New Roman" w:cs="Times New Roman" w:eastAsia="Times New Roman" w:hAnsi="Times New Roman"/>
          <w:sz w:val="18"/>
          <w:szCs w:val="18"/>
          <w:color w:val="auto"/>
        </w:rPr>
      </w:pPr>
    </w:p>
    <w:p>
      <w:pPr>
        <w:ind w:left="1140" w:hanging="457"/>
        <w:spacing w:after="0" w:line="207" w:lineRule="exact"/>
        <w:tabs>
          <w:tab w:leader="none" w:pos="114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9" w:lineRule="exact"/>
        <w:rPr>
          <w:rFonts w:ascii="Times New Roman" w:cs="Times New Roman" w:eastAsia="Times New Roman" w:hAnsi="Times New Roman"/>
          <w:sz w:val="18"/>
          <w:szCs w:val="18"/>
          <w:color w:val="auto"/>
        </w:rPr>
      </w:pPr>
    </w:p>
    <w:p>
      <w:pPr>
        <w:ind w:left="1140" w:hanging="457"/>
        <w:spacing w:after="0" w:line="207" w:lineRule="exact"/>
        <w:tabs>
          <w:tab w:leader="none" w:pos="114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240.13d-1(b)(1)(ii)(G);</w:t>
      </w:r>
    </w:p>
    <w:p>
      <w:pPr>
        <w:spacing w:after="0" w:line="9" w:lineRule="exact"/>
        <w:rPr>
          <w:rFonts w:ascii="Times New Roman" w:cs="Times New Roman" w:eastAsia="Times New Roman" w:hAnsi="Times New Roman"/>
          <w:sz w:val="18"/>
          <w:szCs w:val="18"/>
          <w:color w:val="auto"/>
        </w:rPr>
      </w:pPr>
    </w:p>
    <w:p>
      <w:pPr>
        <w:ind w:left="1140" w:hanging="457"/>
        <w:spacing w:after="0" w:line="207" w:lineRule="exact"/>
        <w:tabs>
          <w:tab w:leader="none" w:pos="114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1580" w:right="100" w:hanging="897"/>
        <w:spacing w:after="0" w:line="215" w:lineRule="exact"/>
        <w:tabs>
          <w:tab w:leader="none" w:pos="1135"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ind w:left="1140" w:hanging="457"/>
        <w:spacing w:after="0" w:line="207" w:lineRule="exact"/>
        <w:tabs>
          <w:tab w:leader="none" w:pos="114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10" w:lineRule="exact"/>
        <w:rPr>
          <w:rFonts w:ascii="Times New Roman" w:cs="Times New Roman" w:eastAsia="Times New Roman" w:hAnsi="Times New Roman"/>
          <w:sz w:val="18"/>
          <w:szCs w:val="18"/>
          <w:color w:val="auto"/>
        </w:rPr>
      </w:pPr>
    </w:p>
    <w:p>
      <w:pPr>
        <w:ind w:left="1580" w:right="260" w:hanging="897"/>
        <w:spacing w:after="0" w:line="215" w:lineRule="exact"/>
        <w:tabs>
          <w:tab w:leader="none" w:pos="1135"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 If filing as a non-U.S. institution in accordance with § 240.13d-1(b)(1)(ii)(J), please specify the type of institution: 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tabs>
          <w:tab w:leader="none" w:pos="5460" w:val="left"/>
          <w:tab w:leader="none" w:pos="9960" w:val="left"/>
        </w:tabs>
        <w:rPr>
          <w:sz w:val="20"/>
          <w:szCs w:val="20"/>
          <w:color w:val="auto"/>
        </w:rPr>
      </w:pPr>
      <w:r>
        <w:rPr>
          <w:rFonts w:ascii="Times New Roman" w:cs="Times New Roman" w:eastAsia="Times New Roman" w:hAnsi="Times New Roman"/>
          <w:sz w:val="18"/>
          <w:szCs w:val="18"/>
          <w:color w:val="auto"/>
        </w:rPr>
        <w:t>CUSIP No. 629337106</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5 of 9 pages</w:t>
      </w:r>
    </w:p>
    <w:p>
      <w:pPr>
        <w:spacing w:after="0" w:line="39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Items 5-11 of the cover pages are incorporated by reference.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u w:val="single" w:color="auto"/>
          <w:color w:val="auto"/>
        </w:rPr>
        <w:t>Ownership of Five Percent or Less of a Class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820" w:right="16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owners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u w:val="single" w:color="auto"/>
          <w:color w:val="auto"/>
        </w:rPr>
        <w:t>Ownership of More than Five Percent on Behalf of Another Person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820" w:right="100" w:hanging="809"/>
        <w:spacing w:after="0" w:line="282"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the Subsidiary Which Acquired the Security Being Reported on By the Parent Holding Company or Control Person</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Exhibit B</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Members of the Group</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u w:val="single" w:color="auto"/>
          <w:color w:val="auto"/>
        </w:rPr>
        <w:t>Notice of Dissolution of Group</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u w:val="single" w:color="auto"/>
          <w:color w:val="auto"/>
        </w:rPr>
        <w:t>Certification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820" w:right="2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tabs>
          <w:tab w:leader="none" w:pos="5460" w:val="left"/>
          <w:tab w:leader="none" w:pos="9960" w:val="left"/>
        </w:tabs>
        <w:rPr>
          <w:sz w:val="20"/>
          <w:szCs w:val="20"/>
          <w:color w:val="auto"/>
        </w:rPr>
      </w:pPr>
      <w:r>
        <w:rPr>
          <w:rFonts w:ascii="Times New Roman" w:cs="Times New Roman" w:eastAsia="Times New Roman" w:hAnsi="Times New Roman"/>
          <w:sz w:val="18"/>
          <w:szCs w:val="18"/>
          <w:color w:val="auto"/>
        </w:rPr>
        <w:t>CUSIP No. 629337106</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6 of 9 pages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the knowledge and belief of the undersigned, the undersigned certify that the information set forth in this statement is true, complete and correct.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EXECUTED as a sealed instrument this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November, 2024.</w:t>
      </w:r>
    </w:p>
    <w:p>
      <w:pPr>
        <w:spacing w:after="0" w:line="1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Nomura Holdings,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Samir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Samir Patel</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Nomura Global Financial Products,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Samir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Samir Patel</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tabs>
          <w:tab w:leader="none" w:pos="5460" w:val="left"/>
          <w:tab w:leader="none" w:pos="9960" w:val="left"/>
        </w:tabs>
        <w:rPr>
          <w:sz w:val="20"/>
          <w:szCs w:val="20"/>
          <w:color w:val="auto"/>
        </w:rPr>
      </w:pPr>
      <w:r>
        <w:rPr>
          <w:rFonts w:ascii="Times New Roman" w:cs="Times New Roman" w:eastAsia="Times New Roman" w:hAnsi="Times New Roman"/>
          <w:sz w:val="18"/>
          <w:szCs w:val="18"/>
          <w:color w:val="auto"/>
        </w:rPr>
        <w:t>CUSIP No. 629337106</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7 of 9 pages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 to Exhibits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1360" w:hanging="1352"/>
        <w:spacing w:after="0"/>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7"/>
          <w:szCs w:val="17"/>
          <w:color w:val="auto"/>
        </w:rPr>
        <w:t>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tabs>
          <w:tab w:leader="none" w:pos="5460" w:val="left"/>
          <w:tab w:leader="none" w:pos="9960" w:val="left"/>
        </w:tabs>
        <w:rPr>
          <w:sz w:val="20"/>
          <w:szCs w:val="20"/>
          <w:color w:val="auto"/>
        </w:rPr>
      </w:pPr>
      <w:r>
        <w:rPr>
          <w:rFonts w:ascii="Times New Roman" w:cs="Times New Roman" w:eastAsia="Times New Roman" w:hAnsi="Times New Roman"/>
          <w:sz w:val="18"/>
          <w:szCs w:val="18"/>
          <w:color w:val="auto"/>
        </w:rPr>
        <w:t>CUSIP No. 629337106</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8 of 9 pages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Joint Filing Agreement as of November 14,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Nomura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Samir Patel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Samir Patel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Nomura Global Financial Products,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Samir Patel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Samir Patel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tabs>
          <w:tab w:leader="none" w:pos="5460" w:val="left"/>
          <w:tab w:leader="none" w:pos="9960" w:val="left"/>
        </w:tabs>
        <w:rPr>
          <w:sz w:val="20"/>
          <w:szCs w:val="20"/>
          <w:color w:val="auto"/>
        </w:rPr>
      </w:pPr>
      <w:r>
        <w:rPr>
          <w:rFonts w:ascii="Times New Roman" w:cs="Times New Roman" w:eastAsia="Times New Roman" w:hAnsi="Times New Roman"/>
          <w:sz w:val="18"/>
          <w:szCs w:val="18"/>
          <w:color w:val="auto"/>
        </w:rPr>
        <w:t>CUSIP No. 629337106</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9 of 9 pages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Nomura Global Financial Products, Inc. is a wholly owned subsidiary of Nomura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3"/>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Letter"/>
      <w:start w:val="1"/>
    </w:lvl>
    <w:lvl w:ilvl="1">
      <w:lvlJc w:val="left"/>
      <w:lvlText w:val="(%2)"/>
      <w:numFmt w:val="lowerLetter"/>
      <w:start w:val="2"/>
    </w:lvl>
  </w:abstractNum>
  <w:abstractNum w:abstractNumId="6">
    <w:nsid w:val="515F007C"/>
    <w:multiLevelType w:val="hybridMultilevel"/>
    <w:lvl w:ilvl="0">
      <w:lvlJc w:val="left"/>
      <w:lvlText w:val="(%1)"/>
      <w:numFmt w:val="lowerLetter"/>
      <w:start w:val="3"/>
    </w:lvl>
    <w:lvl w:ilvl="1">
      <w:lvlJc w:val="left"/>
      <w:lvlText w:val="(%2)"/>
      <w:numFmt w:val="lowerLetter"/>
      <w:start w:val="4"/>
    </w:lvl>
  </w:abstractNum>
  <w:abstractNum w:abstractNumId="7">
    <w:nsid w:val="5BD062C2"/>
    <w:multiLevelType w:val="hybridMultilevel"/>
    <w:lvl w:ilvl="0">
      <w:lvlJc w:val="left"/>
      <w:lvlText w:val="(%1)"/>
      <w:numFmt w:val="lowerLetter"/>
      <w:start w:val="5"/>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2024-11-14T15:59:29Z</dcterms:created>
  <dcterms:modified xsi:type="dcterms:W3CDTF">2024-11-14T15:59:29Z</dcterms:modified>
</cp:coreProperties>
</file>