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422910</wp:posOffset>
            </wp:positionV>
            <wp:extent cx="69469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69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233680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Dodd–Frank Wall Street Reform and Consumer Protection Act (the “Dodd-Frank Act”) was signed into law on July 21, 2010. Section 1502 of the Dodd-Frank Act amends the Securities Exchange Act of 1934 to require additional disclosures relating to the use of conflict minerals originating in the Democratic Republic of Congo or any adjoining country (each a “Covered Country”). “Conflict minerals” include columbite-tantalite, also known as coltan (the metal ore from which tantalum is extracted), cassiterite (the metal ore from which tin is extracted), gold, wolframite (the metal ore from which tungsten is extracted), or any derivatives thereto.</w:t>
      </w:r>
    </w:p>
    <w:p>
      <w:pPr>
        <w:spacing w:after="0" w:line="188"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Pursuant to Section 1502 of the Dodd-Frank Act, the U.S. Securities and Exchange Commission (“SEC”) issued final rules on August 22, 2012 regarding disclosure of the use of conflict minerals. The SEC’s final rules require issuers with conflict minerals that are necessary to the functionality or production of a product manufactured by the issuer, or contracted to be manufactured, to disclose annually whether any of the conflict minerals they used originated in any Covered Country. This Form SD is being filed for the reporting period from January 1, 2014 to December 31, 2014.</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response to the SEC’s final rules, NN, Inc. (the “Company”) has implemented processes and procedures designed to enable to Company to effectively evaluate materials used in the products it manufactures and contracts to manufacture, and incorporated such processes and procedures into the Company’s overall compliance program. As a part of these processes and procedures, the Company first conducted a reasonable, good faith review of the products it manufactures or contracts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Covered Countries, or came from recycled or scrap sources.</w:t>
      </w:r>
    </w:p>
    <w:p>
      <w:pPr>
        <w:spacing w:after="0" w:line="16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Based on this review, the Company determined that conflict minerals are not necessary to the functionality or production of the products manufactured by it or contracted to be manufactured on its behalf. To the extent that that conflict minerals do appear in products that the Company manufactures or contracts to manufacture, the Company has also determined, based on written or oral representations received from its suppliers, that any conflict minerals that might appear in such products did not originate in any Covered Country, or that such conflict minerals originated from recycled or scrap materials.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evaluation of the materials used in the products it manufactures and contracts to manufacture did not include an evaluation of the materials used in the products manufactured or contracted to manufacture by entities acquired by the Company during the reporting period, including Autocam Corporation, which was acquired by the Company in August 29, 2014. A copy of this Form SD has been posted to the Investor Relations section of the Company’s website at http://www.nninc.com.</w:t>
      </w:r>
    </w:p>
    <w:p>
      <w:pPr>
        <w:sectPr>
          <w:pgSz w:w="11900" w:h="16838" w:orient="portrait"/>
          <w:cols w:equalWidth="0" w:num="1">
            <w:col w:w="11340"/>
          </w:cols>
          <w:pgMar w:left="240" w:top="27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June 1, 2015</w:t>
      </w:r>
      <w:r>
        <w:rPr>
          <w:sz w:val="20"/>
          <w:szCs w:val="20"/>
          <w:color w:val="auto"/>
        </w:rPr>
        <w:tab/>
      </w:r>
      <w:r>
        <w:rPr>
          <w:rFonts w:ascii="Arial" w:cs="Arial" w:eastAsia="Arial" w:hAnsi="Arial"/>
          <w:sz w:val="17"/>
          <w:szCs w:val="17"/>
          <w:b w:val="1"/>
          <w:bCs w:val="1"/>
          <w:color w:val="auto"/>
        </w:rPr>
        <w:t>NN, INC.</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Burwell,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Thomas C. Burwell, Jr.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w w:val="96"/>
              </w:rPr>
              <w:t>Vice President-Chief Accounting Officer and Corporate Controller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2019-12-06T10:10:32Z</dcterms:created>
  <dcterms:modified xsi:type="dcterms:W3CDTF">2019-12-06T10:10:32Z</dcterms:modified>
</cp:coreProperties>
</file>