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August 27, 2019 (August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422910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40" w:type="dxa"/>
            <w:vAlign w:val="bottom"/>
          </w:tcPr>
          <w:p>
            <w:pPr>
              <w:jc w:val="center"/>
              <w:ind w:right="223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000-23486</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6210 Ardrey Kell Road</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40" w:type="dxa"/>
            <w:vAlign w:val="bottom"/>
          </w:tcPr>
          <w:p>
            <w:pPr>
              <w:jc w:val="center"/>
              <w:ind w:left="1239"/>
              <w:spacing w:after="0"/>
              <w:rPr>
                <w:sz w:val="20"/>
                <w:szCs w:val="20"/>
                <w:color w:val="auto"/>
              </w:rPr>
            </w:pPr>
            <w:r>
              <w:rPr>
                <w:rFonts w:ascii="Arial" w:cs="Arial" w:eastAsia="Arial" w:hAnsi="Arial"/>
                <w:sz w:val="18"/>
                <w:szCs w:val="18"/>
                <w:b w:val="1"/>
                <w:bCs w:val="1"/>
                <w:color w:val="auto"/>
                <w:w w:val="93"/>
              </w:rPr>
              <w:t>Charlotte, North Carolina</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28277</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229235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180" w:type="dxa"/>
            <w:vAlign w:val="bottom"/>
            <w:vMerge w:val="restart"/>
          </w:tcPr>
          <w:p>
            <w:pPr>
              <w:jc w:val="center"/>
              <w:ind w:left="459"/>
              <w:spacing w:after="0"/>
              <w:rPr>
                <w:sz w:val="20"/>
                <w:szCs w:val="20"/>
                <w:color w:val="auto"/>
              </w:rPr>
            </w:pPr>
            <w:r>
              <w:rPr>
                <w:rFonts w:ascii="Arial" w:cs="Arial" w:eastAsia="Arial" w:hAnsi="Arial"/>
                <w:sz w:val="14"/>
                <w:szCs w:val="14"/>
                <w:b w:val="1"/>
                <w:bCs w:val="1"/>
                <w:color w:val="auto"/>
                <w:w w:val="89"/>
              </w:rPr>
              <w:t>Title of each class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7"/>
              </w:rPr>
              <w:t>Trading</w:t>
            </w:r>
          </w:p>
        </w:tc>
        <w:tc>
          <w:tcPr>
            <w:tcW w:w="3160" w:type="dxa"/>
            <w:vAlign w:val="bottom"/>
          </w:tcPr>
          <w:p>
            <w:pPr>
              <w:jc w:val="center"/>
              <w:ind w:right="322"/>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1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symbol</w:t>
            </w:r>
          </w:p>
        </w:tc>
        <w:tc>
          <w:tcPr>
            <w:tcW w:w="3160" w:type="dxa"/>
            <w:vAlign w:val="bottom"/>
          </w:tcPr>
          <w:p>
            <w:pPr>
              <w:jc w:val="center"/>
              <w:ind w:right="322"/>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180" w:type="dxa"/>
            <w:vAlign w:val="bottom"/>
            <w:tcBorders>
              <w:top w:val="single" w:sz="8" w:color="auto"/>
            </w:tcBorders>
          </w:tcPr>
          <w:p>
            <w:pPr>
              <w:jc w:val="center"/>
              <w:ind w:left="439"/>
              <w:spacing w:after="0"/>
              <w:rPr>
                <w:sz w:val="20"/>
                <w:szCs w:val="20"/>
                <w:color w:val="auto"/>
              </w:rPr>
            </w:pPr>
            <w:r>
              <w:rPr>
                <w:rFonts w:ascii="Arial" w:cs="Arial" w:eastAsia="Arial" w:hAnsi="Arial"/>
                <w:sz w:val="18"/>
                <w:szCs w:val="18"/>
                <w:b w:val="1"/>
                <w:bCs w:val="1"/>
                <w:color w:val="auto"/>
                <w:w w:val="90"/>
              </w:rPr>
              <w:t>Common Stock, par value $0.01</w:t>
            </w: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NNBR</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tcPr>
          <w:p>
            <w:pPr>
              <w:jc w:val="center"/>
              <w:ind w:right="322"/>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414"/>
        </w:trPr>
        <w:tc>
          <w:tcPr>
            <w:tcW w:w="3180" w:type="dxa"/>
            <w:vAlign w:val="bottom"/>
          </w:tcPr>
          <w:p>
            <w:pPr>
              <w:spacing w:after="0"/>
              <w:rPr>
                <w:sz w:val="24"/>
                <w:szCs w:val="24"/>
                <w:color w:val="auto"/>
              </w:rPr>
            </w:pPr>
          </w:p>
        </w:tc>
        <w:tc>
          <w:tcPr>
            <w:tcW w:w="46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88"/>
              </w:rPr>
              <w:t>None</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1"/>
              </w:rPr>
              <w:t>(Title of class)</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222250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0" w:gutter="0" w:footer="0" w:header="0"/>
        </w:sectPr>
      </w:pPr>
    </w:p>
    <w:bookmarkStart w:id="1" w:name="page2"/>
    <w:bookmarkEnd w:id="1"/>
    <w:p>
      <w:pPr>
        <w:ind w:left="1100" w:right="22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On August 23, 2019, the Board of Directors of NN, Inc. (the “Company”) appointed Thomas D. DeByle as the Company’s Senior Vice President and Chief Financial Officer, effective as of his employment start date, which is anticipated to be on or before September 23, 2019 (the “Start Date”).</w:t>
      </w:r>
    </w:p>
    <w:p>
      <w:pPr>
        <w:spacing w:after="0" w:line="124" w:lineRule="exact"/>
        <w:rPr>
          <w:sz w:val="20"/>
          <w:szCs w:val="20"/>
          <w:color w:val="auto"/>
        </w:rPr>
      </w:pPr>
    </w:p>
    <w:p>
      <w:pPr>
        <w:ind w:right="80" w:firstLine="441"/>
        <w:spacing w:after="0" w:line="269" w:lineRule="auto"/>
        <w:rPr>
          <w:sz w:val="20"/>
          <w:szCs w:val="20"/>
          <w:color w:val="auto"/>
        </w:rPr>
      </w:pPr>
      <w:r>
        <w:rPr>
          <w:rFonts w:ascii="Arial" w:cs="Arial" w:eastAsia="Arial" w:hAnsi="Arial"/>
          <w:sz w:val="17"/>
          <w:szCs w:val="17"/>
          <w:color w:val="auto"/>
        </w:rPr>
        <w:t>In connection with Mr. DeByle’s appointment, the Company and Mr. DeByle entered into a letter of understanding and relocation agreement, effective as of August 23, 2019 (the “Letter of Understanding”), setting forth the terms of his employment, compensation and relocation benefits. Pursuant to the Letter of Understanding, Mr. DeByle’s annual base salary will be $515,000, and he will be eligible to receive a one-time conditional equity grant as an inducement to his employment with the Company. In addition, Mr. DeByle will be eligible to receive (i) an annual incentive award based on a target amount of 70% of his annual base salary under the Company’s Executive Incentive Compensation Program, and (ii) long-term incentive awards based on a target amount of 170% of his annual base salary under the Company’s Long-Term Incentive Program. Mr. DeByle’s long-term incentive compensation will be divided equally among performance stock units that vest based on the Company’s total shareholder return, performance stock units that vest based on the Company’s return on invested capital and restricted stock awards, all of which will vest over a three-year period from the time of grant. Further, pursuant to the Letter of Understanding, Mr. DeByle will receive certain relocation benefits, including reimbursement for temporary living expenses, real estate closing costs, certain moving expenses and one home-finding trip, subject to Mr. DeByle’s continued employment and other limitations set forth in the Letter of Understanding.</w:t>
      </w:r>
    </w:p>
    <w:p>
      <w:pPr>
        <w:spacing w:after="0" w:line="183"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Prior to joining the Company, Mr. DeByle, 59, served as Vice President, Chief Financial Officer and Treasurer of Standex International Corporation, a global, multi-industry manufacturer, from March 2008 to August 2019, where he was responsible for external reporting, financial planning and analysis, treasury, tax, internal audit, information technology, risk management and investor relations. Prior to joining Standex, Mr. DeByle spent more than six years at Ingersoll Rand, a leading diversified industrial firm, where he held a series of financial management positions of increasing responsibility culminating in his appointment as Chief Financial Officer for the Compact Vehicle Technology Sector, which had annual sales of</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$2.9 billion and included the Club Car and Bobcat product brands. Mr. DeByle’s tenure at Ingersoll Rand also included serving as vice president of finance for the company’s Climate Control Sector, which included the Thermo King and Hussmann business units in Europe. Prior to his employment at Ingersoll Rand, Mr. DeByle spent five years working for the Enerpac division of Actuant Corporation in senior financial management positions in both the United States and Europe. Earlier in his career, DeByle worked for five years at Milwaukee-based Johnson Controls and six years at two regional public accounting firms. Mr. DeByle holds a Master of Business Administration Degree from Marquette University in Milwaukee, Wisconsin and a Bachelor of Science Degree from St. Norbert College in DePere, Wisconsin.</w:t>
      </w:r>
    </w:p>
    <w:p>
      <w:pPr>
        <w:spacing w:after="0" w:line="179"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The Company will enter into its standard form of separation agreement with Mr. DeByle (the “Separation Agreement”) as of the Start Date. Under the Separation Agreement, if terminated without cause, Mr. DeByle would continue to receive his annual salary, paid on a monthly basis, for eighteen months from the date of termination, plus a lump sum payment of $12,000 as a transition assistance payment. The Separation Agreement also includes a non-competition term that ends two years after the conclusion of his employment with the Company. Further, under the Separation Agreement, if terminated within two years following a change of control (i.e., a “double-trigger”), as defined therein, he will receive: (i) a lump sum payment equal to the sum of two-times his base salary (as of the date of termination) plus his target bonus; (ii) a lump sum payment equal to the target annual bonus to which he would have been entitled for the year of termination, if any, pro-rated for the portion of the year during which he was employed with the Company; and (iii) a lump sum payment of $12,000 as a transition assistance payment.</w:t>
      </w:r>
    </w:p>
    <w:p>
      <w:pPr>
        <w:spacing w:after="0" w:line="179"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The Company will enter into its standard form of indemnification agreement with Mr. DeByle (the “Indemnification Agreement”) as of the Start Date. The Indemnification Agreement provides, among other things, that the Company will indemnify Mr. DeByle under the circumstances and to the extent provided for therein, for certain expenses incurred by him in any action or proceeding arising out of his service as an officer of the Company, any subsidiary of the Company or any other company or enterprise to which he provides services at the Company’s request.</w:t>
      </w:r>
    </w:p>
    <w:p>
      <w:pPr>
        <w:spacing w:after="0" w:line="171" w:lineRule="exact"/>
        <w:rPr>
          <w:sz w:val="20"/>
          <w:szCs w:val="20"/>
          <w:color w:val="auto"/>
        </w:rPr>
      </w:pPr>
    </w:p>
    <w:p>
      <w:pPr>
        <w:ind w:right="280" w:firstLine="441"/>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foregoing descriptions of the terms of the Letter of Understanding, the Separation Agreement and Indemnification Agreement are only summaries and are qualified in their entirety by the full text of (i) the Letter of Understanding, a copy of which is filed as Exhibit 10.1 to this Current Report on Form 8-K, (ii) the Separation Agreement, the form of which is filed as Exhibit 10.2 to this Current Report on Form 8-K, and (iii) the Indemnification Agreement, the form of which was previously filed as </w:t>
      </w:r>
      <w:hyperlink r:id="rId20">
        <w:r>
          <w:rPr>
            <w:rFonts w:ascii="Arial" w:cs="Arial" w:eastAsia="Arial" w:hAnsi="Arial"/>
            <w:sz w:val="18"/>
            <w:szCs w:val="18"/>
            <w:u w:val="single" w:color="auto"/>
            <w:color w:val="0000EE"/>
          </w:rPr>
          <w:t>Exhibit 10.6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Company’s Registration Statement on Form S-3/A, as originally filed on July 15, 2002, each of which are incorporated herein by reference.</w:t>
      </w:r>
    </w:p>
    <w:p>
      <w:pPr>
        <w:sectPr>
          <w:pgSz w:w="11900" w:h="16838" w:orient="portrait"/>
          <w:cols w:equalWidth="0" w:num="1">
            <w:col w:w="11020"/>
          </w:cols>
          <w:pgMar w:left="440" w:top="270" w:right="439" w:bottom="1440" w:gutter="0" w:footer="0" w:header="0"/>
        </w:sectPr>
      </w:pPr>
    </w:p>
    <w:bookmarkStart w:id="2" w:name="page3"/>
    <w:bookmarkEnd w:id="2"/>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7"/>
          <w:szCs w:val="17"/>
          <w:b w:val="1"/>
          <w:bCs w:val="1"/>
          <w:color w:val="auto"/>
        </w:rPr>
        <w:t>REGULATION FD DISCLOSURE.</w:t>
      </w:r>
    </w:p>
    <w:p>
      <w:pPr>
        <w:spacing w:after="0" w:line="12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On August 27, 2019, the Company issued a press release regarding Mr. DeByle’s appointment. A copy of this press release is included as Exhibit 99.1 to this Current Report on Form 8-K.</w:t>
      </w:r>
    </w:p>
    <w:p>
      <w:pPr>
        <w:spacing w:after="0" w:line="170"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The information, including the press releases,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20" w:type="dxa"/>
            <w:vAlign w:val="bottom"/>
          </w:tcPr>
          <w:p>
            <w:pPr>
              <w:spacing w:after="0"/>
              <w:rPr>
                <w:sz w:val="14"/>
                <w:szCs w:val="14"/>
                <w:color w:val="auto"/>
              </w:rPr>
            </w:pPr>
          </w:p>
        </w:tc>
        <w:tc>
          <w:tcPr>
            <w:tcW w:w="960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9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3"/>
                <w:szCs w:val="23"/>
                <w:color w:val="auto"/>
              </w:rPr>
            </w:pPr>
          </w:p>
        </w:tc>
        <w:tc>
          <w:tcPr>
            <w:tcW w:w="94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Letter of Understanding and Relocation Agreement, effective as of August 23, 2019, by and between NN, Inc. and Thomas DeByle</w:t>
              </w:r>
            </w:hyperlink>
          </w:p>
        </w:tc>
        <w:tc>
          <w:tcPr>
            <w:tcW w:w="120" w:type="dxa"/>
            <w:vAlign w:val="bottom"/>
          </w:tcPr>
          <w:p>
            <w:pPr>
              <w:spacing w:after="0"/>
              <w:rPr>
                <w:sz w:val="23"/>
                <w:szCs w:val="23"/>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720" w:type="dxa"/>
            <w:vAlign w:val="bottom"/>
          </w:tcPr>
          <w:p>
            <w:pPr>
              <w:spacing w:after="0"/>
              <w:rPr>
                <w:sz w:val="24"/>
                <w:szCs w:val="24"/>
                <w:color w:val="auto"/>
              </w:rPr>
            </w:pPr>
          </w:p>
        </w:tc>
        <w:tc>
          <w:tcPr>
            <w:tcW w:w="226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Form of Separation Agreement</w:t>
              </w:r>
            </w:hyperlink>
          </w:p>
        </w:tc>
        <w:tc>
          <w:tcPr>
            <w:tcW w:w="7340" w:type="dxa"/>
            <w:vAlign w:val="bottom"/>
            <w:gridSpan w:val="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rPr>
                <w:sz w:val="24"/>
                <w:szCs w:val="24"/>
                <w:color w:val="auto"/>
              </w:rPr>
            </w:pPr>
          </w:p>
        </w:tc>
        <w:tc>
          <w:tcPr>
            <w:tcW w:w="9600" w:type="dxa"/>
            <w:vAlign w:val="bottom"/>
            <w:gridSpan w:val="7"/>
          </w:tcPr>
          <w:p>
            <w:pPr>
              <w:spacing w:after="0"/>
              <w:rPr>
                <w:rFonts w:ascii="Arial" w:cs="Arial" w:eastAsia="Arial" w:hAnsi="Arial"/>
                <w:sz w:val="18"/>
                <w:szCs w:val="18"/>
                <w:color w:val="0000EE"/>
                <w:w w:val="94"/>
              </w:rPr>
            </w:pPr>
            <w:hyperlink r:id="rId20">
              <w:r>
                <w:rPr>
                  <w:rFonts w:ascii="Arial" w:cs="Arial" w:eastAsia="Arial" w:hAnsi="Arial"/>
                  <w:sz w:val="18"/>
                  <w:szCs w:val="18"/>
                  <w:color w:val="0000EE"/>
                  <w:w w:val="94"/>
                </w:rPr>
                <w:t>Form of Indemnification Agreement (filed as Exhibit 10.6 to the Company’s Registration Statement on Form S-3/A, as originally</w:t>
              </w:r>
            </w:hyperlink>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filed on July 15, 2002 and incorporated herein by reference)</w:t>
              </w:r>
            </w:hyperlink>
          </w:p>
        </w:tc>
        <w:tc>
          <w:tcPr>
            <w:tcW w:w="4980" w:type="dxa"/>
            <w:vAlign w:val="bottom"/>
            <w:tcBorders>
              <w:top w:val="single" w:sz="8" w:color="0000EE"/>
            </w:tcBorders>
          </w:tcPr>
          <w:p>
            <w:pPr>
              <w:spacing w:after="0"/>
              <w:rPr>
                <w:sz w:val="17"/>
                <w:szCs w:val="17"/>
                <w:color w:val="auto"/>
              </w:rPr>
            </w:pPr>
          </w:p>
        </w:tc>
        <w:tc>
          <w:tcPr>
            <w:tcW w:w="280" w:type="dxa"/>
            <w:vAlign w:val="bottom"/>
            <w:gridSpan w:val="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40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Press Release issued by NN, Inc. dated August 27, 2019</w:t>
              </w:r>
            </w:hyperlink>
          </w:p>
        </w:tc>
        <w:tc>
          <w:tcPr>
            <w:tcW w:w="5540" w:type="dxa"/>
            <w:vAlign w:val="bottom"/>
            <w:gridSpan w:val="4"/>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27,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20"/>
          </w:cols>
          <w:pgMar w:left="440" w:top="270" w:right="7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88670" cy="788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NN, Inc.</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Corporate Headquarters</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6210 Ardrey Kell Road • Charlotte, NC 28277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980-264-4300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6997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August 19,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Thomas DeByle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Egon Zehnder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Letter of Understanding (LOU) and Relocation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Tom:</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are pleased to extend you an offer to join NN, Inc. (“NN” or the “Company”) as its Senior Vice President and Chief Financial Officer (“CFO”). In this salaried exempt role, you will report to Richard D. Holder, President and Chief Executive Officer, and will be located at the Company’s headquarters in Charlotte, NC. Following is a summary of the terms of our offer:</w:t>
      </w:r>
    </w:p>
    <w:p>
      <w:pPr>
        <w:sectPr>
          <w:pgSz w:w="11900" w:h="16838" w:orient="portrait"/>
          <w:cols w:equalWidth="0" w:num="1">
            <w:col w:w="11020"/>
          </w:cols>
          <w:pgMar w:left="440" w:top="121" w:right="4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Duties: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Partner with the CEO to develop and execute the Company’s strategic plan by driving change, improving financial and operating performance, and analyzing business opportunities. Provide executive-level financial focus, accounting and tax management, and controls oversight within the business, while ensuring compliance with financial regulations and leading NN’s tax, treasury, risk management, and investor relations efforts.</w:t>
      </w:r>
    </w:p>
    <w:p>
      <w:pPr>
        <w:spacing w:after="0" w:line="183" w:lineRule="exact"/>
        <w:rPr>
          <w:sz w:val="20"/>
          <w:szCs w:val="20"/>
          <w:color w:val="auto"/>
        </w:rPr>
      </w:pPr>
    </w:p>
    <w:p>
      <w:pPr>
        <w:sectPr>
          <w:pgSz w:w="11900" w:h="16838" w:orient="portrait"/>
          <w:cols w:equalWidth="0" w:num="2">
            <w:col w:w="1060" w:space="720"/>
            <w:col w:w="924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Effective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br w:type="column"/>
      </w:r>
    </w:p>
    <w:p>
      <w:pPr>
        <w:ind w:right="200"/>
        <w:spacing w:after="0" w:line="282" w:lineRule="auto"/>
        <w:rPr>
          <w:sz w:val="20"/>
          <w:szCs w:val="20"/>
          <w:color w:val="auto"/>
        </w:rPr>
      </w:pPr>
      <w:r>
        <w:rPr>
          <w:rFonts w:ascii="Arial" w:cs="Arial" w:eastAsia="Arial" w:hAnsi="Arial"/>
          <w:sz w:val="18"/>
          <w:szCs w:val="18"/>
          <w:color w:val="auto"/>
        </w:rPr>
        <w:t xml:space="preserve">As soon as practicable, but no later than </w:t>
      </w:r>
      <w:r>
        <w:rPr>
          <w:rFonts w:ascii="Arial" w:cs="Arial" w:eastAsia="Arial" w:hAnsi="Arial"/>
          <w:sz w:val="18"/>
          <w:szCs w:val="18"/>
          <w:b w:val="1"/>
          <w:bCs w:val="1"/>
          <w:color w:val="auto"/>
        </w:rPr>
        <w:t>September 23, 2019</w:t>
      </w:r>
      <w:r>
        <w:rPr>
          <w:rFonts w:ascii="Arial" w:cs="Arial" w:eastAsia="Arial" w:hAnsi="Arial"/>
          <w:sz w:val="18"/>
          <w:szCs w:val="18"/>
          <w:color w:val="auto"/>
        </w:rPr>
        <w:t>. The term “Effective Date” refers to the date you actively begin employment with NN.</w:t>
      </w:r>
    </w:p>
    <w:p>
      <w:pPr>
        <w:spacing w:after="0" w:line="175" w:lineRule="exact"/>
        <w:rPr>
          <w:sz w:val="20"/>
          <w:szCs w:val="20"/>
          <w:color w:val="auto"/>
        </w:rPr>
      </w:pPr>
    </w:p>
    <w:p>
      <w:pPr>
        <w:sectPr>
          <w:pgSz w:w="11900" w:h="16838" w:orient="portrait"/>
          <w:cols w:equalWidth="0" w:num="2">
            <w:col w:w="1060" w:space="720"/>
            <w:col w:w="924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Base Salary: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Your gross pay will be at the bi-weekly rate of Nineteen Thousand Eight Hundred Seven Dollars and seventy cents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($19,807.70), which equates to an annualized sum of </w:t>
      </w:r>
      <w:r>
        <w:rPr>
          <w:rFonts w:ascii="Arial" w:cs="Arial" w:eastAsia="Arial" w:hAnsi="Arial"/>
          <w:sz w:val="16"/>
          <w:szCs w:val="16"/>
          <w:b w:val="1"/>
          <w:bCs w:val="1"/>
          <w:color w:val="auto"/>
        </w:rPr>
        <w:t>$515,000</w:t>
      </w:r>
      <w:r>
        <w:rPr>
          <w:rFonts w:ascii="Arial" w:cs="Arial" w:eastAsia="Arial" w:hAnsi="Arial"/>
          <w:sz w:val="16"/>
          <w:szCs w:val="16"/>
          <w:color w:val="auto"/>
        </w:rPr>
        <w:t>. You will receive regular performance and salary reviews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evaluate your progress in attaining goals; these will be conducted at intervals commensurate with other similarly-situated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associates.</w:t>
      </w:r>
    </w:p>
    <w:p>
      <w:pPr>
        <w:spacing w:after="0" w:line="200" w:lineRule="exact"/>
        <w:rPr>
          <w:sz w:val="20"/>
          <w:szCs w:val="20"/>
          <w:color w:val="auto"/>
        </w:rPr>
      </w:pPr>
    </w:p>
    <w:p>
      <w:pPr>
        <w:sectPr>
          <w:pgSz w:w="11900" w:h="16838" w:orient="portrait"/>
          <w:cols w:equalWidth="0" w:num="2">
            <w:col w:w="1060" w:space="720"/>
            <w:col w:w="9240"/>
          </w:cols>
          <w:pgMar w:left="440" w:top="121"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Incentive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w:t>
      </w:r>
    </w:p>
    <w:p>
      <w:pPr>
        <w:spacing w:after="0" w:line="20" w:lineRule="exact"/>
        <w:rPr>
          <w:sz w:val="20"/>
          <w:szCs w:val="20"/>
          <w:color w:val="auto"/>
        </w:rPr>
      </w:pPr>
      <w:r>
        <w:rPr>
          <w:sz w:val="20"/>
          <w:szCs w:val="20"/>
          <w:color w:val="auto"/>
        </w:rPr>
        <w:br w:type="column"/>
      </w:r>
    </w:p>
    <w:p>
      <w:pPr>
        <w:ind w:right="160"/>
        <w:spacing w:after="0" w:line="303" w:lineRule="auto"/>
        <w:rPr>
          <w:sz w:val="20"/>
          <w:szCs w:val="20"/>
          <w:color w:val="auto"/>
        </w:rPr>
      </w:pPr>
      <w:r>
        <w:rPr>
          <w:rFonts w:ascii="Arial" w:cs="Arial" w:eastAsia="Arial" w:hAnsi="Arial"/>
          <w:sz w:val="16"/>
          <w:szCs w:val="16"/>
          <w:color w:val="auto"/>
        </w:rPr>
        <w:t xml:space="preserve">You will be eligible to participate in a discretionary executive-level bonus plan; the target is </w:t>
      </w:r>
      <w:r>
        <w:rPr>
          <w:rFonts w:ascii="Arial" w:cs="Arial" w:eastAsia="Arial" w:hAnsi="Arial"/>
          <w:sz w:val="16"/>
          <w:szCs w:val="16"/>
          <w:b w:val="1"/>
          <w:bCs w:val="1"/>
          <w:color w:val="auto"/>
        </w:rPr>
        <w:t>70%</w:t>
      </w:r>
      <w:r>
        <w:rPr>
          <w:rFonts w:ascii="Arial" w:cs="Arial" w:eastAsia="Arial" w:hAnsi="Arial"/>
          <w:sz w:val="16"/>
          <w:szCs w:val="16"/>
          <w:color w:val="auto"/>
        </w:rPr>
        <w:t xml:space="preserve"> of your base annual salary during the year. If a bonus is offered, its availability will be dependent upon corporate, group and individual performance, and any bonus amounts will be determined in accordance with NN corporate guidelines. Bonuses of this type are distributed after final financial audit, which is typically completed in March. Bonuses may be prorated for partial years worked.</w:t>
      </w:r>
    </w:p>
    <w:p>
      <w:pPr>
        <w:spacing w:after="0" w:line="182" w:lineRule="exact"/>
        <w:rPr>
          <w:sz w:val="20"/>
          <w:szCs w:val="20"/>
          <w:color w:val="auto"/>
        </w:rPr>
      </w:pPr>
    </w:p>
    <w:p>
      <w:pPr>
        <w:sectPr>
          <w:pgSz w:w="11900" w:h="16838" w:orient="portrait"/>
          <w:cols w:equalWidth="0" w:num="2">
            <w:col w:w="1060" w:space="720"/>
            <w:col w:w="9240"/>
          </w:cols>
          <w:pgMar w:left="440" w:top="121" w:right="439" w:bottom="1440" w:gutter="0" w:footer="0" w:header="0"/>
          <w:type w:val="continuous"/>
        </w:sectPr>
      </w:pPr>
    </w:p>
    <w:p>
      <w:pPr>
        <w:ind w:left="1780" w:right="380"/>
        <w:spacing w:after="0" w:line="308" w:lineRule="auto"/>
        <w:rPr>
          <w:sz w:val="20"/>
          <w:szCs w:val="20"/>
          <w:color w:val="auto"/>
        </w:rPr>
      </w:pPr>
      <w:r>
        <w:rPr>
          <w:rFonts w:ascii="Arial" w:cs="Arial" w:eastAsia="Arial" w:hAnsi="Arial"/>
          <w:sz w:val="17"/>
          <w:szCs w:val="17"/>
          <w:color w:val="auto"/>
        </w:rPr>
        <w:t>Annual incentive awards are subject to the execution, and governed by the terms, of the Executive Incentive Compensation (“EIC”) Program document. A copy of the 2019 document will be provided to you for your review.</w:t>
      </w:r>
    </w:p>
    <w:p>
      <w:pPr>
        <w:spacing w:after="0" w:line="174" w:lineRule="exact"/>
        <w:rPr>
          <w:sz w:val="20"/>
          <w:szCs w:val="20"/>
          <w:color w:val="auto"/>
        </w:rPr>
      </w:pPr>
    </w:p>
    <w:p>
      <w:pPr>
        <w:ind w:left="1780" w:right="100"/>
        <w:spacing w:after="0" w:line="279" w:lineRule="auto"/>
        <w:rPr>
          <w:sz w:val="20"/>
          <w:szCs w:val="20"/>
          <w:color w:val="auto"/>
        </w:rPr>
      </w:pPr>
      <w:r>
        <w:rPr>
          <w:rFonts w:ascii="Arial" w:cs="Arial" w:eastAsia="Arial" w:hAnsi="Arial"/>
          <w:sz w:val="17"/>
          <w:szCs w:val="17"/>
          <w:color w:val="auto"/>
        </w:rPr>
        <w:t>In consideration of other sums that you may have forfeited by joining the Company, your 2019 award will not be prorated; rather, if you work through the end of calendar year 2019 you will be eligible to receive an amount commensurate with a full-year award. Any payout amount will be determined in accordance with Company’s corporate guidelines and, if offered, will be distributed after final financial audit, which is typically completed in March.</w:t>
      </w:r>
    </w:p>
    <w:p>
      <w:pPr>
        <w:sectPr>
          <w:pgSz w:w="11900" w:h="16838" w:orient="portrait"/>
          <w:cols w:equalWidth="0" w:num="1">
            <w:col w:w="11020"/>
          </w:cols>
          <w:pgMar w:left="440" w:top="121" w:right="4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color w:val="auto"/>
        </w:rPr>
        <w:t>Long-Term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w:t>
      </w:r>
    </w:p>
    <w:p>
      <w:pPr>
        <w:spacing w:after="0" w:line="20" w:lineRule="exact"/>
        <w:rPr>
          <w:sz w:val="20"/>
          <w:szCs w:val="20"/>
          <w:color w:val="auto"/>
        </w:rPr>
      </w:pPr>
      <w:r>
        <w:rPr>
          <w:sz w:val="20"/>
          <w:szCs w:val="20"/>
          <w:color w:val="auto"/>
        </w:rPr>
        <w:br w:type="column"/>
      </w:r>
    </w:p>
    <w:p>
      <w:pPr>
        <w:ind w:right="180"/>
        <w:spacing w:after="0" w:line="308" w:lineRule="auto"/>
        <w:rPr>
          <w:sz w:val="20"/>
          <w:szCs w:val="20"/>
          <w:color w:val="auto"/>
        </w:rPr>
      </w:pPr>
      <w:r>
        <w:rPr>
          <w:rFonts w:ascii="Arial" w:cs="Arial" w:eastAsia="Arial" w:hAnsi="Arial"/>
          <w:sz w:val="17"/>
          <w:szCs w:val="17"/>
          <w:color w:val="auto"/>
        </w:rPr>
        <w:t xml:space="preserve">You will be eligible to participate in NN’s executive equity program. Awards are generally granted in March of each year. The next grant cycle is in March 2020, and the target is </w:t>
      </w:r>
      <w:r>
        <w:rPr>
          <w:rFonts w:ascii="Arial" w:cs="Arial" w:eastAsia="Arial" w:hAnsi="Arial"/>
          <w:sz w:val="17"/>
          <w:szCs w:val="17"/>
          <w:b w:val="1"/>
          <w:bCs w:val="1"/>
          <w:color w:val="auto"/>
        </w:rPr>
        <w:t>170%</w:t>
      </w:r>
      <w:r>
        <w:rPr>
          <w:rFonts w:ascii="Arial" w:cs="Arial" w:eastAsia="Arial" w:hAnsi="Arial"/>
          <w:sz w:val="17"/>
          <w:szCs w:val="17"/>
          <w:color w:val="auto"/>
        </w:rPr>
        <w:t xml:space="preserve"> of your base annual salary at the time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-540385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060" w:space="720"/>
            <w:col w:w="9260"/>
          </w:cols>
          <w:pgMar w:left="440" w:top="486" w:right="419" w:bottom="1440" w:gutter="0" w:footer="0" w:header="0"/>
        </w:sectPr>
      </w:pPr>
    </w:p>
    <w:p>
      <w:pPr>
        <w:ind w:left="1780"/>
        <w:spacing w:after="0"/>
        <w:rPr>
          <w:sz w:val="20"/>
          <w:szCs w:val="20"/>
          <w:color w:val="auto"/>
        </w:rPr>
      </w:pPr>
      <w:r>
        <w:rPr>
          <w:rFonts w:ascii="Arial" w:cs="Arial" w:eastAsia="Arial" w:hAnsi="Arial"/>
          <w:sz w:val="16"/>
          <w:szCs w:val="16"/>
          <w:color w:val="auto"/>
        </w:rPr>
        <w:t>The total dollar value of the LTI award target is divided equally among the following:</w:t>
      </w:r>
    </w:p>
    <w:p>
      <w:pPr>
        <w:sectPr>
          <w:pgSz w:w="11900" w:h="16838" w:orient="portrait"/>
          <w:cols w:equalWidth="0" w:num="1">
            <w:col w:w="11040"/>
          </w:cols>
          <w:pgMar w:left="440" w:top="486" w:right="419" w:bottom="1440" w:gutter="0" w:footer="0" w:header="0"/>
          <w:type w:val="continuous"/>
        </w:sectPr>
      </w:pPr>
    </w:p>
    <w:p>
      <w:pPr>
        <w:spacing w:after="0" w:line="154" w:lineRule="exact"/>
        <w:rPr>
          <w:sz w:val="20"/>
          <w:szCs w:val="20"/>
          <w:color w:val="auto"/>
        </w:rPr>
      </w:pPr>
    </w:p>
    <w:p>
      <w:pPr>
        <w:ind w:left="2480" w:hanging="257"/>
        <w:spacing w:after="0"/>
        <w:tabs>
          <w:tab w:leader="none" w:pos="2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Restricted Stock Awards (RSAs), which are time-based awards that vest ratably over three years;</w:t>
      </w:r>
    </w:p>
    <w:p>
      <w:pPr>
        <w:spacing w:after="0" w:line="130" w:lineRule="exact"/>
        <w:rPr>
          <w:rFonts w:ascii="Arial" w:cs="Arial" w:eastAsia="Arial" w:hAnsi="Arial"/>
          <w:sz w:val="18"/>
          <w:szCs w:val="18"/>
          <w:color w:val="auto"/>
        </w:rPr>
      </w:pPr>
    </w:p>
    <w:p>
      <w:pPr>
        <w:ind w:left="2480" w:hanging="257"/>
        <w:spacing w:after="0"/>
        <w:tabs>
          <w:tab w:leader="none" w:pos="2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Performance Share Units (PSUs), performance-based awards tied to Relative Total Shareholder Returns (TSR); and,</w:t>
      </w:r>
    </w:p>
    <w:p>
      <w:pPr>
        <w:spacing w:after="0" w:line="153" w:lineRule="exact"/>
        <w:rPr>
          <w:rFonts w:ascii="Arial" w:cs="Arial" w:eastAsia="Arial" w:hAnsi="Arial"/>
          <w:sz w:val="16"/>
          <w:szCs w:val="16"/>
          <w:color w:val="auto"/>
        </w:rPr>
      </w:pPr>
    </w:p>
    <w:p>
      <w:pPr>
        <w:ind w:left="2500" w:right="440" w:hanging="277"/>
        <w:spacing w:after="0" w:line="277" w:lineRule="auto"/>
        <w:tabs>
          <w:tab w:leader="none" w:pos="2484"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Share Units (PSUs), performance-based awards tied to Company performance relative to Return on Invested Capital (ROIC).</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w w:val="97"/>
              </w:rPr>
              <w:t>Long-term incentive awards are subject to the execution, and governed by the terms, of the Long-Term Incentive (“LTI”)</w:t>
            </w:r>
          </w:p>
        </w:tc>
      </w:tr>
      <w:tr>
        <w:trPr>
          <w:trHeight w:val="230"/>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rPr>
              <w:t>Program document. A copy of the 2019 document will be provided to you for your review.</w:t>
            </w:r>
          </w:p>
        </w:tc>
      </w:tr>
      <w:tr>
        <w:trPr>
          <w:trHeight w:val="427"/>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Conditional</w:t>
            </w:r>
          </w:p>
        </w:tc>
        <w:tc>
          <w:tcPr>
            <w:tcW w:w="9520" w:type="dxa"/>
            <w:vAlign w:val="bottom"/>
          </w:tcPr>
          <w:p>
            <w:pPr>
              <w:ind w:left="260"/>
              <w:spacing w:after="0"/>
              <w:rPr>
                <w:sz w:val="20"/>
                <w:szCs w:val="20"/>
                <w:color w:val="auto"/>
              </w:rPr>
            </w:pPr>
            <w:r>
              <w:rPr>
                <w:rFonts w:ascii="Arial" w:cs="Arial" w:eastAsia="Arial" w:hAnsi="Arial"/>
                <w:sz w:val="18"/>
                <w:szCs w:val="18"/>
                <w:color w:val="auto"/>
                <w:w w:val="89"/>
              </w:rPr>
              <w:t>In the event the Standex equity that is scheduled to vest on September 6, 2019 (1818 management stock purchase plan units and</w:t>
            </w:r>
          </w:p>
        </w:tc>
      </w:tr>
      <w:tr>
        <w:trPr>
          <w:trHeight w:val="220"/>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Equity Grant:</w:t>
            </w:r>
          </w:p>
        </w:tc>
        <w:tc>
          <w:tcPr>
            <w:tcW w:w="9520" w:type="dxa"/>
            <w:vAlign w:val="bottom"/>
          </w:tcPr>
          <w:p>
            <w:pPr>
              <w:ind w:left="260"/>
              <w:spacing w:after="0"/>
              <w:rPr>
                <w:sz w:val="20"/>
                <w:szCs w:val="20"/>
                <w:color w:val="auto"/>
              </w:rPr>
            </w:pPr>
            <w:r>
              <w:rPr>
                <w:rFonts w:ascii="Arial" w:cs="Arial" w:eastAsia="Arial" w:hAnsi="Arial"/>
                <w:sz w:val="18"/>
                <w:szCs w:val="18"/>
                <w:color w:val="auto"/>
                <w:w w:val="93"/>
              </w:rPr>
              <w:t>1214 restricted stock units) is not made available to you, at the next regularly scheduled NN, Inc. Board of Directors’ meeting</w:t>
            </w: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w w:val="93"/>
              </w:rPr>
              <w:t>following your Effective Date, the Chief Executive Officer will recommend that the Board approve a one-time restricted stock</w:t>
            </w: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w w:val="94"/>
              </w:rPr>
              <w:t>award (RSA) in the equivalent cash amount of the aforementioned awards that were foregone, valued as of the close of the</w:t>
            </w:r>
          </w:p>
        </w:tc>
      </w:tr>
      <w:tr>
        <w:trPr>
          <w:trHeight w:val="230"/>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rPr>
              <w:t>market on September 6, 2019. These RSAs will vest ratably over three years.</w:t>
            </w:r>
          </w:p>
        </w:tc>
      </w:tr>
      <w:tr>
        <w:trPr>
          <w:trHeight w:val="414"/>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Separation</w:t>
            </w:r>
          </w:p>
        </w:tc>
        <w:tc>
          <w:tcPr>
            <w:tcW w:w="9520" w:type="dxa"/>
            <w:vAlign w:val="bottom"/>
          </w:tcPr>
          <w:p>
            <w:pPr>
              <w:ind w:left="260"/>
              <w:spacing w:after="0"/>
              <w:rPr>
                <w:sz w:val="20"/>
                <w:szCs w:val="20"/>
                <w:color w:val="auto"/>
              </w:rPr>
            </w:pPr>
            <w:r>
              <w:rPr>
                <w:rFonts w:ascii="Arial" w:cs="Arial" w:eastAsia="Arial" w:hAnsi="Arial"/>
                <w:sz w:val="18"/>
                <w:szCs w:val="18"/>
                <w:color w:val="auto"/>
                <w:w w:val="93"/>
              </w:rPr>
              <w:t>You will be eligible for additional separation provisions related to qualifying terminations—specifically, terminations both prior</w:t>
            </w:r>
          </w:p>
        </w:tc>
      </w:tr>
      <w:tr>
        <w:trPr>
          <w:trHeight w:val="220"/>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Provisions:</w:t>
            </w:r>
          </w:p>
        </w:tc>
        <w:tc>
          <w:tcPr>
            <w:tcW w:w="9520" w:type="dxa"/>
            <w:vAlign w:val="bottom"/>
          </w:tcPr>
          <w:p>
            <w:pPr>
              <w:ind w:left="260"/>
              <w:spacing w:after="0"/>
              <w:rPr>
                <w:sz w:val="20"/>
                <w:szCs w:val="20"/>
                <w:color w:val="auto"/>
              </w:rPr>
            </w:pPr>
            <w:r>
              <w:rPr>
                <w:rFonts w:ascii="Arial" w:cs="Arial" w:eastAsia="Arial" w:hAnsi="Arial"/>
                <w:sz w:val="18"/>
                <w:szCs w:val="18"/>
                <w:color w:val="auto"/>
                <w:w w:val="93"/>
              </w:rPr>
              <w:t>to and following a Change in Control. This Separation Agreement will be executed separately from the LOU; the current form</w:t>
            </w:r>
          </w:p>
        </w:tc>
      </w:tr>
      <w:tr>
        <w:trPr>
          <w:trHeight w:val="230"/>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rPr>
              <w:t>of this agreement will be provided to you for your review.</w:t>
            </w:r>
          </w:p>
        </w:tc>
      </w:tr>
      <w:tr>
        <w:trPr>
          <w:trHeight w:val="414"/>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Contingent</w:t>
            </w:r>
          </w:p>
        </w:tc>
        <w:tc>
          <w:tcPr>
            <w:tcW w:w="9520" w:type="dxa"/>
            <w:vAlign w:val="bottom"/>
          </w:tcPr>
          <w:p>
            <w:pPr>
              <w:ind w:left="260"/>
              <w:spacing w:after="0"/>
              <w:rPr>
                <w:sz w:val="20"/>
                <w:szCs w:val="20"/>
                <w:color w:val="auto"/>
              </w:rPr>
            </w:pPr>
            <w:r>
              <w:rPr>
                <w:rFonts w:ascii="Arial" w:cs="Arial" w:eastAsia="Arial" w:hAnsi="Arial"/>
                <w:sz w:val="18"/>
                <w:szCs w:val="18"/>
                <w:color w:val="auto"/>
                <w:w w:val="94"/>
              </w:rPr>
              <w:t>This offer will be contingent upon successful execution of other employment-related items; namely, the Immigration Reform</w:t>
            </w:r>
          </w:p>
        </w:tc>
      </w:tr>
      <w:tr>
        <w:trPr>
          <w:trHeight w:val="220"/>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Items:</w:t>
            </w:r>
          </w:p>
        </w:tc>
        <w:tc>
          <w:tcPr>
            <w:tcW w:w="9520" w:type="dxa"/>
            <w:vAlign w:val="bottom"/>
          </w:tcPr>
          <w:p>
            <w:pPr>
              <w:ind w:left="260"/>
              <w:spacing w:after="0"/>
              <w:rPr>
                <w:sz w:val="20"/>
                <w:szCs w:val="20"/>
                <w:color w:val="auto"/>
              </w:rPr>
            </w:pPr>
            <w:r>
              <w:rPr>
                <w:rFonts w:ascii="Arial" w:cs="Arial" w:eastAsia="Arial" w:hAnsi="Arial"/>
                <w:sz w:val="18"/>
                <w:szCs w:val="18"/>
                <w:color w:val="auto"/>
                <w:w w:val="91"/>
              </w:rPr>
              <w:t>Control Act of 1986 (Form I-9), a post-offer drug screen and physical, a reference check, and a criminal background check. NN</w:t>
            </w:r>
          </w:p>
        </w:tc>
      </w:tr>
      <w:tr>
        <w:trPr>
          <w:trHeight w:val="230"/>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rPr>
              <w:t>will bear the costs of these items, and we will discuss them upon your acceptance of the position.</w:t>
            </w:r>
          </w:p>
        </w:tc>
      </w:tr>
      <w:tr>
        <w:trPr>
          <w:trHeight w:val="414"/>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Employment-at-</w:t>
            </w:r>
          </w:p>
        </w:tc>
        <w:tc>
          <w:tcPr>
            <w:tcW w:w="9520" w:type="dxa"/>
            <w:vAlign w:val="bottom"/>
          </w:tcPr>
          <w:p>
            <w:pPr>
              <w:ind w:left="260"/>
              <w:spacing w:after="0"/>
              <w:rPr>
                <w:sz w:val="20"/>
                <w:szCs w:val="20"/>
                <w:color w:val="auto"/>
              </w:rPr>
            </w:pPr>
            <w:r>
              <w:rPr>
                <w:rFonts w:ascii="Arial" w:cs="Arial" w:eastAsia="Arial" w:hAnsi="Arial"/>
                <w:sz w:val="18"/>
                <w:szCs w:val="18"/>
                <w:color w:val="auto"/>
                <w:w w:val="90"/>
              </w:rPr>
              <w:t>Except as expressly set forth herein, nothing in this Letter of Understanding and Relocation Agreement is intended to supersede</w:t>
            </w:r>
          </w:p>
        </w:tc>
      </w:tr>
      <w:tr>
        <w:trPr>
          <w:trHeight w:val="220"/>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Will:</w:t>
            </w:r>
          </w:p>
        </w:tc>
        <w:tc>
          <w:tcPr>
            <w:tcW w:w="9520" w:type="dxa"/>
            <w:vAlign w:val="bottom"/>
          </w:tcPr>
          <w:p>
            <w:pPr>
              <w:ind w:left="260"/>
              <w:spacing w:after="0"/>
              <w:rPr>
                <w:sz w:val="20"/>
                <w:szCs w:val="20"/>
                <w:color w:val="auto"/>
              </w:rPr>
            </w:pPr>
            <w:r>
              <w:rPr>
                <w:rFonts w:ascii="Arial" w:cs="Arial" w:eastAsia="Arial" w:hAnsi="Arial"/>
                <w:sz w:val="18"/>
                <w:szCs w:val="18"/>
                <w:color w:val="auto"/>
                <w:w w:val="95"/>
              </w:rPr>
              <w:t>NN, Inc.’s employment-at-will policy. Under these provisions, employment with NN, Inc. is voluntarily entered into, and the</w:t>
            </w: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w w:val="99"/>
              </w:rPr>
              <w:t>associate is free to resign at will at any time, with or without cause. Similarly, NN, Inc. may terminate the employment</w:t>
            </w: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w w:val="93"/>
              </w:rPr>
              <w:t>relationship at will at any time, with or without notice or cause, so long as there is no violation of applicable federal and state</w:t>
            </w:r>
          </w:p>
        </w:tc>
      </w:tr>
      <w:tr>
        <w:trPr>
          <w:trHeight w:val="230"/>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520" w:type="dxa"/>
            <w:vAlign w:val="bottom"/>
          </w:tcPr>
          <w:p>
            <w:pPr>
              <w:ind w:left="260"/>
              <w:spacing w:after="0"/>
              <w:rPr>
                <w:sz w:val="20"/>
                <w:szCs w:val="20"/>
                <w:color w:val="auto"/>
              </w:rPr>
            </w:pPr>
            <w:r>
              <w:rPr>
                <w:rFonts w:ascii="Arial" w:cs="Arial" w:eastAsia="Arial" w:hAnsi="Arial"/>
                <w:sz w:val="18"/>
                <w:szCs w:val="18"/>
                <w:color w:val="auto"/>
              </w:rPr>
              <w:t>law.</w:t>
            </w: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Relocation:</w:t>
            </w:r>
          </w:p>
        </w:tc>
        <w:tc>
          <w:tcPr>
            <w:tcW w:w="9520" w:type="dxa"/>
            <w:vAlign w:val="bottom"/>
          </w:tcPr>
          <w:p>
            <w:pPr>
              <w:ind w:left="260"/>
              <w:spacing w:after="0"/>
              <w:rPr>
                <w:sz w:val="20"/>
                <w:szCs w:val="20"/>
                <w:color w:val="auto"/>
              </w:rPr>
            </w:pPr>
            <w:r>
              <w:rPr>
                <w:rFonts w:ascii="Arial" w:cs="Arial" w:eastAsia="Arial" w:hAnsi="Arial"/>
                <w:sz w:val="18"/>
                <w:szCs w:val="18"/>
                <w:color w:val="auto"/>
              </w:rPr>
              <w:t>Relocation provisions are described in Exhibit A of this document.</w:t>
            </w:r>
          </w:p>
        </w:tc>
      </w:tr>
      <w:tr>
        <w:trPr>
          <w:trHeight w:val="162"/>
        </w:trPr>
        <w:tc>
          <w:tcPr>
            <w:tcW w:w="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9520" w:type="dxa"/>
            <w:vAlign w:val="bottom"/>
            <w:tcBorders>
              <w:bottom w:val="single" w:sz="8" w:color="auto"/>
            </w:tcBorders>
          </w:tcPr>
          <w:p>
            <w:pPr>
              <w:spacing w:after="0"/>
              <w:rPr>
                <w:sz w:val="14"/>
                <w:szCs w:val="14"/>
                <w:color w:val="auto"/>
              </w:rPr>
            </w:pPr>
          </w:p>
        </w:tc>
      </w:tr>
      <w:tr>
        <w:trPr>
          <w:trHeight w:val="371"/>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520" w:type="dxa"/>
            <w:vAlign w:val="bottom"/>
          </w:tcPr>
          <w:p>
            <w:pPr>
              <w:ind w:left="3380"/>
              <w:spacing w:after="0"/>
              <w:rPr>
                <w:sz w:val="20"/>
                <w:szCs w:val="20"/>
                <w:color w:val="auto"/>
              </w:rPr>
            </w:pPr>
            <w:r>
              <w:rPr>
                <w:rFonts w:ascii="Arial" w:cs="Arial" w:eastAsia="Arial" w:hAnsi="Arial"/>
                <w:sz w:val="18"/>
                <w:szCs w:val="18"/>
                <w:b w:val="1"/>
                <w:bCs w:val="1"/>
                <w:color w:val="auto"/>
              </w:rPr>
              <w:t>www.nninc.com</w:t>
            </w:r>
          </w:p>
        </w:tc>
      </w:tr>
      <w:tr>
        <w:trPr>
          <w:trHeight w:val="230"/>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520" w:type="dxa"/>
            <w:vAlign w:val="bottom"/>
          </w:tcPr>
          <w:p>
            <w:pPr>
              <w:ind w:left="3760"/>
              <w:spacing w:after="0"/>
              <w:rPr>
                <w:sz w:val="20"/>
                <w:szCs w:val="20"/>
                <w:color w:val="auto"/>
              </w:rPr>
            </w:pPr>
            <w:r>
              <w:rPr>
                <w:rFonts w:ascii="Arial" w:cs="Arial" w:eastAsia="Arial" w:hAnsi="Arial"/>
                <w:sz w:val="18"/>
                <w:szCs w:val="18"/>
                <w:color w:val="auto"/>
              </w:rPr>
              <w:t>Page 2</w:t>
            </w:r>
          </w:p>
        </w:tc>
      </w:tr>
    </w:tbl>
    <w:p>
      <w:pPr>
        <w:sectPr>
          <w:pgSz w:w="11900" w:h="16838" w:orient="portrait"/>
          <w:cols w:equalWidth="0" w:num="1">
            <w:col w:w="11040"/>
          </w:cols>
          <w:pgMar w:left="440" w:top="486" w:right="4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color w:val="auto"/>
        </w:rPr>
        <w:t>Confidentiality:</w:t>
      </w:r>
    </w:p>
    <w:p>
      <w:pPr>
        <w:spacing w:after="0" w:line="20" w:lineRule="exact"/>
        <w:rPr>
          <w:sz w:val="20"/>
          <w:szCs w:val="20"/>
          <w:color w:val="auto"/>
        </w:rPr>
      </w:pPr>
      <w:r>
        <w:rPr>
          <w:sz w:val="20"/>
          <w:szCs w:val="20"/>
          <w:color w:val="auto"/>
        </w:rPr>
        <w:br w:type="column"/>
      </w:r>
    </w:p>
    <w:p>
      <w:pPr>
        <w:jc w:val="both"/>
        <w:ind w:right="180"/>
        <w:spacing w:after="0" w:line="264" w:lineRule="auto"/>
        <w:rPr>
          <w:sz w:val="20"/>
          <w:szCs w:val="20"/>
          <w:color w:val="auto"/>
        </w:rPr>
      </w:pPr>
      <w:r>
        <w:rPr>
          <w:rFonts w:ascii="Arial" w:cs="Arial" w:eastAsia="Arial" w:hAnsi="Arial"/>
          <w:sz w:val="18"/>
          <w:szCs w:val="18"/>
          <w:color w:val="auto"/>
        </w:rPr>
        <w:t>Since you will be in a position of trust requiring the maintenance of confidence, you will be required to sign a confidentiality and non-disclosure agreement on your first day of employment. A copy of the current agreement will be provided to you for your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-655320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1220" w:space="560"/>
            <w:col w:w="9180"/>
          </w:cols>
          <w:pgMar w:left="440" w:top="486" w:right="499" w:bottom="1440" w:gutter="0" w:footer="0" w:header="0"/>
        </w:sectPr>
      </w:pPr>
    </w:p>
    <w:p>
      <w:pPr>
        <w:spacing w:after="0"/>
        <w:rPr>
          <w:sz w:val="20"/>
          <w:szCs w:val="20"/>
          <w:color w:val="auto"/>
        </w:rPr>
      </w:pPr>
      <w:r>
        <w:rPr>
          <w:rFonts w:ascii="Arial" w:cs="Arial" w:eastAsia="Arial" w:hAnsi="Arial"/>
          <w:sz w:val="15"/>
          <w:szCs w:val="15"/>
          <w:b w:val="1"/>
          <w:bCs w:val="1"/>
          <w:color w:val="auto"/>
        </w:rPr>
        <w:t>Benefits: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Company offers a broad range of benefits and amenities for you and your eligible dependents. All such benefits are subject to the terms of the benefit plans and are available to employees generally. Plans include medical, dental, life, and disability benefits, as well as voluntary offerings such as vision, 401(k), and other voluntary offerings are also available; a copy of the current enrollment guide will be provided to you for your review.</w:t>
      </w:r>
    </w:p>
    <w:p>
      <w:pPr>
        <w:spacing w:after="0" w:line="183" w:lineRule="exact"/>
        <w:rPr>
          <w:sz w:val="20"/>
          <w:szCs w:val="20"/>
          <w:color w:val="auto"/>
        </w:rPr>
      </w:pPr>
    </w:p>
    <w:p>
      <w:pPr>
        <w:sectPr>
          <w:pgSz w:w="11900" w:h="16838" w:orient="portrait"/>
          <w:cols w:equalWidth="0" w:num="2">
            <w:col w:w="1060" w:space="720"/>
            <w:col w:w="9180"/>
          </w:cols>
          <w:pgMar w:left="440" w:top="486"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Paid Leave:</w:t>
      </w:r>
    </w:p>
    <w:p>
      <w:pPr>
        <w:spacing w:after="0" w:line="20" w:lineRule="exact"/>
        <w:rPr>
          <w:sz w:val="20"/>
          <w:szCs w:val="20"/>
          <w:color w:val="auto"/>
        </w:rPr>
      </w:pPr>
      <w:r>
        <w:rPr>
          <w:sz w:val="20"/>
          <w:szCs w:val="20"/>
          <w:color w:val="auto"/>
        </w:rPr>
        <w:br w:type="column"/>
      </w:r>
    </w:p>
    <w:p>
      <w:pPr>
        <w:jc w:val="both"/>
        <w:ind w:right="220"/>
        <w:spacing w:after="0" w:line="286" w:lineRule="auto"/>
        <w:rPr>
          <w:sz w:val="20"/>
          <w:szCs w:val="20"/>
          <w:color w:val="auto"/>
        </w:rPr>
      </w:pPr>
      <w:r>
        <w:rPr>
          <w:rFonts w:ascii="Arial" w:cs="Arial" w:eastAsia="Arial" w:hAnsi="Arial"/>
          <w:sz w:val="17"/>
          <w:szCs w:val="17"/>
          <w:color w:val="auto"/>
        </w:rPr>
        <w:t>You are eligible to receive pay for holidays NN, Inc. observes during your employ (currently ten per year), and your annual vacation allocation will be four (4) weeks per full calendar year. You will also have access to up to 40 hours’ PTO for illness (self or immediate family members) per year. Time off benefits are prorated for partial years worked.</w:t>
      </w:r>
    </w:p>
    <w:p>
      <w:pPr>
        <w:spacing w:after="0" w:line="162" w:lineRule="exact"/>
        <w:rPr>
          <w:sz w:val="20"/>
          <w:szCs w:val="20"/>
          <w:color w:val="auto"/>
        </w:rPr>
      </w:pPr>
    </w:p>
    <w:p>
      <w:pPr>
        <w:sectPr>
          <w:pgSz w:w="11900" w:h="16838" w:orient="portrait"/>
          <w:cols w:equalWidth="0" w:num="2">
            <w:col w:w="1060" w:space="720"/>
            <w:col w:w="9180"/>
          </w:cols>
          <w:pgMar w:left="440" w:top="486" w:right="4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Executive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Disability:</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The Company currently offers an executive disability benefit, providing income replacement of up to 75% of pre-disability earnings. HR will provide additional information on this offering as part of the onboarding process.</w:t>
      </w:r>
    </w:p>
    <w:p>
      <w:pPr>
        <w:spacing w:after="0" w:line="170" w:lineRule="exact"/>
        <w:rPr>
          <w:sz w:val="20"/>
          <w:szCs w:val="20"/>
          <w:color w:val="auto"/>
        </w:rPr>
      </w:pPr>
    </w:p>
    <w:p>
      <w:pPr>
        <w:sectPr>
          <w:pgSz w:w="11900" w:h="16838" w:orient="portrait"/>
          <w:cols w:equalWidth="0" w:num="2">
            <w:col w:w="1060" w:space="720"/>
            <w:col w:w="9180"/>
          </w:cols>
          <w:pgMar w:left="440" w:top="486" w:right="499" w:bottom="1440" w:gutter="0" w:footer="0" w:header="0"/>
          <w:type w:val="continuous"/>
        </w:sectPr>
      </w:pPr>
    </w:p>
    <w:p>
      <w:pPr>
        <w:ind w:right="220"/>
        <w:spacing w:after="0" w:line="264" w:lineRule="auto"/>
        <w:rPr>
          <w:sz w:val="20"/>
          <w:szCs w:val="20"/>
          <w:color w:val="auto"/>
        </w:rPr>
      </w:pPr>
      <w:r>
        <w:rPr>
          <w:rFonts w:ascii="Arial" w:cs="Arial" w:eastAsia="Arial" w:hAnsi="Arial"/>
          <w:sz w:val="18"/>
          <w:szCs w:val="18"/>
          <w:color w:val="auto"/>
        </w:rPr>
        <w:t>Any provision of this Agreement to the contrary notwithstanding, all payments made by the Company hereunder to you, your estate, or your beneficiaries shall be subject to the withholding of such amounts, if any, relating to tax and other payroll deductions as the Company may reasonably determine should be withheld pursuant to any applicable law or regulation.</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Tom, we look forward to welcoming you to the NN team. If you are in agreement with the terms of this offer, please sign and return a copy of the executed letter to us for your file. If you have any questions, please feel free to call me directly.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D. 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D. 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6997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www.nninc.com</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960"/>
          </w:cols>
          <w:pgMar w:left="440" w:top="486" w:right="49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Relocation Agreement</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following guidelines set forth the provisions of the Company’s relocation offer. These relocation benefits are only available in conjunction with the purchase of a primary residence in the Charlotte, NC area. It may not be used to purchase vacation property, vacant land or other non-primary housing. Sections A through D below must each be initiated within 12 months of the LOU Effective Date or they will be forfeited.</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 Temporary Living and Duplicate Real Estate Costs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will pay temporary living expenses (room, meals and incidentals) while you are purchasing a home or arranging for other permanent housing, and/or will pay any duplicate costs associated with mortgages payable including the mortgage payment, utilities and routine maintenance on the home beginning with the LOU effective date (or as long as the property is held in the name of the associate, whichever is shorter), less the amount of time paid under the temporary living provision. As such, the benefit for these two provisions combined shall not exceed a total of twelve (12) months, and the amount of the reimbursement shall not exceed Two Thousand Five Hundred Dollars ($2,500.00) per month.</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 Purchase/Sale of Real Estate</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will pay usual and customary closing costs on the purchase of a new home and will also pay the real estate commission on the sale of your existing home (up to 6% of the sale price).</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 Relocation Allowance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will pay for movement of standard household items (excluding boats, antiques, and other similar or heavy/oversized items) and up to one automobile, as well as reasonable travel of household family members. You will be required to first submit two (2) moving estimates to corporate Human Resources for review and approval.</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 Home Finding Trip</w:t>
      </w:r>
    </w:p>
    <w:p>
      <w:pPr>
        <w:spacing w:after="0" w:line="121"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You will be reimbursed for one (1) trip, not to exceed three (3) days, including actual and reasonable expenses from the departure location to the destination location. This shall only include reimbursement for members of your immediate family that currently reside with you. Reimbursable expenses include:</w:t>
      </w:r>
    </w:p>
    <w:p>
      <w:pPr>
        <w:spacing w:after="0" w:line="83" w:lineRule="exact"/>
        <w:rPr>
          <w:sz w:val="20"/>
          <w:szCs w:val="20"/>
          <w:color w:val="auto"/>
        </w:rPr>
      </w:pPr>
    </w:p>
    <w:p>
      <w:pPr>
        <w:ind w:left="980" w:hanging="436"/>
        <w:spacing w:after="0" w:line="313"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Airfare </w:t>
      </w:r>
      <w:r>
        <w:rPr>
          <w:rFonts w:ascii="Arial" w:cs="Arial" w:eastAsia="Arial" w:hAnsi="Arial"/>
          <w:sz w:val="17"/>
          <w:szCs w:val="17"/>
          <w:color w:val="auto"/>
        </w:rPr>
        <w:t>(provided if the distance to the destination location is over 300 miles one-way): Coach fare, with 7-day advance purchase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and reasonable and appropriate car rental fees (full size or smaller), in accordance with the Company’s travel policy</w:t>
      </w:r>
    </w:p>
    <w:p>
      <w:pPr>
        <w:spacing w:after="0" w:line="43" w:lineRule="exact"/>
        <w:rPr>
          <w:rFonts w:ascii="Arial" w:cs="Arial" w:eastAsia="Arial" w:hAnsi="Arial"/>
          <w:sz w:val="17"/>
          <w:szCs w:val="17"/>
          <w:color w:val="auto"/>
        </w:rPr>
      </w:pPr>
    </w:p>
    <w:p>
      <w:pPr>
        <w:ind w:left="980" w:right="200" w:hanging="436"/>
        <w:spacing w:after="0" w:line="28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Vehicle Mileage </w:t>
      </w:r>
      <w:r>
        <w:rPr>
          <w:rFonts w:ascii="Arial" w:cs="Arial" w:eastAsia="Arial" w:hAnsi="Arial"/>
          <w:sz w:val="18"/>
          <w:szCs w:val="18"/>
          <w:color w:val="auto"/>
        </w:rPr>
        <w:t>(required if the distance to the new location is 300 or fewer miles one-way): Reimbursed at Company’s current mileage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rate</w:t>
      </w:r>
    </w:p>
    <w:p>
      <w:pPr>
        <w:spacing w:after="0" w:line="67" w:lineRule="exact"/>
        <w:rPr>
          <w:rFonts w:ascii="Arial" w:cs="Arial" w:eastAsia="Arial" w:hAnsi="Arial"/>
          <w:sz w:val="18"/>
          <w:szCs w:val="18"/>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Meals and Lodging</w:t>
      </w:r>
      <w:r>
        <w:rPr>
          <w:rFonts w:ascii="Arial" w:cs="Arial" w:eastAsia="Arial" w:hAnsi="Arial"/>
          <w:sz w:val="18"/>
          <w:szCs w:val="18"/>
          <w:color w:val="auto"/>
        </w:rPr>
        <w:t>: Reasonable meals and overnight lodging for you and your immediate family members traveling with you</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Your trip must be made by the most direct route; i.e., no vacation, extended trips, personal side trips, or leisure travel will be covered.</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 Termination of Benefits</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Relocation benefits will cease if you resign your employment or are terminated for cause, including for performance. In addition, if you resign your employment or are terminated for cause, including for performance, within the first twenty-four (24) months following your first date of work in this position, you will be required to reimburse the Company for relocation expenses and relocation benefits paid for by the Company under this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6997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www.nninc.com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020"/>
          </w:cols>
          <w:pgMar w:left="440" w:top="270" w:right="4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separated from employment for one of the above reasons within the first twelve (12) months following your first date of work in this position, 100% of the expenses and benefits must be reimbursed to the Company. For the period between twelve (12) and twenty-four (24) months following your first date of work in this position, the required repayment to the Company shall be prorated as follows: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dollar value of benefits / 2) / 12)) * Remaining months in year 2</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 Tax Treatment</w:t>
      </w:r>
    </w:p>
    <w:p>
      <w:pPr>
        <w:spacing w:after="0" w:line="12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IRS requires all relocation expenses, which are reimbursed or paid directly by the company, be reported as income. Certain reimbursements are taxed by the federal and appropriate state taxing authorities and are subject to withholding for the current tax year. The company will “gross up” the amount of tax to meet the expense of income taxes associated with the amount of relocation at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6997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www.nninc.com</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0880"/>
          </w:cols>
          <w:pgMar w:left="440" w:top="274" w:right="5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of Understanding and Relocation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Thomas DeByle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and Acceptance:</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 hereby acknowledge and accept the terms and conditions cited in the foregoing Letter of Understanding and Relocation Agreement. I understand and agree that this Letter of Understanding and Relocation Agreement may be terminated at any time by NN, Inc. or its affiliates. I further understand and agree that, notwithstanding the terms, conditions and benefits of this Letter of Understanding and Relocation Agreement, all employment with NN, Inc. or its affiliates is at will, and for an indefinite duration and there is no guarantee of employment with NN, Inc. or any affiliate thereof.</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Signed: /s/ Thomas DeByle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Printed Name: Thomas DeByle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8/23/19___________________________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6997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www.nninc.com</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0920"/>
          </w:cols>
          <w:pgMar w:left="440" w:top="270" w:right="5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THIS SEPARATION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this ____ day of ___________, 20___,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between NN, Inc., a Delaware Corporation with its principal place of business in Charlotte, North Carolina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5" w:lineRule="exact"/>
        <w:rPr>
          <w:sz w:val="20"/>
          <w:szCs w:val="20"/>
          <w:color w:val="auto"/>
        </w:rPr>
      </w:pPr>
    </w:p>
    <w:p>
      <w:pPr>
        <w:ind w:right="64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will employ the Executive for the success of the Company and recognizes that the Executive will perform key</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functions for the Company; and</w:t>
      </w:r>
    </w:p>
    <w:p>
      <w:pPr>
        <w:spacing w:after="0" w:line="162"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determined that it is in the best interests of the Company to institute a formalized separation arrangement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in the event of a separation of employment;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desires to enter into this Agreement with the Company;</w:t>
      </w:r>
    </w:p>
    <w:p>
      <w:pPr>
        <w:spacing w:after="0" w:line="225" w:lineRule="exact"/>
        <w:rPr>
          <w:sz w:val="20"/>
          <w:szCs w:val="20"/>
          <w:color w:val="auto"/>
        </w:rPr>
      </w:pPr>
    </w:p>
    <w:p>
      <w:pPr>
        <w:ind w:right="200" w:firstLine="441"/>
        <w:spacing w:after="0" w:line="31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of the promises, covenants and mutual agreements set forth below, and other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valuable consideration, the receipt and sufficiency of which are hereby acknowledged, the parties hereby agree as follows:</w:t>
      </w:r>
    </w:p>
    <w:p>
      <w:pPr>
        <w:spacing w:after="0" w:line="48" w:lineRule="exact"/>
        <w:rPr>
          <w:sz w:val="20"/>
          <w:szCs w:val="20"/>
          <w:color w:val="auto"/>
        </w:rPr>
      </w:pPr>
    </w:p>
    <w:p>
      <w:pPr>
        <w:ind w:left="440" w:right="80" w:hanging="436"/>
        <w:spacing w:after="0" w:line="277" w:lineRule="auto"/>
        <w:tabs>
          <w:tab w:leader="none" w:pos="4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Compensation and Benefits in the Event of Separation from Service</w:t>
      </w:r>
      <w:r>
        <w:rPr>
          <w:rFonts w:ascii="Arial" w:cs="Arial" w:eastAsia="Arial" w:hAnsi="Arial"/>
          <w:sz w:val="18"/>
          <w:szCs w:val="18"/>
          <w:color w:val="auto"/>
        </w:rPr>
        <w:t>. In the event of the Executive’s Separation from Service, compensation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shall be paid as set forth below.</w:t>
      </w:r>
    </w:p>
    <w:p>
      <w:pPr>
        <w:spacing w:after="0" w:line="76" w:lineRule="exact"/>
        <w:rPr>
          <w:sz w:val="20"/>
          <w:szCs w:val="20"/>
          <w:color w:val="auto"/>
        </w:rPr>
      </w:pPr>
    </w:p>
    <w:p>
      <w:pPr>
        <w:ind w:left="440" w:right="560" w:hanging="436"/>
        <w:spacing w:after="0" w:line="308"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Qualifying Termination Prior To A Change In Control.</w:t>
      </w:r>
      <w:r>
        <w:rPr>
          <w:rFonts w:ascii="Arial" w:cs="Arial" w:eastAsia="Arial" w:hAnsi="Arial"/>
          <w:sz w:val="17"/>
          <w:szCs w:val="17"/>
          <w:color w:val="auto"/>
        </w:rPr>
        <w:t xml:space="preserve"> If the Executive has a Qualifying Termination after the Effective Date and prior to a Change in Control, then upon such Qualifying Termination the Executive shall be entitled to receive the following:</w:t>
      </w:r>
    </w:p>
    <w:p>
      <w:pPr>
        <w:spacing w:after="0" w:line="51" w:lineRule="exact"/>
        <w:rPr>
          <w:rFonts w:ascii="Arial" w:cs="Arial" w:eastAsia="Arial" w:hAnsi="Arial"/>
          <w:sz w:val="17"/>
          <w:szCs w:val="17"/>
          <w:color w:val="auto"/>
        </w:rPr>
      </w:pPr>
    </w:p>
    <w:p>
      <w:pPr>
        <w:ind w:left="980" w:right="260" w:hanging="54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Executive’s annual salary through the effective date of Separation from Service, at the annual rate in effect at the time the Notice of Termination is given (or death occurs), to the extent unpaid prior to such Separation from Service.</w:t>
      </w:r>
    </w:p>
    <w:p>
      <w:pPr>
        <w:spacing w:after="0" w:line="75" w:lineRule="exact"/>
        <w:rPr>
          <w:rFonts w:ascii="Arial" w:cs="Arial" w:eastAsia="Arial" w:hAnsi="Arial"/>
          <w:sz w:val="18"/>
          <w:szCs w:val="18"/>
          <w:color w:val="auto"/>
        </w:rPr>
      </w:pPr>
    </w:p>
    <w:p>
      <w:pPr>
        <w:jc w:val="both"/>
        <w:ind w:left="980" w:right="140" w:hanging="54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consideration of Executive’s prior service to the Company an amount equal to 18 months of his annual base salary in effect on the date of his Separation from Service. These amounts shall be payable in accordance with the Company’s regular payroll procedures over the 18 month period following the Executive’s Separation from Service.</w:t>
      </w:r>
    </w:p>
    <w:p>
      <w:pPr>
        <w:spacing w:after="0" w:line="86" w:lineRule="exact"/>
        <w:rPr>
          <w:rFonts w:ascii="Arial" w:cs="Arial" w:eastAsia="Arial" w:hAnsi="Arial"/>
          <w:sz w:val="18"/>
          <w:szCs w:val="18"/>
          <w:color w:val="auto"/>
        </w:rPr>
      </w:pPr>
    </w:p>
    <w:p>
      <w:pPr>
        <w:ind w:left="980" w:right="60" w:hanging="544"/>
        <w:spacing w:after="0" w:line="259"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vested rights of Executive in accordance with the Company’s plans, programs or policies. A payment equal to the target annual bonus to which the Executive would have been entitled but for the Qualifying Termination, prorated for the portion of the year during which the Executive was employed by the Company (which bonus will be determined in accordance with the Company’s corporate guidelines and distributed after completion of the Company’s fiscal year end audit).</w:t>
      </w:r>
    </w:p>
    <w:p>
      <w:pPr>
        <w:spacing w:after="0" w:line="92" w:lineRule="exact"/>
        <w:rPr>
          <w:rFonts w:ascii="Arial" w:cs="Arial" w:eastAsia="Arial" w:hAnsi="Arial"/>
          <w:sz w:val="18"/>
          <w:szCs w:val="18"/>
          <w:color w:val="auto"/>
        </w:rPr>
      </w:pPr>
    </w:p>
    <w:p>
      <w:pPr>
        <w:ind w:left="980" w:right="260" w:hanging="54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Prompt reimbursement for any and all reimbursable business expenses (to the extent not already reimbursed) upon Executive’s properly accounting for the same.</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$12,000.00 payable in a single lump sum to assist with the Executive’s transition from employment.</w:t>
      </w:r>
    </w:p>
    <w:p>
      <w:pPr>
        <w:spacing w:after="0" w:line="117" w:lineRule="exact"/>
        <w:rPr>
          <w:sz w:val="20"/>
          <w:szCs w:val="20"/>
          <w:color w:val="auto"/>
        </w:rPr>
      </w:pPr>
    </w:p>
    <w:p>
      <w:pPr>
        <w:jc w:val="both"/>
        <w:ind w:left="440" w:right="480"/>
        <w:spacing w:after="0" w:line="264" w:lineRule="auto"/>
        <w:rPr>
          <w:sz w:val="20"/>
          <w:szCs w:val="20"/>
          <w:color w:val="auto"/>
        </w:rPr>
      </w:pPr>
      <w:r>
        <w:rPr>
          <w:rFonts w:ascii="Arial" w:cs="Arial" w:eastAsia="Arial" w:hAnsi="Arial"/>
          <w:sz w:val="18"/>
          <w:szCs w:val="18"/>
          <w:color w:val="auto"/>
        </w:rPr>
        <w:t>Payments under (ii) and (v) above shall commence or shall be paid within 60 days following the Executive’s receipt of, and signing and not revoking, a general release, upon terms acceptable to the Company and shall be likewise contingent on Executive’s full compliance with the covenants under paragraphs 2, 3, 4, and 6 of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1" w:name="page12"/>
    <w:bookmarkEnd w:id="11"/>
    <w:p>
      <w:pPr>
        <w:ind w:left="440" w:right="280" w:hanging="436"/>
        <w:spacing w:after="0" w:line="286"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By The Company For Cause Or By The Executive Without Good Reason</w:t>
      </w:r>
      <w:r>
        <w:rPr>
          <w:rFonts w:ascii="Arial" w:cs="Arial" w:eastAsia="Arial" w:hAnsi="Arial"/>
          <w:sz w:val="17"/>
          <w:szCs w:val="17"/>
          <w:color w:val="auto"/>
        </w:rPr>
        <w:t>. In the event Executive’s Separation from Service is terminated by: (A) action of the Company for Cause; (B) action of the Executive without Good Reason; or (C) reason of the Executive’s death, Disability or retirement, the following compensation and benefits shall be paid and provided the Executive (or his beneficiary):</w:t>
      </w:r>
    </w:p>
    <w:p>
      <w:pPr>
        <w:spacing w:after="0" w:line="70" w:lineRule="exact"/>
        <w:rPr>
          <w:rFonts w:ascii="Arial" w:cs="Arial" w:eastAsia="Arial" w:hAnsi="Arial"/>
          <w:sz w:val="17"/>
          <w:szCs w:val="17"/>
          <w:color w:val="auto"/>
        </w:rPr>
      </w:pPr>
    </w:p>
    <w:p>
      <w:pPr>
        <w:ind w:left="980" w:right="280" w:hanging="54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Executive’s annual salary provided through the effective date of Separation from Service, at the annual rate in effect at the time the Notice of Termination is given (or death occurs), to the extent unpaid prior to such Separation from Service.</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vested rights of Executive in accordance with the Company’s plans, programs or policies.</w:t>
      </w:r>
    </w:p>
    <w:p>
      <w:pPr>
        <w:spacing w:after="0" w:line="130" w:lineRule="exact"/>
        <w:rPr>
          <w:rFonts w:ascii="Arial" w:cs="Arial" w:eastAsia="Arial" w:hAnsi="Arial"/>
          <w:sz w:val="18"/>
          <w:szCs w:val="18"/>
          <w:color w:val="auto"/>
        </w:rPr>
      </w:pPr>
    </w:p>
    <w:p>
      <w:pPr>
        <w:ind w:left="980" w:right="260" w:hanging="54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Prompt reimbursement for any and all reimbursable business expenses (to the extent not already reimbursed) upon Executive’s properly accounting for the same.</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Qualifying Termination Following a Change in Control.</w:t>
      </w:r>
    </w:p>
    <w:p>
      <w:pPr>
        <w:spacing w:after="0" w:line="130" w:lineRule="exact"/>
        <w:rPr>
          <w:rFonts w:ascii="Arial" w:cs="Arial" w:eastAsia="Arial" w:hAnsi="Arial"/>
          <w:sz w:val="18"/>
          <w:szCs w:val="18"/>
          <w:color w:val="auto"/>
        </w:rPr>
      </w:pPr>
    </w:p>
    <w:p>
      <w:pPr>
        <w:ind w:left="980" w:right="380" w:hanging="54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the event that Executive has a Qualifying Termination within 24 months following a Change in Control, Executive shall receive the following, subject to paragraph 1(c)(ii):</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annual salary due to the Executive through the date of his Separation from Service.</w:t>
      </w:r>
    </w:p>
    <w:p>
      <w:pPr>
        <w:spacing w:after="0" w:line="130" w:lineRule="exact"/>
        <w:rPr>
          <w:rFonts w:ascii="Arial" w:cs="Arial" w:eastAsia="Arial" w:hAnsi="Arial"/>
          <w:sz w:val="18"/>
          <w:szCs w:val="18"/>
          <w:color w:val="auto"/>
        </w:rPr>
      </w:pPr>
    </w:p>
    <w:p>
      <w:pPr>
        <w:ind w:left="1420" w:right="120" w:hanging="430"/>
        <w:spacing w:after="0" w:line="264" w:lineRule="auto"/>
        <w:tabs>
          <w:tab w:leader="none" w:pos="1420" w:val="left"/>
        </w:tabs>
        <w:numPr>
          <w:ilvl w:val="2"/>
          <w:numId w:val="7"/>
        </w:numPr>
        <w:rPr>
          <w:rFonts w:ascii="Arial" w:cs="Arial" w:eastAsia="Arial" w:hAnsi="Arial"/>
          <w:sz w:val="18"/>
          <w:szCs w:val="18"/>
          <w:color w:val="auto"/>
        </w:rPr>
      </w:pPr>
      <w:r>
        <w:rPr>
          <w:rFonts w:ascii="Arial" w:cs="Arial" w:eastAsia="Arial" w:hAnsi="Arial"/>
          <w:sz w:val="18"/>
          <w:szCs w:val="18"/>
          <w:color w:val="auto"/>
        </w:rPr>
        <w:t xml:space="preserve">A lump sum payment equal to an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(the “</w:t>
      </w:r>
      <w:r>
        <w:rPr>
          <w:rFonts w:ascii="Arial" w:cs="Arial" w:eastAsia="Arial" w:hAnsi="Arial"/>
          <w:sz w:val="18"/>
          <w:szCs w:val="18"/>
          <w:u w:val="single" w:color="auto"/>
          <w:color w:val="auto"/>
        </w:rPr>
        <w:t>Severance Payment</w:t>
      </w:r>
      <w:r>
        <w:rPr>
          <w:rFonts w:ascii="Arial" w:cs="Arial" w:eastAsia="Arial" w:hAnsi="Arial"/>
          <w:sz w:val="18"/>
          <w:szCs w:val="18"/>
          <w:color w:val="auto"/>
        </w:rPr>
        <w:t>”). The Severance Payment shall be made by wire transfer or immediately available funds to an account designated by Executive following the date of the Separation from Service.</w:t>
      </w:r>
    </w:p>
    <w:p>
      <w:pPr>
        <w:spacing w:after="0" w:line="86" w:lineRule="exact"/>
        <w:rPr>
          <w:rFonts w:ascii="Arial" w:cs="Arial" w:eastAsia="Arial" w:hAnsi="Arial"/>
          <w:sz w:val="18"/>
          <w:szCs w:val="18"/>
          <w:color w:val="auto"/>
        </w:rPr>
      </w:pPr>
    </w:p>
    <w:p>
      <w:pPr>
        <w:ind w:left="1420" w:hanging="430"/>
        <w:spacing w:after="0" w:line="264" w:lineRule="auto"/>
        <w:tabs>
          <w:tab w:leader="none" w:pos="1420" w:val="left"/>
        </w:tabs>
        <w:numPr>
          <w:ilvl w:val="2"/>
          <w:numId w:val="7"/>
        </w:numPr>
        <w:rPr>
          <w:rFonts w:ascii="Arial" w:cs="Arial" w:eastAsia="Arial" w:hAnsi="Arial"/>
          <w:sz w:val="18"/>
          <w:szCs w:val="18"/>
          <w:color w:val="auto"/>
        </w:rPr>
      </w:pPr>
      <w:r>
        <w:rPr>
          <w:rFonts w:ascii="Arial" w:cs="Arial" w:eastAsia="Arial" w:hAnsi="Arial"/>
          <w:sz w:val="18"/>
          <w:szCs w:val="18"/>
          <w:color w:val="auto"/>
        </w:rPr>
        <w:t>A payment equal to the target annual bonus to which Executive would have been entitled but for Executive’s Separation from Service, for the year of Executive’s termination; pro-rated for the portion of the year during which he was employed by the Company (“</w:t>
      </w:r>
      <w:r>
        <w:rPr>
          <w:rFonts w:ascii="Arial" w:cs="Arial" w:eastAsia="Arial" w:hAnsi="Arial"/>
          <w:sz w:val="18"/>
          <w:szCs w:val="18"/>
          <w:u w:val="single" w:color="auto"/>
          <w:color w:val="auto"/>
        </w:rPr>
        <w:t>Pro-rated Bonus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420" w:hanging="430"/>
        <w:spacing w:after="0"/>
        <w:tabs>
          <w:tab w:leader="none" w:pos="1420"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vested rights of Executive in accordance with the Company’s plans, programs or policies.</w:t>
      </w:r>
    </w:p>
    <w:p>
      <w:pPr>
        <w:spacing w:after="0" w:line="130" w:lineRule="exact"/>
        <w:rPr>
          <w:rFonts w:ascii="Arial" w:cs="Arial" w:eastAsia="Arial" w:hAnsi="Arial"/>
          <w:sz w:val="18"/>
          <w:szCs w:val="18"/>
          <w:color w:val="auto"/>
        </w:rPr>
      </w:pPr>
    </w:p>
    <w:p>
      <w:pPr>
        <w:ind w:left="1420" w:right="480" w:hanging="430"/>
        <w:spacing w:after="0" w:line="277" w:lineRule="auto"/>
        <w:tabs>
          <w:tab w:leader="none" w:pos="1420" w:val="left"/>
        </w:tabs>
        <w:numPr>
          <w:ilvl w:val="2"/>
          <w:numId w:val="7"/>
        </w:numPr>
        <w:rPr>
          <w:rFonts w:ascii="Arial" w:cs="Arial" w:eastAsia="Arial" w:hAnsi="Arial"/>
          <w:sz w:val="18"/>
          <w:szCs w:val="18"/>
          <w:color w:val="auto"/>
        </w:rPr>
      </w:pPr>
      <w:r>
        <w:rPr>
          <w:rFonts w:ascii="Arial" w:cs="Arial" w:eastAsia="Arial" w:hAnsi="Arial"/>
          <w:sz w:val="18"/>
          <w:szCs w:val="18"/>
          <w:color w:val="auto"/>
        </w:rPr>
        <w:t>Prompt reimbursement for any and all reimbursable business expenses (to the extent not already reimbursed) upon Executive’s properly accounting for the same.</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2"/>
          <w:numId w:val="7"/>
        </w:numPr>
        <w:rPr>
          <w:rFonts w:ascii="Arial" w:cs="Arial" w:eastAsia="Arial" w:hAnsi="Arial"/>
          <w:sz w:val="18"/>
          <w:szCs w:val="18"/>
          <w:color w:val="auto"/>
        </w:rPr>
      </w:pPr>
      <w:r>
        <w:rPr>
          <w:rFonts w:ascii="Arial" w:cs="Arial" w:eastAsia="Arial" w:hAnsi="Arial"/>
          <w:sz w:val="18"/>
          <w:szCs w:val="18"/>
          <w:color w:val="auto"/>
        </w:rPr>
        <w:t>$12,000.00 payable in a single lump sum to assist with the Executive’s transition from employment.</w:t>
      </w:r>
    </w:p>
    <w:p>
      <w:pPr>
        <w:spacing w:after="0" w:line="117" w:lineRule="exact"/>
        <w:rPr>
          <w:sz w:val="20"/>
          <w:szCs w:val="20"/>
          <w:color w:val="auto"/>
        </w:rPr>
      </w:pPr>
    </w:p>
    <w:p>
      <w:pPr>
        <w:ind w:left="1000" w:right="260"/>
        <w:spacing w:after="0" w:line="264" w:lineRule="auto"/>
        <w:rPr>
          <w:sz w:val="20"/>
          <w:szCs w:val="20"/>
          <w:color w:val="auto"/>
        </w:rPr>
      </w:pPr>
      <w:r>
        <w:rPr>
          <w:rFonts w:ascii="Arial" w:cs="Arial" w:eastAsia="Arial" w:hAnsi="Arial"/>
          <w:sz w:val="18"/>
          <w:szCs w:val="18"/>
          <w:color w:val="auto"/>
        </w:rPr>
        <w:t>Payments under (2), (3) and (6) above shall commence or shall be paid within 60 days following the Executive’s receipt of, and signing and not revoking, a general release, upon terms acceptable to the Company and shall be likewise contingent on Executive’s full compliance with the covenants under paragraphs 2, 3, 4, and 6 of this Agreement.</w:t>
      </w:r>
    </w:p>
    <w:p>
      <w:pPr>
        <w:spacing w:after="0" w:line="87" w:lineRule="exact"/>
        <w:rPr>
          <w:sz w:val="20"/>
          <w:szCs w:val="20"/>
          <w:color w:val="auto"/>
        </w:rPr>
      </w:pPr>
    </w:p>
    <w:p>
      <w:pPr>
        <w:ind w:left="980" w:hanging="54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Excise Tax.</w:t>
      </w:r>
    </w:p>
    <w:p>
      <w:pPr>
        <w:spacing w:after="0" w:line="130" w:lineRule="exact"/>
        <w:rPr>
          <w:rFonts w:ascii="Arial" w:cs="Arial" w:eastAsia="Arial" w:hAnsi="Arial"/>
          <w:sz w:val="18"/>
          <w:szCs w:val="18"/>
          <w:color w:val="auto"/>
        </w:rPr>
      </w:pPr>
    </w:p>
    <w:p>
      <w:pPr>
        <w:ind w:left="1420" w:right="60" w:hanging="430"/>
        <w:spacing w:after="0" w:line="255" w:lineRule="auto"/>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it is determined that any payment or distribution in the nature of compensation (within the meaning of Section 280G(b)(2) of the Code) to or for the benefit of the Executive, whether paid or payable or distributed or distributable pursuant to the terms of this Agreement or otherwise (the “</w:t>
      </w:r>
      <w:r>
        <w:rPr>
          <w:rFonts w:ascii="Arial" w:cs="Arial" w:eastAsia="Arial" w:hAnsi="Arial"/>
          <w:sz w:val="18"/>
          <w:szCs w:val="18"/>
          <w:u w:val="single" w:color="auto"/>
          <w:color w:val="auto"/>
        </w:rPr>
        <w:t>Change in Control Payment</w:t>
      </w:r>
      <w:r>
        <w:rPr>
          <w:rFonts w:ascii="Arial" w:cs="Arial" w:eastAsia="Arial" w:hAnsi="Arial"/>
          <w:sz w:val="18"/>
          <w:szCs w:val="18"/>
          <w:color w:val="auto"/>
        </w:rPr>
        <w:t>”), would constitute an “excess parachute payment” within the meaning of Section 280G of the Code, then the Company shall pay to the Executive whichever of the following gives the Executive the highest net after-tax amount (after taking into account all applicable federal, state, local and social security taxes): (i) the Change in Control Payment, or (ii) the amount that would not result in the imposition of excise tax on the Executive under Section 4999 of the Code. Any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2" w:name="page13"/>
    <w:bookmarkEnd w:id="12"/>
    <w:p>
      <w:pPr>
        <w:jc w:val="both"/>
        <w:ind w:left="1436"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reduction in the Change in Control Payment pursuant to the foregoing shall be accomplished solely by reducing the amount of severance payment payable pursuant to paragraph 1(c)(i)(1) of this Agreement and then, to the extent necessary, paragraph 1(c)(i)</w:t>
      </w:r>
    </w:p>
    <w:p>
      <w:pPr>
        <w:ind w:left="1696" w:hanging="265"/>
        <w:spacing w:after="0"/>
        <w:tabs>
          <w:tab w:leader="none" w:pos="1696" w:val="left"/>
        </w:tabs>
        <w:numPr>
          <w:ilvl w:val="3"/>
          <w:numId w:val="9"/>
        </w:numPr>
        <w:rPr>
          <w:rFonts w:ascii="Arial" w:cs="Arial" w:eastAsia="Arial" w:hAnsi="Arial"/>
          <w:sz w:val="18"/>
          <w:szCs w:val="18"/>
          <w:color w:val="auto"/>
        </w:rPr>
      </w:pPr>
      <w:r>
        <w:rPr>
          <w:rFonts w:ascii="Arial" w:cs="Arial" w:eastAsia="Arial" w:hAnsi="Arial"/>
          <w:sz w:val="18"/>
          <w:szCs w:val="18"/>
          <w:color w:val="auto"/>
        </w:rPr>
        <w:t>of this Agreement.</w:t>
      </w:r>
    </w:p>
    <w:p>
      <w:pPr>
        <w:spacing w:after="0" w:line="116" w:lineRule="exact"/>
        <w:rPr>
          <w:rFonts w:ascii="Arial" w:cs="Arial" w:eastAsia="Arial" w:hAnsi="Arial"/>
          <w:sz w:val="18"/>
          <w:szCs w:val="18"/>
          <w:color w:val="auto"/>
        </w:rPr>
      </w:pPr>
    </w:p>
    <w:p>
      <w:pPr>
        <w:ind w:left="1416" w:right="120" w:hanging="430"/>
        <w:spacing w:after="0" w:line="297" w:lineRule="auto"/>
        <w:tabs>
          <w:tab w:leader="none" w:pos="1416" w:val="left"/>
        </w:tabs>
        <w:numPr>
          <w:ilvl w:val="2"/>
          <w:numId w:val="10"/>
        </w:numPr>
        <w:rPr>
          <w:rFonts w:ascii="Arial" w:cs="Arial" w:eastAsia="Arial" w:hAnsi="Arial"/>
          <w:sz w:val="16"/>
          <w:szCs w:val="16"/>
          <w:color w:val="auto"/>
        </w:rPr>
      </w:pPr>
      <w:r>
        <w:rPr>
          <w:rFonts w:ascii="Arial" w:cs="Arial" w:eastAsia="Arial" w:hAnsi="Arial"/>
          <w:sz w:val="16"/>
          <w:szCs w:val="16"/>
          <w:color w:val="auto"/>
        </w:rPr>
        <w:t>All determinations to be made under this paragraph 1(c)(ii) shall be made by an independent public accounting firm selected by the Company immediately prior to the Change in Control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which shall provide its determinations and any supporting calculations both to the Company and the Executive within ten (10) days of the Change in Control. Any such determination by the Accounting Firm shall be binding upon the Company and the Executive. All of the fees and expenses of the Accounting Firm in performing the determinations referred to in this paragraph 1(c)(iii) shall be borne solely by the Company.</w:t>
      </w:r>
    </w:p>
    <w:p>
      <w:pPr>
        <w:spacing w:after="0" w:line="63" w:lineRule="exact"/>
        <w:rPr>
          <w:rFonts w:ascii="Arial" w:cs="Arial" w:eastAsia="Arial" w:hAnsi="Arial"/>
          <w:sz w:val="16"/>
          <w:szCs w:val="16"/>
          <w:color w:val="auto"/>
        </w:rPr>
      </w:pPr>
    </w:p>
    <w:p>
      <w:pPr>
        <w:ind w:left="976" w:right="80" w:hanging="544"/>
        <w:spacing w:after="0" w:line="264" w:lineRule="auto"/>
        <w:tabs>
          <w:tab w:leader="none" w:pos="976"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Continuation of Benefits.</w:t>
      </w:r>
      <w:r>
        <w:rPr>
          <w:rFonts w:ascii="Arial" w:cs="Arial" w:eastAsia="Arial" w:hAnsi="Arial"/>
          <w:sz w:val="18"/>
          <w:szCs w:val="18"/>
          <w:color w:val="auto"/>
        </w:rPr>
        <w:t xml:space="preserve"> Following Executive’s Separation from Service, the Executive shall have the right to continue in the Company’s group health insurance plan or other Company benefit program, at his or her own cost and without any contribution by the Company, as may be required by COBRA or any other federal or state law or regulation.</w:t>
      </w:r>
    </w:p>
    <w:p>
      <w:pPr>
        <w:spacing w:after="0" w:line="86" w:lineRule="exact"/>
        <w:rPr>
          <w:rFonts w:ascii="Arial" w:cs="Arial" w:eastAsia="Arial" w:hAnsi="Arial"/>
          <w:sz w:val="18"/>
          <w:szCs w:val="18"/>
          <w:color w:val="auto"/>
        </w:rPr>
      </w:pPr>
    </w:p>
    <w:p>
      <w:pPr>
        <w:ind w:left="976" w:right="80" w:hanging="544"/>
        <w:spacing w:after="0" w:line="257" w:lineRule="auto"/>
        <w:tabs>
          <w:tab w:leader="none" w:pos="976"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Limit on Company Liability.</w:t>
      </w:r>
      <w:r>
        <w:rPr>
          <w:rFonts w:ascii="Arial" w:cs="Arial" w:eastAsia="Arial" w:hAnsi="Arial"/>
          <w:sz w:val="18"/>
          <w:szCs w:val="18"/>
          <w:color w:val="auto"/>
        </w:rPr>
        <w:t xml:space="preserve"> Except as expressly set forth in this paragraph 1, the Company shall have no obligation to Executive under this Agreement following Executive’s Separation from Service. Without limiting the generality of the provision of the foregoing sentence, the Company shall not, following Executive’s Separation from Service, have any obligation to provide any further benefit to Executive under this Agreement or make any further contribution for Executive’s benefit under this Agreement except as provided in this paragraph 1.</w:t>
      </w:r>
    </w:p>
    <w:p>
      <w:pPr>
        <w:spacing w:after="0" w:line="93" w:lineRule="exact"/>
        <w:rPr>
          <w:rFonts w:ascii="Arial" w:cs="Arial" w:eastAsia="Arial" w:hAnsi="Arial"/>
          <w:sz w:val="18"/>
          <w:szCs w:val="18"/>
          <w:color w:val="auto"/>
        </w:rPr>
      </w:pPr>
    </w:p>
    <w:p>
      <w:pPr>
        <w:ind w:left="436" w:hanging="436"/>
        <w:spacing w:after="0" w:line="285" w:lineRule="auto"/>
        <w:tabs>
          <w:tab w:leader="none" w:pos="436" w:val="left"/>
        </w:tabs>
        <w:numPr>
          <w:ilvl w:val="0"/>
          <w:numId w:val="1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Disclosure of Confidential Information</w:t>
      </w:r>
      <w:r>
        <w:rPr>
          <w:rFonts w:ascii="Arial" w:cs="Arial" w:eastAsia="Arial" w:hAnsi="Arial"/>
          <w:sz w:val="16"/>
          <w:szCs w:val="16"/>
          <w:color w:val="auto"/>
        </w:rPr>
        <w:t>. The Company has developed confidential information, strategies and programs, which include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provided that the term “Confidential Information” shall not include (i) any such information that, prior to its use or disclosure by Executive, can be shown to have been in the public domain or generally known or available to customers, suppliers or competitors of the Company through no breach of the provisions of this Agreement or other non-disclosure covenants; (ii) any such information that, prior to its disclosure by the Executive, was rightfully in the receiving third party’s possession, without violation of the provisions of this Agreement or other non-disclosure covenants; and (iii) any such information that, prior to its disclosure by the Executive, was independently developed by the receiving third party without violation of the provisions of this Agreement or other non-disclosure covenants. In performing duties for the Company, Executive regularly will be exposed to and work with Confidential Information of the Company. Executive may also be exposed to and work with Confidential Information of the Company’s affiliates and subsidiaries. Executive acknowledges that Confidential Information of the Company and its affiliates and subsidiaries is critical to the Company’s success and that the Company and its affiliates and subsidiaries have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w:t>
      </w:r>
    </w:p>
    <w:p>
      <w:pPr>
        <w:spacing w:after="0" w:line="10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96"/>
          </w:cols>
          <w:pgMar w:left="444" w:top="274" w:right="459" w:bottom="1440" w:gutter="0" w:footer="0" w:header="0"/>
        </w:sectPr>
      </w:pPr>
    </w:p>
    <w:bookmarkStart w:id="13" w:name="page14"/>
    <w:bookmarkEnd w:id="13"/>
    <w:p>
      <w:pPr>
        <w:ind w:left="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Confidential Information of Company, its affiliates, and/or its subsidiaries unless specifically directed by the Company to do so in writing, provided that nothing herein shall prohibit the Executive from disclosing Confidential Information as required by law or pursuant to legal process. Executive agrees that whenever Executive’s employment with the Company ends for any reason, all documents containing or referring to Confidential Information of the Company, its affiliates, and/or its subsidiaries that may be in Executive’s possession or control will be delivered by Executive to the Company promptly upon the Company’s request.</w:t>
      </w:r>
    </w:p>
    <w:p>
      <w:pPr>
        <w:spacing w:after="0" w:line="94" w:lineRule="exact"/>
        <w:rPr>
          <w:sz w:val="20"/>
          <w:szCs w:val="20"/>
          <w:color w:val="auto"/>
        </w:rPr>
      </w:pPr>
    </w:p>
    <w:p>
      <w:pPr>
        <w:ind w:left="440" w:right="40" w:hanging="436"/>
        <w:spacing w:after="0" w:line="255" w:lineRule="auto"/>
        <w:tabs>
          <w:tab w:leader="none" w:pos="44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Non-Interference with Personnel Relations</w:t>
      </w:r>
      <w:r>
        <w:rPr>
          <w:rFonts w:ascii="Arial" w:cs="Arial" w:eastAsia="Arial" w:hAnsi="Arial"/>
          <w:sz w:val="18"/>
          <w:szCs w:val="18"/>
          <w:color w:val="auto"/>
        </w:rPr>
        <w:t>. At any time while Executive is employed by the Company and at any time during the Restrictive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Executive acting either directly or indirectly, or through any other person, firm, or corporation, will not then, at such time, hire, contract with or employ any then employee of the Company, and/or any then employee of an affiliate or subsidiary of the Company with which Executive interacted or about which Executive gained Confidential Information during his employment with Company (“</w:t>
      </w:r>
      <w:r>
        <w:rPr>
          <w:rFonts w:ascii="Arial" w:cs="Arial" w:eastAsia="Arial" w:hAnsi="Arial"/>
          <w:sz w:val="18"/>
          <w:szCs w:val="18"/>
          <w:u w:val="single" w:color="auto"/>
          <w:color w:val="auto"/>
        </w:rPr>
        <w:t>Restricted Employees</w:t>
      </w:r>
      <w:r>
        <w:rPr>
          <w:rFonts w:ascii="Arial" w:cs="Arial" w:eastAsia="Arial" w:hAnsi="Arial"/>
          <w:sz w:val="18"/>
          <w:szCs w:val="18"/>
          <w:color w:val="auto"/>
        </w:rPr>
        <w:t>”). Further, Executive will not induce or attempt to induce or influence any of the Restricted Employees to terminate employment with the Company, affiliate, and/or subsidiary.</w:t>
      </w:r>
    </w:p>
    <w:p>
      <w:pPr>
        <w:spacing w:after="0" w:line="98" w:lineRule="exact"/>
        <w:rPr>
          <w:rFonts w:ascii="Arial" w:cs="Arial" w:eastAsia="Arial" w:hAnsi="Arial"/>
          <w:sz w:val="18"/>
          <w:szCs w:val="18"/>
          <w:b w:val="1"/>
          <w:bCs w:val="1"/>
          <w:i w:val="1"/>
          <w:iCs w:val="1"/>
          <w:color w:val="auto"/>
        </w:rPr>
      </w:pPr>
    </w:p>
    <w:p>
      <w:pPr>
        <w:ind w:left="440" w:hanging="436"/>
        <w:spacing w:after="0" w:line="287" w:lineRule="auto"/>
        <w:tabs>
          <w:tab w:leader="none" w:pos="44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Non-Competition</w:t>
      </w:r>
      <w:r>
        <w:rPr>
          <w:rFonts w:ascii="Arial" w:cs="Arial" w:eastAsia="Arial" w:hAnsi="Arial"/>
          <w:sz w:val="16"/>
          <w:szCs w:val="16"/>
          <w:color w:val="auto"/>
        </w:rPr>
        <w:t>. While Executive is employed by the Company and for the Restrictive Period, Executive will not, directly or indirectly,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any other person, firm or corporation (i) be employed by, consult for, have any ownership interest in or engage in any activity on behalf of any company that engages in a Competing Business, as defined below, or (ii) call on, solicit or communicate with any of the Company’s customers or suppliers for any purpose related to a Competing Business, as defined below. A “</w:t>
      </w:r>
      <w:r>
        <w:rPr>
          <w:rFonts w:ascii="Arial" w:cs="Arial" w:eastAsia="Arial" w:hAnsi="Arial"/>
          <w:sz w:val="16"/>
          <w:szCs w:val="16"/>
          <w:u w:val="single" w:color="auto"/>
          <w:color w:val="auto"/>
        </w:rPr>
        <w:t>Competing Business</w:t>
      </w:r>
      <w:r>
        <w:rPr>
          <w:rFonts w:ascii="Arial" w:cs="Arial" w:eastAsia="Arial" w:hAnsi="Arial"/>
          <w:sz w:val="16"/>
          <w:szCs w:val="16"/>
          <w:color w:val="auto"/>
        </w:rPr>
        <w:t>” is one that engages in the production, sale, or marketing of a product or service that is substantially similar to, or serves the same purpose as, any product or service produced, sold or marketed by the Company or any parent, subsidiary or affiliate of the Company with which Executive interacted or about which Executive gained Confidential Information during his employment with the Company. The term “customer” or “supplier” means any customer or supplier (whether actual or potential) with whom Executive or any other employee of the Company or any parent, subsidiary or affiliate of the Company had business contact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national securities exchange or over-the-counter.</w:t>
      </w:r>
    </w:p>
    <w:p>
      <w:pPr>
        <w:spacing w:after="0" w:line="78" w:lineRule="exact"/>
        <w:rPr>
          <w:rFonts w:ascii="Arial" w:cs="Arial" w:eastAsia="Arial" w:hAnsi="Arial"/>
          <w:sz w:val="16"/>
          <w:szCs w:val="16"/>
          <w:b w:val="1"/>
          <w:bCs w:val="1"/>
          <w:i w:val="1"/>
          <w:iCs w:val="1"/>
          <w:color w:val="auto"/>
        </w:rPr>
      </w:pPr>
    </w:p>
    <w:p>
      <w:pPr>
        <w:ind w:left="440" w:right="160" w:hanging="436"/>
        <w:spacing w:after="0" w:line="264" w:lineRule="auto"/>
        <w:tabs>
          <w:tab w:leader="none" w:pos="44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Notification to Subsequent Employers</w:t>
      </w:r>
      <w:r>
        <w:rPr>
          <w:rFonts w:ascii="Arial" w:cs="Arial" w:eastAsia="Arial" w:hAnsi="Arial"/>
          <w:sz w:val="18"/>
          <w:szCs w:val="18"/>
          <w:color w:val="auto"/>
        </w:rPr>
        <w:t>. Executive grants the Company the right to notify any future employer or prospective employer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concerning the existence of and terms of this Agreement and grants the Company the right to provide a copy of this Agreement to any such subsequent employer or prospective employer.</w:t>
      </w:r>
    </w:p>
    <w:p>
      <w:pPr>
        <w:spacing w:after="0" w:line="86" w:lineRule="exact"/>
        <w:rPr>
          <w:rFonts w:ascii="Arial" w:cs="Arial" w:eastAsia="Arial" w:hAnsi="Arial"/>
          <w:sz w:val="18"/>
          <w:szCs w:val="18"/>
          <w:b w:val="1"/>
          <w:bCs w:val="1"/>
          <w:i w:val="1"/>
          <w:iCs w:val="1"/>
          <w:color w:val="auto"/>
        </w:rPr>
      </w:pPr>
    </w:p>
    <w:p>
      <w:pPr>
        <w:ind w:left="440" w:hanging="436"/>
        <w:spacing w:after="0"/>
        <w:tabs>
          <w:tab w:leader="none" w:pos="44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Company Proprietary Rights</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i w:val="1"/>
          <w:iCs w:val="1"/>
          <w:color w:val="auto"/>
        </w:rPr>
      </w:pPr>
    </w:p>
    <w:p>
      <w:pPr>
        <w:ind w:left="980" w:right="100" w:hanging="544"/>
        <w:spacing w:after="0" w:line="255"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Company to Retain Rights.</w:t>
      </w:r>
      <w:r>
        <w:rPr>
          <w:rFonts w:ascii="Arial" w:cs="Arial" w:eastAsia="Arial" w:hAnsi="Arial"/>
          <w:sz w:val="18"/>
          <w:szCs w:val="18"/>
          <w:color w:val="auto"/>
        </w:rPr>
        <w:t xml:space="preserve">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and/or any parent, subsidiary or affiliate of the Company (collectively, “</w:t>
      </w:r>
      <w:r>
        <w:rPr>
          <w:rFonts w:ascii="Arial" w:cs="Arial" w:eastAsia="Arial" w:hAnsi="Arial"/>
          <w:sz w:val="18"/>
          <w:szCs w:val="18"/>
          <w:u w:val="single" w:color="auto"/>
          <w:color w:val="auto"/>
        </w:rPr>
        <w:t>Company Intellectual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w:t>
      </w:r>
      <w:r>
        <w:rPr>
          <w:rFonts w:ascii="Arial" w:cs="Arial" w:eastAsia="Arial" w:hAnsi="Arial"/>
          <w:sz w:val="18"/>
          <w:szCs w:val="18"/>
          <w:color w:val="auto"/>
        </w:rPr>
        <w:t>”) shall become and remain the exclusive property of the Company and/or such parent, subsidiary or affiliate, and Executive shall have no interest therein.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4" w:name="page15"/>
    <w:bookmarkEnd w:id="14"/>
    <w:p>
      <w:pPr>
        <w:ind w:left="980" w:right="320" w:hanging="544"/>
        <w:spacing w:after="0" w:line="259"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Assurances.</w:t>
      </w:r>
      <w:r>
        <w:rPr>
          <w:rFonts w:ascii="Arial" w:cs="Arial" w:eastAsia="Arial" w:hAnsi="Arial"/>
          <w:sz w:val="18"/>
          <w:szCs w:val="18"/>
          <w:color w:val="auto"/>
        </w:rPr>
        <w:t xml:space="preserve">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92" w:lineRule="exact"/>
        <w:rPr>
          <w:rFonts w:ascii="Arial" w:cs="Arial" w:eastAsia="Arial" w:hAnsi="Arial"/>
          <w:sz w:val="18"/>
          <w:szCs w:val="18"/>
          <w:color w:val="auto"/>
        </w:rPr>
      </w:pPr>
    </w:p>
    <w:p>
      <w:pPr>
        <w:ind w:left="980" w:right="220" w:hanging="544"/>
        <w:spacing w:after="0" w:line="286"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Return of Material.</w:t>
      </w:r>
      <w:r>
        <w:rPr>
          <w:rFonts w:ascii="Arial" w:cs="Arial" w:eastAsia="Arial" w:hAnsi="Arial"/>
          <w:sz w:val="17"/>
          <w:szCs w:val="17"/>
          <w:color w:val="auto"/>
        </w:rPr>
        <w:t xml:space="preserve"> Upon the termination of the Executive’s employment under this Agreement at the Company’s written request, the Executive will promptly return to the Company all copies of information protected by paragraph 6(a) hereof which are in his possession, custody or control, whether prepared by him or others, and the Executive agrees that he shall not retain any of same.</w:t>
      </w:r>
    </w:p>
    <w:p>
      <w:pPr>
        <w:spacing w:after="0" w:line="70" w:lineRule="exact"/>
        <w:rPr>
          <w:rFonts w:ascii="Arial" w:cs="Arial" w:eastAsia="Arial" w:hAnsi="Arial"/>
          <w:sz w:val="17"/>
          <w:szCs w:val="17"/>
          <w:color w:val="auto"/>
        </w:rPr>
      </w:pPr>
    </w:p>
    <w:p>
      <w:pPr>
        <w:ind w:left="440" w:right="40" w:hanging="436"/>
        <w:spacing w:after="0" w:line="257" w:lineRule="auto"/>
        <w:tabs>
          <w:tab w:leader="none" w:pos="44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Withholding</w:t>
      </w:r>
      <w:r>
        <w:rPr>
          <w:rFonts w:ascii="Arial" w:cs="Arial" w:eastAsia="Arial" w:hAnsi="Arial"/>
          <w:sz w:val="18"/>
          <w:szCs w:val="18"/>
          <w:color w:val="auto"/>
        </w:rPr>
        <w:t>. Any provision of this Agreement to the contrary notwithstanding, all payments made by the Company hereunder to the Executive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93" w:lineRule="exact"/>
        <w:rPr>
          <w:rFonts w:ascii="Arial" w:cs="Arial" w:eastAsia="Arial" w:hAnsi="Arial"/>
          <w:sz w:val="18"/>
          <w:szCs w:val="18"/>
          <w:b w:val="1"/>
          <w:bCs w:val="1"/>
          <w:i w:val="1"/>
          <w:iCs w:val="1"/>
          <w:color w:val="auto"/>
        </w:rPr>
      </w:pPr>
    </w:p>
    <w:p>
      <w:pPr>
        <w:ind w:left="440" w:hanging="436"/>
        <w:spacing w:after="0" w:line="276" w:lineRule="auto"/>
        <w:tabs>
          <w:tab w:leader="none" w:pos="440" w:val="left"/>
        </w:tabs>
        <w:numPr>
          <w:ilvl w:val="0"/>
          <w:numId w:val="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Mitigation</w:t>
      </w:r>
      <w:r>
        <w:rPr>
          <w:rFonts w:ascii="Arial" w:cs="Arial" w:eastAsia="Arial" w:hAnsi="Arial"/>
          <w:sz w:val="17"/>
          <w:szCs w:val="17"/>
          <w:color w:val="auto"/>
        </w:rPr>
        <w:t>. Except as otherwise noted herein, Company’s obligation to make the payments provided for in this Agreement and otherwise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 its obligations hereunder shall not be subject to set off for any reason and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77" w:lineRule="exact"/>
        <w:rPr>
          <w:rFonts w:ascii="Arial" w:cs="Arial" w:eastAsia="Arial" w:hAnsi="Arial"/>
          <w:sz w:val="17"/>
          <w:szCs w:val="17"/>
          <w:b w:val="1"/>
          <w:bCs w:val="1"/>
          <w:i w:val="1"/>
          <w:iCs w:val="1"/>
          <w:color w:val="auto"/>
        </w:rPr>
      </w:pPr>
    </w:p>
    <w:p>
      <w:pPr>
        <w:ind w:left="440" w:right="40" w:hanging="436"/>
        <w:spacing w:after="0" w:line="264" w:lineRule="auto"/>
        <w:tabs>
          <w:tab w:leader="none" w:pos="44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notices, requests, demands and other communications provided for by this Agreement shall be in writing and shall be sufficiently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given if and when mailed in the continental United States by registered or certified mail, or personally delivered to the party entitled thereto, at the address stated below or to such changed address as the addressee may have given by a similar notice:</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To the Company:</w:t>
            </w:r>
          </w:p>
        </w:tc>
        <w:tc>
          <w:tcPr>
            <w:tcW w:w="2920" w:type="dxa"/>
            <w:vAlign w:val="bottom"/>
            <w:gridSpan w:val="2"/>
          </w:tcPr>
          <w:p>
            <w:pPr>
              <w:ind w:left="600"/>
              <w:spacing w:after="0"/>
              <w:rPr>
                <w:sz w:val="20"/>
                <w:szCs w:val="20"/>
                <w:color w:val="auto"/>
              </w:rPr>
            </w:pPr>
            <w:r>
              <w:rPr>
                <w:rFonts w:ascii="Arial" w:cs="Arial" w:eastAsia="Arial" w:hAnsi="Arial"/>
                <w:sz w:val="18"/>
                <w:szCs w:val="18"/>
                <w:color w:val="auto"/>
              </w:rPr>
              <w:t>NN, Inc.</w:t>
            </w:r>
          </w:p>
        </w:tc>
      </w:tr>
      <w:tr>
        <w:trPr>
          <w:trHeight w:val="216"/>
        </w:trPr>
        <w:tc>
          <w:tcPr>
            <w:tcW w:w="1860" w:type="dxa"/>
            <w:vAlign w:val="bottom"/>
          </w:tcPr>
          <w:p>
            <w:pPr>
              <w:spacing w:after="0"/>
              <w:rPr>
                <w:sz w:val="18"/>
                <w:szCs w:val="18"/>
                <w:color w:val="auto"/>
              </w:rPr>
            </w:pPr>
          </w:p>
        </w:tc>
        <w:tc>
          <w:tcPr>
            <w:tcW w:w="2920" w:type="dxa"/>
            <w:vAlign w:val="bottom"/>
            <w:gridSpan w:val="2"/>
          </w:tcPr>
          <w:p>
            <w:pPr>
              <w:ind w:left="600"/>
              <w:spacing w:after="0"/>
              <w:rPr>
                <w:sz w:val="20"/>
                <w:szCs w:val="20"/>
                <w:color w:val="auto"/>
              </w:rPr>
            </w:pPr>
            <w:r>
              <w:rPr>
                <w:rFonts w:ascii="Arial" w:cs="Arial" w:eastAsia="Arial" w:hAnsi="Arial"/>
                <w:sz w:val="18"/>
                <w:szCs w:val="18"/>
                <w:color w:val="auto"/>
              </w:rPr>
              <w:t>6210 Ardrey Kell Road</w:t>
            </w:r>
          </w:p>
        </w:tc>
      </w:tr>
      <w:tr>
        <w:trPr>
          <w:trHeight w:val="216"/>
        </w:trPr>
        <w:tc>
          <w:tcPr>
            <w:tcW w:w="1860" w:type="dxa"/>
            <w:vAlign w:val="bottom"/>
          </w:tcPr>
          <w:p>
            <w:pPr>
              <w:spacing w:after="0"/>
              <w:rPr>
                <w:sz w:val="18"/>
                <w:szCs w:val="18"/>
                <w:color w:val="auto"/>
              </w:rPr>
            </w:pPr>
          </w:p>
        </w:tc>
        <w:tc>
          <w:tcPr>
            <w:tcW w:w="2920" w:type="dxa"/>
            <w:vAlign w:val="bottom"/>
            <w:gridSpan w:val="2"/>
          </w:tcPr>
          <w:p>
            <w:pPr>
              <w:ind w:left="600"/>
              <w:spacing w:after="0"/>
              <w:rPr>
                <w:sz w:val="20"/>
                <w:szCs w:val="20"/>
                <w:color w:val="auto"/>
              </w:rPr>
            </w:pPr>
            <w:r>
              <w:rPr>
                <w:rFonts w:ascii="Arial" w:cs="Arial" w:eastAsia="Arial" w:hAnsi="Arial"/>
                <w:sz w:val="18"/>
                <w:szCs w:val="18"/>
                <w:color w:val="auto"/>
              </w:rPr>
              <w:t>Charlotte, NC 28277</w:t>
            </w:r>
          </w:p>
        </w:tc>
      </w:tr>
      <w:tr>
        <w:trPr>
          <w:trHeight w:val="230"/>
        </w:trPr>
        <w:tc>
          <w:tcPr>
            <w:tcW w:w="1860" w:type="dxa"/>
            <w:vAlign w:val="bottom"/>
          </w:tcPr>
          <w:p>
            <w:pPr>
              <w:spacing w:after="0"/>
              <w:rPr>
                <w:sz w:val="20"/>
                <w:szCs w:val="20"/>
                <w:color w:val="auto"/>
              </w:rPr>
            </w:pPr>
          </w:p>
        </w:tc>
        <w:tc>
          <w:tcPr>
            <w:tcW w:w="2920" w:type="dxa"/>
            <w:vAlign w:val="bottom"/>
            <w:gridSpan w:val="2"/>
          </w:tcPr>
          <w:p>
            <w:pPr>
              <w:ind w:left="600"/>
              <w:spacing w:after="0"/>
              <w:rPr>
                <w:sz w:val="20"/>
                <w:szCs w:val="20"/>
                <w:color w:val="auto"/>
              </w:rPr>
            </w:pPr>
            <w:r>
              <w:rPr>
                <w:rFonts w:ascii="Arial" w:cs="Arial" w:eastAsia="Arial" w:hAnsi="Arial"/>
                <w:sz w:val="18"/>
                <w:szCs w:val="18"/>
                <w:color w:val="auto"/>
              </w:rPr>
              <w:t>Attn: General Counsel</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To the Executive:</w:t>
            </w:r>
          </w:p>
        </w:tc>
        <w:tc>
          <w:tcPr>
            <w:tcW w:w="6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r>
        <w:trPr>
          <w:trHeight w:val="331"/>
        </w:trPr>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r>
        <w:trPr>
          <w:trHeight w:val="331"/>
        </w:trPr>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pacing w:after="0" w:line="242" w:lineRule="exact"/>
        <w:rPr>
          <w:sz w:val="20"/>
          <w:szCs w:val="20"/>
          <w:color w:val="auto"/>
        </w:rPr>
      </w:pPr>
    </w:p>
    <w:p>
      <w:pPr>
        <w:ind w:left="440" w:right="120" w:hanging="436"/>
        <w:spacing w:after="0" w:line="272" w:lineRule="auto"/>
        <w:tabs>
          <w:tab w:leader="none" w:pos="440" w:val="left"/>
        </w:tabs>
        <w:numPr>
          <w:ilvl w:val="0"/>
          <w:numId w:val="1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Successors: Binding Agreement</w:t>
      </w:r>
      <w:r>
        <w:rPr>
          <w:rFonts w:ascii="Arial" w:cs="Arial" w:eastAsia="Arial" w:hAnsi="Arial"/>
          <w:sz w:val="17"/>
          <w:szCs w:val="17"/>
          <w:color w:val="auto"/>
        </w:rPr>
        <w:t>. The Company shall require any successor (whether direct or indirect, by purchase, merger, consolidation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paragraph or which otherwise becomes bound by all the terms and provisions of this Agreement by operation of law.</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5" w:name="page16"/>
    <w:bookmarkEnd w:id="15"/>
    <w:p>
      <w:pPr>
        <w:ind w:left="436"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60" w:lineRule="exact"/>
        <w:rPr>
          <w:sz w:val="20"/>
          <w:szCs w:val="20"/>
          <w:color w:val="auto"/>
        </w:rPr>
      </w:pPr>
    </w:p>
    <w:p>
      <w:pPr>
        <w:ind w:left="436" w:right="100" w:hanging="436"/>
        <w:spacing w:after="0" w:line="271" w:lineRule="auto"/>
        <w:tabs>
          <w:tab w:leader="none" w:pos="436"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Modification, Waiver or Discharge</w:t>
      </w:r>
      <w:r>
        <w:rPr>
          <w:rFonts w:ascii="Arial" w:cs="Arial" w:eastAsia="Arial" w:hAnsi="Arial"/>
          <w:sz w:val="17"/>
          <w:szCs w:val="17"/>
          <w:color w:val="auto"/>
        </w:rPr>
        <w:t>. No provision of this Agreement may be modified or discharged unless such modification or discharge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authorized by the Board of Directors of the Company and is agreed to in writing, signed by the Executive and by an officer of the Company duly authorized by the Board. However, the Company may unilaterally revise the provisions of this Agreement governed by the provisions of Section 409A of the Code in order to make the Agreement compliant therewith, and as necessary under any provision of the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84" w:lineRule="exact"/>
        <w:rPr>
          <w:rFonts w:ascii="Arial" w:cs="Arial" w:eastAsia="Arial" w:hAnsi="Arial"/>
          <w:sz w:val="17"/>
          <w:szCs w:val="17"/>
          <w:b w:val="1"/>
          <w:bCs w:val="1"/>
          <w:i w:val="1"/>
          <w:iCs w:val="1"/>
          <w:color w:val="auto"/>
        </w:rPr>
      </w:pPr>
    </w:p>
    <w:p>
      <w:pPr>
        <w:ind w:left="436" w:right="20" w:hanging="436"/>
        <w:spacing w:after="0" w:line="276" w:lineRule="auto"/>
        <w:tabs>
          <w:tab w:leader="none" w:pos="436"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Entire Agreement</w:t>
      </w:r>
      <w:r>
        <w:rPr>
          <w:rFonts w:ascii="Arial" w:cs="Arial" w:eastAsia="Arial" w:hAnsi="Arial"/>
          <w:sz w:val="17"/>
          <w:szCs w:val="17"/>
          <w:color w:val="auto"/>
        </w:rPr>
        <w:t>. This Agreement constitutes the entire understanding of the parties hereto with respect to its subject matter and supersedes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any indemnification agreement by and between the Company and Executive or any general indemnification policy in favor of Executive, which shall continue and remain in full force and effect.</w:t>
      </w:r>
    </w:p>
    <w:p>
      <w:pPr>
        <w:spacing w:after="0" w:line="77" w:lineRule="exact"/>
        <w:rPr>
          <w:rFonts w:ascii="Arial" w:cs="Arial" w:eastAsia="Arial" w:hAnsi="Arial"/>
          <w:sz w:val="17"/>
          <w:szCs w:val="17"/>
          <w:b w:val="1"/>
          <w:bCs w:val="1"/>
          <w:i w:val="1"/>
          <w:iCs w:val="1"/>
          <w:color w:val="auto"/>
        </w:rPr>
      </w:pPr>
    </w:p>
    <w:p>
      <w:pPr>
        <w:ind w:left="436" w:right="540" w:hanging="436"/>
        <w:spacing w:after="0" w:line="277" w:lineRule="auto"/>
        <w:tabs>
          <w:tab w:leader="none" w:pos="436"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The validity, interpretation, construction and performance of this Agreement shall be governed by the laws of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Delaware, without regard to its conflict of laws principles, to the extent federal law does not apply.</w:t>
      </w:r>
    </w:p>
    <w:p>
      <w:pPr>
        <w:spacing w:after="0" w:line="75" w:lineRule="exact"/>
        <w:rPr>
          <w:rFonts w:ascii="Arial" w:cs="Arial" w:eastAsia="Arial" w:hAnsi="Arial"/>
          <w:sz w:val="18"/>
          <w:szCs w:val="18"/>
          <w:b w:val="1"/>
          <w:bCs w:val="1"/>
          <w:i w:val="1"/>
          <w:iCs w:val="1"/>
          <w:color w:val="auto"/>
        </w:rPr>
      </w:pPr>
    </w:p>
    <w:p>
      <w:pPr>
        <w:ind w:left="436" w:right="140" w:hanging="436"/>
        <w:spacing w:after="0" w:line="257" w:lineRule="auto"/>
        <w:tabs>
          <w:tab w:leader="none" w:pos="436"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Resolution of Disputes</w:t>
      </w:r>
      <w:r>
        <w:rPr>
          <w:rFonts w:ascii="Arial" w:cs="Arial" w:eastAsia="Arial" w:hAnsi="Arial"/>
          <w:sz w:val="18"/>
          <w:szCs w:val="18"/>
          <w:color w:val="auto"/>
        </w:rPr>
        <w:t>. Any dispute or claim arising out of or relating to this Agreement shall be settled by final and binding arbitration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Charlotte, North Carolina in accordance with the Commercial Arbitration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93" w:lineRule="exact"/>
        <w:rPr>
          <w:rFonts w:ascii="Arial" w:cs="Arial" w:eastAsia="Arial" w:hAnsi="Arial"/>
          <w:sz w:val="18"/>
          <w:szCs w:val="18"/>
          <w:b w:val="1"/>
          <w:bCs w:val="1"/>
          <w:i w:val="1"/>
          <w:iCs w:val="1"/>
          <w:color w:val="auto"/>
        </w:rPr>
      </w:pPr>
    </w:p>
    <w:p>
      <w:pPr>
        <w:ind w:left="436" w:hanging="436"/>
        <w:spacing w:after="0" w:line="277" w:lineRule="auto"/>
        <w:tabs>
          <w:tab w:leader="none" w:pos="436"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Validity</w:t>
      </w:r>
      <w:r>
        <w:rPr>
          <w:rFonts w:ascii="Arial" w:cs="Arial" w:eastAsia="Arial" w:hAnsi="Arial"/>
          <w:sz w:val="18"/>
          <w:szCs w:val="18"/>
          <w:color w:val="auto"/>
        </w:rPr>
        <w:t>. The invalidity or unenforceability of any provision of this Agreement shall not affect the validity or enforceability of the other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Agreement, which latter provisions shall remain in full force and effect.</w:t>
      </w:r>
    </w:p>
    <w:p>
      <w:pPr>
        <w:spacing w:after="0" w:line="75" w:lineRule="exact"/>
        <w:rPr>
          <w:rFonts w:ascii="Arial" w:cs="Arial" w:eastAsia="Arial" w:hAnsi="Arial"/>
          <w:sz w:val="18"/>
          <w:szCs w:val="18"/>
          <w:b w:val="1"/>
          <w:bCs w:val="1"/>
          <w:i w:val="1"/>
          <w:iCs w:val="1"/>
          <w:color w:val="auto"/>
        </w:rPr>
      </w:pPr>
    </w:p>
    <w:p>
      <w:pPr>
        <w:ind w:left="436" w:hanging="436"/>
        <w:spacing w:after="0"/>
        <w:tabs>
          <w:tab w:leader="none" w:pos="436"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Compliance with Section 409A</w:t>
      </w:r>
      <w:r>
        <w:rPr>
          <w:rFonts w:ascii="Arial" w:cs="Arial" w:eastAsia="Arial" w:hAnsi="Arial"/>
          <w:sz w:val="18"/>
          <w:szCs w:val="18"/>
          <w:color w:val="auto"/>
        </w:rPr>
        <w:t>.</w:t>
      </w:r>
    </w:p>
    <w:p>
      <w:pPr>
        <w:spacing w:after="0" w:line="131" w:lineRule="exact"/>
        <w:rPr>
          <w:sz w:val="20"/>
          <w:szCs w:val="20"/>
          <w:color w:val="auto"/>
        </w:rPr>
      </w:pPr>
    </w:p>
    <w:p>
      <w:pPr>
        <w:ind w:left="436" w:hanging="436"/>
        <w:spacing w:after="0"/>
        <w:tabs>
          <w:tab w:leader="none" w:pos="43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It is intended that the Agreement will comply with Section 409A of the Code and the regulations and other guidance thereunder</w:t>
      </w:r>
    </w:p>
    <w:p>
      <w:pPr>
        <w:spacing w:after="0" w:line="34" w:lineRule="exact"/>
        <w:rPr>
          <w:rFonts w:ascii="Arial" w:cs="Arial" w:eastAsia="Arial" w:hAnsi="Arial"/>
          <w:sz w:val="17"/>
          <w:szCs w:val="17"/>
          <w:color w:val="auto"/>
        </w:rPr>
      </w:pPr>
    </w:p>
    <w:p>
      <w:pPr>
        <w:ind w:left="436" w:right="180"/>
        <w:spacing w:after="0" w:line="255"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and the Agreement shall be interpreted consistent with such intent. As permitted by Section 409A, each installment or other payment made or benefit provided hereunder shall be treated as “separate payment” for purposes of Section 409A and the available exemptions under Section 409A shall be stacked to the maximum</w:t>
      </w:r>
    </w:p>
    <w:p>
      <w:pPr>
        <w:spacing w:after="0" w:line="123"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56"/>
          </w:cols>
          <w:pgMar w:left="444" w:top="274" w:right="499" w:bottom="1440" w:gutter="0" w:footer="0" w:header="0"/>
        </w:sectPr>
      </w:pPr>
    </w:p>
    <w:bookmarkStart w:id="16" w:name="page17"/>
    <w:bookmarkEnd w:id="16"/>
    <w:p>
      <w:pPr>
        <w:ind w:left="440"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possible. This Agreement may be amended in any respect deemed necessary (including retroactively) by the Company in order to pursue compliance with Section 409A. The foregoing shall not be construed as a guarantee of any particular tax effect for benefits under this Agreement. The Executive or any beneficiary, as applicable, is solely responsible and liable for the satisfaction of all taxes, interest and penalties that may be imposed on the Executive or any beneficiary in connection with any payments to the Executive or beneficiary under the Agreement, including any taxes, interest and penalties under Section 409A, and neither the Company nor any director, officer or affiliate shall have any obligation to indemnify or otherwise hold the Executive or a beneficiary harmless from any and all of such taxes, interest and penalties. To the extent Executive is entitled to be paid or reimbursed for any taxable expenses under this Agreement, and such payments or reimbursements are includible in Executive’s federal gross taxable income, the amount of such expenses reimbursable in any one calendar year shall not affect the amount reimbursable in any other calendar year, and the reimbursement of an eligible expense shall be made no later than December 31 of the year after the year in which the expense was incurred. Executive’s right to reimbursement of expenses under this Agreement shall not be subject to liquidation or exchange for another benefit.</w:t>
      </w:r>
    </w:p>
    <w:p>
      <w:pPr>
        <w:spacing w:after="0" w:line="88" w:lineRule="exact"/>
        <w:rPr>
          <w:sz w:val="20"/>
          <w:szCs w:val="20"/>
          <w:color w:val="auto"/>
        </w:rPr>
      </w:pPr>
    </w:p>
    <w:p>
      <w:pPr>
        <w:ind w:left="440" w:right="140" w:hanging="436"/>
        <w:spacing w:after="0" w:line="257"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Six Month Delay for Specified Employees.</w:t>
      </w:r>
      <w:r>
        <w:rPr>
          <w:rFonts w:ascii="Arial" w:cs="Arial" w:eastAsia="Arial" w:hAnsi="Arial"/>
          <w:sz w:val="18"/>
          <w:szCs w:val="18"/>
          <w:color w:val="auto"/>
        </w:rPr>
        <w:t xml:space="preserve"> Notwithstanding anything in the Agreement to the contrary, if the Executive is determined to be a “specified employee” (as defined in Section 409A) for the year in which the Executive incurs a Separation from Service, any payment due under the Agreement that is not permitted to be paid on the date of such separation without the imposition of additional taxes, interest and penalties under Section 409A shall be paid on the first business day following the six-month anniversary of the Executive’s date of separation or, if earlier, the Executive’s death.</w:t>
      </w:r>
    </w:p>
    <w:p>
      <w:pPr>
        <w:spacing w:after="0" w:line="94" w:lineRule="exact"/>
        <w:rPr>
          <w:sz w:val="20"/>
          <w:szCs w:val="20"/>
          <w:color w:val="auto"/>
        </w:rPr>
      </w:pPr>
    </w:p>
    <w:p>
      <w:pPr>
        <w:ind w:left="440" w:right="120" w:hanging="436"/>
        <w:spacing w:after="0" w:line="259" w:lineRule="auto"/>
        <w:tabs>
          <w:tab w:leader="none" w:pos="44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 Adequate Remedy At Law</w:t>
      </w:r>
      <w:r>
        <w:rPr>
          <w:rFonts w:ascii="Arial" w:cs="Arial" w:eastAsia="Arial" w:hAnsi="Arial"/>
          <w:sz w:val="18"/>
          <w:szCs w:val="18"/>
          <w:color w:val="auto"/>
        </w:rPr>
        <w:t>. The Company and the Executive recognize that each party may have no adequate remedy at law for breach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of any of the agreements contained herein, and particularly a breach of paragraphs 2, 3, 4, and 6, and, in the event of any such breach, the Company and the Executive hereby agree and consent that the other shall be entitled to injunctive relief or other appropriate remedy to enforce performance of such agreements.</w:t>
      </w:r>
    </w:p>
    <w:p>
      <w:pPr>
        <w:spacing w:after="0" w:line="92" w:lineRule="exact"/>
        <w:rPr>
          <w:rFonts w:ascii="Arial" w:cs="Arial" w:eastAsia="Arial" w:hAnsi="Arial"/>
          <w:sz w:val="18"/>
          <w:szCs w:val="18"/>
          <w:b w:val="1"/>
          <w:bCs w:val="1"/>
          <w:i w:val="1"/>
          <w:iCs w:val="1"/>
          <w:color w:val="auto"/>
        </w:rPr>
      </w:pPr>
    </w:p>
    <w:p>
      <w:pPr>
        <w:ind w:left="440" w:hanging="436"/>
        <w:spacing w:after="0" w:line="276" w:lineRule="auto"/>
        <w:tabs>
          <w:tab w:leader="none" w:pos="440"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Non-Assignability</w:t>
      </w:r>
      <w:r>
        <w:rPr>
          <w:rFonts w:ascii="Arial" w:cs="Arial" w:eastAsia="Arial" w:hAnsi="Arial"/>
          <w:sz w:val="17"/>
          <w:szCs w:val="17"/>
          <w:color w:val="auto"/>
        </w:rPr>
        <w:t>. This Agreement, and the rights and obligations of the parties hereunder, are personal and neither this Agreement, nor any right,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77" w:lineRule="exact"/>
        <w:rPr>
          <w:rFonts w:ascii="Arial" w:cs="Arial" w:eastAsia="Arial" w:hAnsi="Arial"/>
          <w:sz w:val="17"/>
          <w:szCs w:val="17"/>
          <w:b w:val="1"/>
          <w:bCs w:val="1"/>
          <w:i w:val="1"/>
          <w:iCs w:val="1"/>
          <w:color w:val="auto"/>
        </w:rPr>
      </w:pPr>
    </w:p>
    <w:p>
      <w:pPr>
        <w:ind w:left="440" w:right="80" w:hanging="436"/>
        <w:spacing w:after="0" w:line="308" w:lineRule="auto"/>
        <w:tabs>
          <w:tab w:leader="none" w:pos="440"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Headings</w:t>
      </w:r>
      <w:r>
        <w:rPr>
          <w:rFonts w:ascii="Arial" w:cs="Arial" w:eastAsia="Arial" w:hAnsi="Arial"/>
          <w:sz w:val="17"/>
          <w:szCs w:val="17"/>
          <w:color w:val="auto"/>
        </w:rPr>
        <w:t>. The section headings contained in this Agreement are for convenience of reference only and will not be deemed to control or affect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meaning or construction of any provision of this Agreement. Reference to paragraphs are to paragraphs in this Agreement.</w:t>
      </w:r>
    </w:p>
    <w:p>
      <w:pPr>
        <w:spacing w:after="0" w:line="51" w:lineRule="exact"/>
        <w:rPr>
          <w:rFonts w:ascii="Arial" w:cs="Arial" w:eastAsia="Arial" w:hAnsi="Arial"/>
          <w:sz w:val="17"/>
          <w:szCs w:val="17"/>
          <w:b w:val="1"/>
          <w:bCs w:val="1"/>
          <w:i w:val="1"/>
          <w:iCs w:val="1"/>
          <w:color w:val="auto"/>
        </w:rPr>
      </w:pPr>
    </w:p>
    <w:p>
      <w:pPr>
        <w:ind w:left="440" w:right="540" w:hanging="436"/>
        <w:spacing w:after="0" w:line="277" w:lineRule="auto"/>
        <w:tabs>
          <w:tab w:leader="none" w:pos="44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Agreement may be executed in one or more counterparts, each of which shall be deemed to be an original, but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together will constitute one and the same instrument.</w:t>
      </w:r>
    </w:p>
    <w:p>
      <w:pPr>
        <w:spacing w:after="0" w:line="75" w:lineRule="exact"/>
        <w:rPr>
          <w:rFonts w:ascii="Arial" w:cs="Arial" w:eastAsia="Arial" w:hAnsi="Arial"/>
          <w:sz w:val="18"/>
          <w:szCs w:val="18"/>
          <w:b w:val="1"/>
          <w:bCs w:val="1"/>
          <w:i w:val="1"/>
          <w:iCs w:val="1"/>
          <w:color w:val="auto"/>
        </w:rPr>
      </w:pPr>
    </w:p>
    <w:p>
      <w:pPr>
        <w:ind w:left="440" w:hanging="436"/>
        <w:spacing w:after="0"/>
        <w:tabs>
          <w:tab w:leader="none" w:pos="44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this Agreement, the following terms shall have the following meanings:</w:t>
      </w:r>
    </w:p>
    <w:p>
      <w:pPr>
        <w:spacing w:after="0" w:line="130" w:lineRule="exact"/>
        <w:rPr>
          <w:rFonts w:ascii="Arial" w:cs="Arial" w:eastAsia="Arial" w:hAnsi="Arial"/>
          <w:sz w:val="18"/>
          <w:szCs w:val="18"/>
          <w:b w:val="1"/>
          <w:bCs w:val="1"/>
          <w:i w:val="1"/>
          <w:iCs w:val="1"/>
          <w:color w:val="auto"/>
        </w:rPr>
      </w:pPr>
    </w:p>
    <w:p>
      <w:pPr>
        <w:ind w:left="980" w:hanging="54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any of the following:</w:t>
      </w:r>
    </w:p>
    <w:p>
      <w:pPr>
        <w:spacing w:after="0" w:line="130" w:lineRule="exact"/>
        <w:rPr>
          <w:rFonts w:ascii="Arial" w:cs="Arial" w:eastAsia="Arial" w:hAnsi="Arial"/>
          <w:sz w:val="18"/>
          <w:szCs w:val="18"/>
          <w:color w:val="auto"/>
        </w:rPr>
      </w:pPr>
    </w:p>
    <w:p>
      <w:pPr>
        <w:ind w:left="1420" w:right="40" w:hanging="430"/>
        <w:spacing w:after="0" w:line="264" w:lineRule="auto"/>
        <w:tabs>
          <w:tab w:leader="none" w:pos="142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willful and continued failure of the Executive to substantially perform the Executive’s duties to the Company (other than as a result of physical or mental illness or injury), after demand for substantial performance is delivered by the Company that specifically identifies the manner in which the Company believes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7" w:name="page18"/>
    <w:bookmarkEnd w:id="17"/>
    <w:p>
      <w:pPr>
        <w:ind w:left="1004"/>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has not substantially performed the Executive’s duties, which failure, if correctable, and provided it does not constitute willful misconduct or gross negligence, remains uncorrected for 30 days following written notice to Executive by the Chief Executive Officer or the Board of Directors of the Company of such failure;</w:t>
      </w:r>
    </w:p>
    <w:p>
      <w:pPr>
        <w:spacing w:after="0" w:line="87" w:lineRule="exact"/>
        <w:rPr>
          <w:sz w:val="20"/>
          <w:szCs w:val="20"/>
          <w:color w:val="auto"/>
        </w:rPr>
      </w:pPr>
    </w:p>
    <w:p>
      <w:pPr>
        <w:ind w:left="984" w:right="400" w:hanging="430"/>
        <w:spacing w:after="0" w:line="342" w:lineRule="auto"/>
        <w:tabs>
          <w:tab w:leader="none" w:pos="984" w:val="left"/>
        </w:tabs>
        <w:numPr>
          <w:ilvl w:val="1"/>
          <w:numId w:val="21"/>
        </w:numPr>
        <w:rPr>
          <w:rFonts w:ascii="Arial" w:cs="Arial" w:eastAsia="Arial" w:hAnsi="Arial"/>
          <w:sz w:val="16"/>
          <w:szCs w:val="16"/>
          <w:color w:val="auto"/>
        </w:rPr>
      </w:pPr>
      <w:r>
        <w:rPr>
          <w:rFonts w:ascii="Arial" w:cs="Arial" w:eastAsia="Arial" w:hAnsi="Arial"/>
          <w:sz w:val="16"/>
          <w:szCs w:val="16"/>
          <w:color w:val="auto"/>
        </w:rPr>
        <w:t>willful misconduct or gross negligence by the Executive in either case that results in material damage to the business of the Company, monetarily or otherwise, including any conduct that is in violation of the written workplace policies of the Company;</w:t>
      </w:r>
    </w:p>
    <w:p>
      <w:pPr>
        <w:spacing w:after="0" w:line="29" w:lineRule="exact"/>
        <w:rPr>
          <w:rFonts w:ascii="Arial" w:cs="Arial" w:eastAsia="Arial" w:hAnsi="Arial"/>
          <w:sz w:val="16"/>
          <w:szCs w:val="16"/>
          <w:color w:val="auto"/>
        </w:rPr>
      </w:pPr>
    </w:p>
    <w:p>
      <w:pPr>
        <w:ind w:left="984" w:right="120" w:hanging="430"/>
        <w:spacing w:after="0" w:line="277" w:lineRule="auto"/>
        <w:tabs>
          <w:tab w:leader="none" w:pos="9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material breach by Executive of this Agreement which, if correctable, remains uncorrected for 10 days following written notice to Executive by the Chief Executive Officer or the Board of Directors of the Company of such breach; or</w:t>
      </w:r>
    </w:p>
    <w:p>
      <w:pPr>
        <w:spacing w:after="0" w:line="75" w:lineRule="exact"/>
        <w:rPr>
          <w:rFonts w:ascii="Arial" w:cs="Arial" w:eastAsia="Arial" w:hAnsi="Arial"/>
          <w:sz w:val="18"/>
          <w:szCs w:val="18"/>
          <w:color w:val="auto"/>
        </w:rPr>
      </w:pPr>
    </w:p>
    <w:p>
      <w:pPr>
        <w:ind w:left="984" w:right="480" w:hanging="430"/>
        <w:spacing w:after="0" w:line="277" w:lineRule="auto"/>
        <w:tabs>
          <w:tab w:leader="none" w:pos="9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Executive is convicted of a felony or any other crime (other than traffic violations) involving dishonesty or moral turpitude (whether or not in connection with the performance by Executive of his duties under this Agreement).</w:t>
      </w:r>
    </w:p>
    <w:p>
      <w:pPr>
        <w:spacing w:after="0" w:line="62" w:lineRule="exact"/>
        <w:rPr>
          <w:rFonts w:ascii="Arial" w:cs="Arial" w:eastAsia="Arial" w:hAnsi="Arial"/>
          <w:sz w:val="18"/>
          <w:szCs w:val="18"/>
          <w:color w:val="auto"/>
        </w:rPr>
      </w:pPr>
    </w:p>
    <w:p>
      <w:pPr>
        <w:ind w:left="1004" w:right="420"/>
        <w:spacing w:after="0" w:line="342" w:lineRule="auto"/>
        <w:rPr>
          <w:rFonts w:ascii="Arial" w:cs="Arial" w:eastAsia="Arial" w:hAnsi="Arial"/>
          <w:sz w:val="18"/>
          <w:szCs w:val="18"/>
          <w:color w:val="auto"/>
        </w:rPr>
      </w:pPr>
      <w:r>
        <w:rPr>
          <w:rFonts w:ascii="Arial" w:cs="Arial" w:eastAsia="Arial" w:hAnsi="Arial"/>
          <w:sz w:val="16"/>
          <w:szCs w:val="16"/>
          <w:color w:val="auto"/>
        </w:rPr>
        <w:t>For purposes of this subsection, no act, or failure to act, shall be deemed “willful” unless done, or omitted to be done, by the Executive not in good faith, and without reasonable belief that such action or omission was in the best interest of the Company.</w:t>
      </w:r>
    </w:p>
    <w:p>
      <w:pPr>
        <w:spacing w:after="0" w:line="29" w:lineRule="exact"/>
        <w:rPr>
          <w:rFonts w:ascii="Arial" w:cs="Arial" w:eastAsia="Arial" w:hAnsi="Arial"/>
          <w:sz w:val="18"/>
          <w:szCs w:val="18"/>
          <w:color w:val="auto"/>
        </w:rPr>
      </w:pPr>
    </w:p>
    <w:p>
      <w:pPr>
        <w:ind w:left="544" w:hanging="544"/>
        <w:spacing w:after="0"/>
        <w:tabs>
          <w:tab w:leader="none" w:pos="5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and shall occur on the date that any of the following occurs:</w:t>
      </w:r>
    </w:p>
    <w:p>
      <w:pPr>
        <w:spacing w:after="0" w:line="130" w:lineRule="exact"/>
        <w:rPr>
          <w:rFonts w:ascii="Arial" w:cs="Arial" w:eastAsia="Arial" w:hAnsi="Arial"/>
          <w:sz w:val="18"/>
          <w:szCs w:val="18"/>
          <w:color w:val="auto"/>
        </w:rPr>
      </w:pPr>
    </w:p>
    <w:p>
      <w:pPr>
        <w:ind w:left="984" w:right="20" w:hanging="430"/>
        <w:spacing w:after="0" w:line="291" w:lineRule="auto"/>
        <w:tabs>
          <w:tab w:leader="none" w:pos="984" w:val="left"/>
        </w:tabs>
        <w:numPr>
          <w:ilvl w:val="1"/>
          <w:numId w:val="22"/>
        </w:numPr>
        <w:rPr>
          <w:rFonts w:ascii="Arial" w:cs="Arial" w:eastAsia="Arial" w:hAnsi="Arial"/>
          <w:sz w:val="16"/>
          <w:szCs w:val="16"/>
          <w:color w:val="auto"/>
        </w:rPr>
      </w:pPr>
      <w:r>
        <w:rPr>
          <w:rFonts w:ascii="Arial" w:cs="Arial" w:eastAsia="Arial" w:hAnsi="Arial"/>
          <w:sz w:val="16"/>
          <w:szCs w:val="16"/>
          <w:color w:val="auto"/>
        </w:rPr>
        <w:t>A person, corporation, entity or group (1) makes a tender or exchange offer for the issued and outstanding voting stock of NN, Inc., (“</w:t>
      </w:r>
      <w:r>
        <w:rPr>
          <w:rFonts w:ascii="Arial" w:cs="Arial" w:eastAsia="Arial" w:hAnsi="Arial"/>
          <w:sz w:val="16"/>
          <w:szCs w:val="16"/>
          <w:u w:val="single" w:color="auto"/>
          <w:color w:val="auto"/>
        </w:rPr>
        <w:t>NN</w:t>
      </w:r>
      <w:r>
        <w:rPr>
          <w:rFonts w:ascii="Arial" w:cs="Arial" w:eastAsia="Arial" w:hAnsi="Arial"/>
          <w:sz w:val="16"/>
          <w:szCs w:val="16"/>
          <w:color w:val="auto"/>
        </w:rPr>
        <w:t>”) and beneficially owns fifty percent (50%) or more of the issued and outstanding voting stock of NN after such tender or exchange offer, or (2) acquires (or has acquired during the 12-month period ending on the date of the most recent acquisition by such person, corporation, entity or group),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72" w:lineRule="exact"/>
        <w:rPr>
          <w:rFonts w:ascii="Arial" w:cs="Arial" w:eastAsia="Arial" w:hAnsi="Arial"/>
          <w:sz w:val="16"/>
          <w:szCs w:val="16"/>
          <w:color w:val="auto"/>
        </w:rPr>
      </w:pPr>
    </w:p>
    <w:p>
      <w:pPr>
        <w:ind w:left="984" w:right="260" w:hanging="430"/>
        <w:spacing w:after="0" w:line="264" w:lineRule="auto"/>
        <w:tabs>
          <w:tab w:leader="none" w:pos="9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w:t>
      </w:r>
    </w:p>
    <w:p>
      <w:pPr>
        <w:spacing w:after="0" w:line="86" w:lineRule="exact"/>
        <w:rPr>
          <w:rFonts w:ascii="Arial" w:cs="Arial" w:eastAsia="Arial" w:hAnsi="Arial"/>
          <w:sz w:val="18"/>
          <w:szCs w:val="18"/>
          <w:color w:val="auto"/>
        </w:rPr>
      </w:pPr>
    </w:p>
    <w:p>
      <w:pPr>
        <w:ind w:left="984" w:hanging="430"/>
        <w:spacing w:after="0"/>
        <w:tabs>
          <w:tab w:leader="none" w:pos="984" w:val="left"/>
        </w:tabs>
        <w:numPr>
          <w:ilvl w:val="1"/>
          <w:numId w:val="22"/>
        </w:numPr>
        <w:rPr>
          <w:rFonts w:ascii="Arial" w:cs="Arial" w:eastAsia="Arial" w:hAnsi="Arial"/>
          <w:sz w:val="17"/>
          <w:szCs w:val="17"/>
          <w:color w:val="auto"/>
        </w:rPr>
      </w:pPr>
      <w:r>
        <w:rPr>
          <w:rFonts w:ascii="Arial" w:cs="Arial" w:eastAsia="Arial" w:hAnsi="Arial"/>
          <w:sz w:val="17"/>
          <w:szCs w:val="17"/>
          <w:color w:val="auto"/>
        </w:rPr>
        <w:t>NN sells fifty percent (50%) or more of its assets to any other person or persons (other than an affiliate or affiliates of NN); or</w:t>
      </w:r>
    </w:p>
    <w:p>
      <w:pPr>
        <w:spacing w:after="0" w:line="142" w:lineRule="exact"/>
        <w:rPr>
          <w:rFonts w:ascii="Arial" w:cs="Arial" w:eastAsia="Arial" w:hAnsi="Arial"/>
          <w:sz w:val="17"/>
          <w:szCs w:val="17"/>
          <w:color w:val="auto"/>
        </w:rPr>
      </w:pPr>
    </w:p>
    <w:p>
      <w:pPr>
        <w:ind w:left="984" w:right="40" w:hanging="430"/>
        <w:spacing w:after="0" w:line="273" w:lineRule="auto"/>
        <w:tabs>
          <w:tab w:leader="none" w:pos="984" w:val="left"/>
        </w:tabs>
        <w:numPr>
          <w:ilvl w:val="1"/>
          <w:numId w:val="22"/>
        </w:numPr>
        <w:rPr>
          <w:rFonts w:ascii="Arial" w:cs="Arial" w:eastAsia="Arial" w:hAnsi="Arial"/>
          <w:sz w:val="17"/>
          <w:szCs w:val="17"/>
          <w:color w:val="auto"/>
        </w:rPr>
      </w:pPr>
      <w:r>
        <w:rPr>
          <w:rFonts w:ascii="Arial" w:cs="Arial" w:eastAsia="Arial" w:hAnsi="Arial"/>
          <w:sz w:val="17"/>
          <w:szCs w:val="17"/>
          <w:color w:val="auto"/>
        </w:rPr>
        <w:t>Individuals who, during any 12-month period, constitute the Board (the “</w:t>
      </w:r>
      <w:r>
        <w:rPr>
          <w:rFonts w:ascii="Arial" w:cs="Arial" w:eastAsia="Arial" w:hAnsi="Arial"/>
          <w:sz w:val="17"/>
          <w:szCs w:val="17"/>
          <w:u w:val="single" w:color="auto"/>
          <w:color w:val="auto"/>
        </w:rPr>
        <w:t>Incumbent Board</w:t>
      </w:r>
      <w:r>
        <w:rPr>
          <w:rFonts w:ascii="Arial" w:cs="Arial" w:eastAsia="Arial" w:hAnsi="Arial"/>
          <w:sz w:val="17"/>
          <w:szCs w:val="17"/>
          <w:color w:val="auto"/>
        </w:rPr>
        <w:t>”) cease for any reason to constitute at least seventy-five percent (75%) of the Board of Directors of NN; provided, however, that any individual becoming a director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11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876" w:top="274" w:right="439" w:bottom="1440" w:gutter="0" w:footer="0" w:header="0"/>
        </w:sectPr>
      </w:pPr>
    </w:p>
    <w:bookmarkStart w:id="18" w:name="page19"/>
    <w:bookmarkEnd w:id="18"/>
    <w:p>
      <w:pPr>
        <w:ind w:left="99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not intended that a Change in Control, in and of itself, will serve as an event which entitles Executive to any payment hereunder.</w:t>
      </w:r>
    </w:p>
    <w:p>
      <w:pPr>
        <w:spacing w:after="0" w:line="142" w:lineRule="exact"/>
        <w:rPr>
          <w:sz w:val="20"/>
          <w:szCs w:val="20"/>
          <w:color w:val="auto"/>
        </w:rPr>
      </w:pPr>
    </w:p>
    <w:p>
      <w:pPr>
        <w:ind w:left="436" w:hanging="436"/>
        <w:spacing w:after="0"/>
        <w:tabs>
          <w:tab w:leader="none" w:pos="4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30" w:lineRule="exact"/>
        <w:rPr>
          <w:rFonts w:ascii="Arial" w:cs="Arial" w:eastAsia="Arial" w:hAnsi="Arial"/>
          <w:sz w:val="18"/>
          <w:szCs w:val="18"/>
          <w:color w:val="auto"/>
        </w:rPr>
      </w:pPr>
    </w:p>
    <w:p>
      <w:pPr>
        <w:ind w:left="436" w:right="60" w:hanging="436"/>
        <w:spacing w:after="0" w:line="286" w:lineRule="auto"/>
        <w:tabs>
          <w:tab w:leader="none" w:pos="4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w:t>
      </w:r>
    </w:p>
    <w:p>
      <w:pPr>
        <w:spacing w:after="0" w:line="1" w:lineRule="exact"/>
        <w:rPr>
          <w:rFonts w:ascii="Arial" w:cs="Arial" w:eastAsia="Arial" w:hAnsi="Arial"/>
          <w:sz w:val="16"/>
          <w:szCs w:val="16"/>
          <w:color w:val="auto"/>
        </w:rPr>
      </w:pPr>
    </w:p>
    <w:p>
      <w:pPr>
        <w:ind w:left="436" w:hanging="4"/>
        <w:spacing w:after="0" w:line="253" w:lineRule="auto"/>
        <w:tabs>
          <w:tab w:leader="none" w:pos="691" w:val="left"/>
        </w:tabs>
        <w:numPr>
          <w:ilvl w:val="1"/>
          <w:numId w:val="23"/>
        </w:numPr>
        <w:rPr>
          <w:rFonts w:ascii="Arial" w:cs="Arial" w:eastAsia="Arial" w:hAnsi="Arial"/>
          <w:sz w:val="18"/>
          <w:szCs w:val="18"/>
          <w:color w:val="auto"/>
        </w:rPr>
      </w:pPr>
      <w:r>
        <w:rPr>
          <w:rFonts w:ascii="Arial" w:cs="Arial" w:eastAsia="Arial" w:hAnsi="Arial"/>
          <w:sz w:val="18"/>
          <w:szCs w:val="18"/>
          <w:color w:val="auto"/>
        </w:rPr>
        <w:t>months under an accident and health plan covering employees or directors of the Company. Executive will be deemed Disabled if he is determined to be totally disabled by the Social Security Administration, or if Executive is determined to be disabled in accordance with a disability insurance program maintained by the Company if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96" w:lineRule="exact"/>
        <w:rPr>
          <w:rFonts w:ascii="Arial" w:cs="Arial" w:eastAsia="Arial" w:hAnsi="Arial"/>
          <w:sz w:val="18"/>
          <w:szCs w:val="18"/>
          <w:color w:val="auto"/>
        </w:rPr>
      </w:pPr>
    </w:p>
    <w:p>
      <w:pPr>
        <w:ind w:left="436" w:right="100" w:hanging="436"/>
        <w:spacing w:after="0" w:line="279" w:lineRule="auto"/>
        <w:tabs>
          <w:tab w:leader="none" w:pos="4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any of the following events if not remedied by the Company within 30 days after receipt of notice thereof from the Executive: (i) any material diminution in the Executive’s position, authority, duties or responsibilities; (ii) any material failure by the Company to comply with this Agreement; (iii) any material adverse change in Executive’s annual compensation; or (iv) a requirement to relocate Executive’s place of employment in excess of fifty (50) miles from the current principal office of the Company as of the date hereof.</w:t>
      </w:r>
    </w:p>
    <w:p>
      <w:pPr>
        <w:spacing w:after="0" w:line="63" w:lineRule="exact"/>
        <w:rPr>
          <w:rFonts w:ascii="Arial" w:cs="Arial" w:eastAsia="Arial" w:hAnsi="Arial"/>
          <w:sz w:val="17"/>
          <w:szCs w:val="17"/>
          <w:color w:val="auto"/>
        </w:rPr>
      </w:pPr>
    </w:p>
    <w:p>
      <w:pPr>
        <w:ind w:left="436" w:right="180"/>
        <w:spacing w:after="0" w:line="302" w:lineRule="auto"/>
        <w:rPr>
          <w:rFonts w:ascii="Arial" w:cs="Arial" w:eastAsia="Arial" w:hAnsi="Arial"/>
          <w:sz w:val="17"/>
          <w:szCs w:val="17"/>
          <w:color w:val="auto"/>
        </w:rPr>
      </w:pPr>
      <w:r>
        <w:rPr>
          <w:rFonts w:ascii="Arial" w:cs="Arial" w:eastAsia="Arial" w:hAnsi="Arial"/>
          <w:sz w:val="16"/>
          <w:szCs w:val="16"/>
          <w:color w:val="auto"/>
        </w:rPr>
        <w:t>Notwithstanding anything in this definition to the contrary, an alleged act by the Company shall not constitute a “Good Reason” event for purposes of this Agreement unless Executive gives written notice of the same to the Company within 60 days of the initial existence of such act. Further, for avoidance of doubt, nothing in this Agreement shall preclude the Company from reducing Executive’s annual base salary and/or incentive opportunity as part of an across-the-board compensation adjustment to other employees at Executive’s level of employment.</w:t>
      </w:r>
    </w:p>
    <w:p>
      <w:pPr>
        <w:spacing w:after="0" w:line="59" w:lineRule="exact"/>
        <w:rPr>
          <w:rFonts w:ascii="Arial" w:cs="Arial" w:eastAsia="Arial" w:hAnsi="Arial"/>
          <w:sz w:val="17"/>
          <w:szCs w:val="17"/>
          <w:color w:val="auto"/>
        </w:rPr>
      </w:pPr>
    </w:p>
    <w:p>
      <w:pPr>
        <w:ind w:left="436" w:right="40" w:hanging="436"/>
        <w:spacing w:after="0" w:line="302" w:lineRule="auto"/>
        <w:tabs>
          <w:tab w:leader="none" w:pos="4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means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59" w:lineRule="exact"/>
        <w:rPr>
          <w:rFonts w:ascii="Arial" w:cs="Arial" w:eastAsia="Arial" w:hAnsi="Arial"/>
          <w:sz w:val="16"/>
          <w:szCs w:val="16"/>
          <w:color w:val="auto"/>
        </w:rPr>
      </w:pPr>
    </w:p>
    <w:p>
      <w:pPr>
        <w:ind w:left="436" w:right="20" w:hanging="436"/>
        <w:spacing w:after="0" w:line="277" w:lineRule="auto"/>
        <w:tabs>
          <w:tab w:leader="none" w:pos="4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means a Separation from Service by action of the Company that is not for Cause, or a Separation from Service by action of the Executive that is for Good Reason.</w:t>
      </w:r>
    </w:p>
    <w:p>
      <w:pPr>
        <w:spacing w:after="0" w:line="75" w:lineRule="exact"/>
        <w:rPr>
          <w:rFonts w:ascii="Arial" w:cs="Arial" w:eastAsia="Arial" w:hAnsi="Arial"/>
          <w:sz w:val="18"/>
          <w:szCs w:val="18"/>
          <w:color w:val="auto"/>
        </w:rPr>
      </w:pPr>
    </w:p>
    <w:p>
      <w:pPr>
        <w:ind w:left="436" w:hanging="436"/>
        <w:spacing w:after="0"/>
        <w:tabs>
          <w:tab w:leader="none" w:pos="4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Restrictive Period</w:t>
      </w:r>
      <w:r>
        <w:rPr>
          <w:rFonts w:ascii="Arial" w:cs="Arial" w:eastAsia="Arial" w:hAnsi="Arial"/>
          <w:sz w:val="17"/>
          <w:szCs w:val="17"/>
          <w:color w:val="auto"/>
        </w:rPr>
        <w:t>” means a period of months following the end of Executive’s employment, regardless of reason, which is equal to twelve</w:t>
      </w:r>
    </w:p>
    <w:p>
      <w:pPr>
        <w:spacing w:after="0" w:line="34" w:lineRule="exact"/>
        <w:rPr>
          <w:rFonts w:ascii="Arial" w:cs="Arial" w:eastAsia="Arial" w:hAnsi="Arial"/>
          <w:sz w:val="17"/>
          <w:szCs w:val="17"/>
          <w:color w:val="auto"/>
        </w:rPr>
      </w:pPr>
    </w:p>
    <w:p>
      <w:pPr>
        <w:ind w:left="436" w:right="260" w:hanging="4"/>
        <w:spacing w:after="0" w:line="261" w:lineRule="auto"/>
        <w:tabs>
          <w:tab w:leader="none" w:pos="781" w:val="left"/>
        </w:tabs>
        <w:numPr>
          <w:ilvl w:val="1"/>
          <w:numId w:val="24"/>
        </w:numPr>
        <w:rPr>
          <w:rFonts w:ascii="Arial" w:cs="Arial" w:eastAsia="Arial" w:hAnsi="Arial"/>
          <w:sz w:val="18"/>
          <w:szCs w:val="18"/>
          <w:color w:val="auto"/>
        </w:rPr>
      </w:pPr>
      <w:r>
        <w:rPr>
          <w:rFonts w:ascii="Arial" w:cs="Arial" w:eastAsia="Arial" w:hAnsi="Arial"/>
          <w:sz w:val="18"/>
          <w:szCs w:val="18"/>
          <w:color w:val="auto"/>
        </w:rPr>
        <w:t>months or the number of months for which Executive has received base salary payments (whether in the form of continuation payments or lump sum payment), whichever is greater.</w:t>
      </w:r>
    </w:p>
    <w:p>
      <w:pPr>
        <w:spacing w:after="0" w:line="89" w:lineRule="exact"/>
        <w:rPr>
          <w:rFonts w:ascii="Arial" w:cs="Arial" w:eastAsia="Arial" w:hAnsi="Arial"/>
          <w:sz w:val="18"/>
          <w:szCs w:val="18"/>
          <w:color w:val="auto"/>
        </w:rPr>
      </w:pPr>
    </w:p>
    <w:p>
      <w:pPr>
        <w:ind w:left="436" w:hanging="436"/>
        <w:spacing w:after="0"/>
        <w:tabs>
          <w:tab w:leader="none" w:pos="4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means Executive’s “separation from service” as defined in Treasury Regulation Section 1.409A-1(h).</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16"/>
          </w:cols>
          <w:pgMar w:left="444" w:top="274" w:right="439" w:bottom="1440" w:gutter="0" w:footer="0" w:header="0"/>
        </w:sectPr>
      </w:pPr>
    </w:p>
    <w:bookmarkStart w:id="19" w:name="page20"/>
    <w:bookmarkEnd w:id="19"/>
    <w:p>
      <w:pPr>
        <w:ind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Executive and the Company (by action of its duly authorized officers) have executed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14605</wp:posOffset>
            </wp:positionV>
            <wp:extent cx="25984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14605</wp:posOffset>
            </wp:positionV>
            <wp:extent cx="24612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14605</wp:posOffset>
            </wp:positionV>
            <wp:extent cx="25215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197485</wp:posOffset>
            </wp:positionV>
            <wp:extent cx="27959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8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14605</wp:posOffset>
            </wp:positionV>
            <wp:extent cx="24612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0"/>
          </w:cols>
          <w:pgMar w:left="440" w:top="270" w:right="699" w:bottom="1440" w:gutter="0" w:footer="0" w:header="0"/>
        </w:sectPr>
      </w:pPr>
    </w:p>
    <w:bookmarkStart w:id="20" w:name="page21"/>
    <w:bookmarkEnd w:id="20"/>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Executive’s Severance Payment subsequent to a Change in Control as provided in paragraph 1(c)(i) shall be a lump sum payment equal to:</w:t>
      </w:r>
    </w:p>
    <w:p>
      <w:pPr>
        <w:spacing w:after="0" w:line="154" w:lineRule="exact"/>
        <w:rPr>
          <w:sz w:val="20"/>
          <w:szCs w:val="20"/>
          <w:color w:val="auto"/>
        </w:rPr>
      </w:pPr>
    </w:p>
    <w:p>
      <w:pPr>
        <w:ind w:left="980" w:hanging="54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2.0 times Executive’s base salary (as of the date of Executive’s termination); plus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 times Executive’s target bonus.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19"/>
          </w:cols>
          <w:pgMar w:left="440" w:top="270"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5495290</wp:posOffset>
            </wp:positionH>
            <wp:positionV relativeFrom="paragraph">
              <wp:posOffset>172085</wp:posOffset>
            </wp:positionV>
            <wp:extent cx="1509395" cy="488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509395" cy="4889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814705</wp:posOffset>
            </wp:positionV>
            <wp:extent cx="702945" cy="702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August 27,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Names Thomas DeByle as New Chief Financial Officer</w:t>
      </w:r>
    </w:p>
    <w:p>
      <w:pPr>
        <w:spacing w:after="0" w:line="225"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Charlotte, N.C., August 27, 2019 – </w:t>
      </w:r>
      <w:r>
        <w:rPr>
          <w:rFonts w:ascii="Arial" w:cs="Arial" w:eastAsia="Arial" w:hAnsi="Arial"/>
          <w:sz w:val="18"/>
          <w:szCs w:val="18"/>
          <w:color w:val="auto"/>
        </w:rPr>
        <w:t>NN, Inc. (NASDAQ: NNBR), a diversified industrial company, today announced the approval of the appointment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Thomas DeByle as the Company’s Senior Vice President and Chief Financial Officer, which is anticipated to be effective on or before September 23, 2019.</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Mr. DeByle brings over 30 years of public company finance and capital markets experience, a deep background in financial planning and operational management, and extensive knowledge of the diversified industrial manufacturing industry. He most recently served as Vice President, Chief Financial Officer and Treasurer of Standex International Corporation. Prior to that, he held various finance and leadership roles at leading industrial manufacturer Ingersoll-Rand as well as at Actuant Corporation and Johnson Controls.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“Tom has significant experience helping drive strategic growth initiatives at leading diversified industrial companies, and the Board and I are excited to welcome someone of his caliber to the NN team,” said Richard Holder, President and CEO. “We expect to benefit from Tom’s mix of operational experience and deep financial expertise as we execute our strategic plan to position us for long term success.”</w:t>
      </w:r>
    </w:p>
    <w:p>
      <w:pPr>
        <w:spacing w:after="0" w:line="18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 am eager to join the NN team at an exciting point in the Company’s journey,” said Mr. DeByle. “I am confident that my finance and operational experience will allow me to help lead the successful execution of our strategic plan and drive value creation for all our stakeholders.”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Mr. DeByle holds a Master of Business Administration from Marquette University in Milwaukee, WI and a Bachelor of Science Degree from 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Norbert College in DePere, WI.</w:t>
      </w:r>
    </w:p>
    <w:p>
      <w:pPr>
        <w:spacing w:after="0" w:line="21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50 facilities in North America, Europe, South America and China.</w:t>
      </w:r>
    </w:p>
    <w:p>
      <w:pPr>
        <w:sectPr>
          <w:pgSz w:w="11900" w:h="16838" w:orient="portrait"/>
          <w:cols w:equalWidth="0" w:num="1">
            <w:col w:w="11020"/>
          </w:cols>
          <w:pgMar w:left="440" w:top="121" w:right="439" w:bottom="1440" w:gutter="0" w:footer="0" w:header="0"/>
        </w:sectPr>
      </w:pPr>
    </w:p>
    <w:bookmarkStart w:id="22" w:name="page23"/>
    <w:bookmarkEnd w:id="22"/>
    <w:p>
      <w:pPr>
        <w:spacing w:after="0" w:line="28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level of the Company’s indebtedness, the restrictions contained in the Company’s debt agreements, the Company’s ability to obtain financing at favorable rates, if at all, and to refinance existing debt as it matures,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7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4"/>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lowerLetter"/>
      <w:start w:val="1"/>
    </w:lvl>
    <w:lvl w:ilvl="1">
      <w:lvlJc w:val="left"/>
      <w:lvlText w:val="(%2)"/>
      <w:numFmt w:val="lowerRoman"/>
      <w:start w:val="1"/>
    </w:lvl>
  </w:abstractNum>
  <w:abstractNum w:abstractNumId="6">
    <w:nsid w:val="4E6AFB66"/>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7">
    <w:nsid w:val="25E45D32"/>
    <w:multiLevelType w:val="hybridMultilevel"/>
    <w:lvl w:ilvl="0">
      <w:lvlJc w:val="left"/>
      <w:lvlText w:val="(%1)"/>
      <w:numFmt w:val="lowerRoman"/>
      <w:start w:val="2"/>
    </w:lvl>
    <w:lvl w:ilvl="1">
      <w:lvlJc w:val="left"/>
      <w:lvlText w:val="(%2)"/>
      <w:numFmt w:val="decimal"/>
      <w:start w:val="1"/>
    </w:lvl>
  </w:abstractNum>
  <w:abstractNum w:abstractNumId="8">
    <w:nsid w:val="519B500D"/>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decimal"/>
      <w:start w:val="2"/>
    </w:lvl>
  </w:abstractNum>
  <w:abstractNum w:abstractNumId="9">
    <w:nsid w:val="431BD7B7"/>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4"/>
      <w:numFmt w:val="decimal"/>
      <w:start w:val="1"/>
    </w:lvl>
  </w:abstractNum>
  <w:abstractNum w:abstractNumId="10">
    <w:nsid w:val="3F2DBA31"/>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lvl w:ilvl="3">
      <w:lvlJc w:val="left"/>
      <w:lvlText w:val="%4"/>
      <w:numFmt w:val="decimal"/>
      <w:start w:val="1"/>
    </w:lvl>
  </w:abstractNum>
  <w:abstractNum w:abstractNumId="11">
    <w:nsid w:val="7C83E458"/>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12">
    <w:nsid w:val="257130A3"/>
    <w:multiLevelType w:val="hybridMultilevel"/>
    <w:lvl w:ilvl="0">
      <w:lvlJc w:val="left"/>
      <w:lvlText w:val="%1."/>
      <w:numFmt w:val="decimal"/>
      <w:start w:val="3"/>
    </w:lvl>
    <w:lvl w:ilvl="1">
      <w:lvlJc w:val="left"/>
      <w:lvlText w:val="(%2)"/>
      <w:numFmt w:val="lowerLetter"/>
      <w:start w:val="1"/>
    </w:lvl>
  </w:abstractNum>
  <w:abstractNum w:abstractNumId="13">
    <w:nsid w:val="62BBD95A"/>
    <w:multiLevelType w:val="hybridMultilevel"/>
    <w:lvl w:ilvl="0">
      <w:lvlJc w:val="left"/>
      <w:lvlText w:val="%1"/>
      <w:numFmt w:val="decimal"/>
      <w:start w:val="1"/>
    </w:lvl>
    <w:lvl w:ilvl="1">
      <w:lvlJc w:val="left"/>
      <w:lvlText w:val="(%2)"/>
      <w:numFmt w:val="lowerLetter"/>
      <w:start w:val="2"/>
    </w:lvl>
  </w:abstractNum>
  <w:abstractNum w:abstractNumId="14">
    <w:nsid w:val="436C6125"/>
    <w:multiLevelType w:val="hybridMultilevel"/>
    <w:lvl w:ilvl="0">
      <w:lvlJc w:val="left"/>
      <w:lvlText w:val="%1."/>
      <w:numFmt w:val="decimal"/>
      <w:start w:val="7"/>
    </w:lvl>
    <w:lvl w:ilvl="1">
      <w:lvlJc w:val="left"/>
      <w:lvlText w:val="%2"/>
      <w:numFmt w:val="lowerLetter"/>
      <w:start w:val="1"/>
    </w:lvl>
  </w:abstractNum>
  <w:abstractNum w:abstractNumId="15">
    <w:nsid w:val="628C895D"/>
    <w:multiLevelType w:val="hybridMultilevel"/>
    <w:lvl w:ilvl="0">
      <w:lvlJc w:val="left"/>
      <w:lvlText w:val="%1."/>
      <w:numFmt w:val="decimal"/>
      <w:start w:val="10"/>
    </w:lvl>
  </w:abstractNum>
  <w:abstractNum w:abstractNumId="16">
    <w:nsid w:val="333AB105"/>
    <w:multiLevelType w:val="hybridMultilevel"/>
    <w:lvl w:ilvl="0">
      <w:lvlJc w:val="left"/>
      <w:lvlText w:val="%1."/>
      <w:numFmt w:val="decimal"/>
      <w:start w:val="1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2"/>
    </w:lvl>
  </w:abstractNum>
  <w:abstractNum w:abstractNumId="19">
    <w:nsid w:val="2D1D5AE9"/>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20">
    <w:nsid w:val="6763845E"/>
    <w:multiLevelType w:val="hybridMultilevel"/>
    <w:lvl w:ilvl="0">
      <w:lvlJc w:val="left"/>
      <w:lvlText w:val="%1"/>
      <w:numFmt w:val="lowerLetter"/>
      <w:start w:val="1"/>
    </w:lvl>
    <w:lvl w:ilvl="1">
      <w:lvlJc w:val="left"/>
      <w:lvlText w:val="(%2)"/>
      <w:numFmt w:val="lowerRoman"/>
      <w:start w:val="2"/>
    </w:lvl>
  </w:abstractNum>
  <w:abstractNum w:abstractNumId="21">
    <w:nsid w:val="75A2A8D4"/>
    <w:multiLevelType w:val="hybridMultilevel"/>
    <w:lvl w:ilvl="0">
      <w:lvlJc w:val="left"/>
      <w:lvlText w:val="(%1)"/>
      <w:numFmt w:val="lowerLetter"/>
      <w:start w:val="2"/>
    </w:lvl>
    <w:lvl w:ilvl="1">
      <w:lvlJc w:val="left"/>
      <w:lvlText w:val="(%2)"/>
      <w:numFmt w:val="lowerRoman"/>
      <w:start w:val="1"/>
    </w:lvl>
  </w:abstractNum>
  <w:abstractNum w:abstractNumId="22">
    <w:nsid w:val="8EDBDAB"/>
    <w:multiLevelType w:val="hybridMultilevel"/>
    <w:lvl w:ilvl="0">
      <w:lvlJc w:val="left"/>
      <w:lvlText w:val="(%1)"/>
      <w:numFmt w:val="lowerLetter"/>
      <w:start w:val="3"/>
    </w:lvl>
    <w:lvl w:ilvl="1">
      <w:lvlJc w:val="left"/>
      <w:lvlText w:val="(%2)"/>
      <w:numFmt w:val="decimal"/>
      <w:start w:val="3"/>
    </w:lvl>
  </w:abstractNum>
  <w:abstractNum w:abstractNumId="23">
    <w:nsid w:val="79838CB2"/>
    <w:multiLevelType w:val="hybridMultilevel"/>
    <w:lvl w:ilvl="0">
      <w:lvlJc w:val="left"/>
      <w:lvlText w:val="%1"/>
      <w:numFmt w:val="lowerLetter"/>
      <w:start w:val="1"/>
    </w:lvl>
    <w:lvl w:ilvl="1">
      <w:lvlJc w:val="left"/>
      <w:lvlText w:val="(%2)"/>
      <w:numFmt w:val="decimal"/>
      <w:start w:val="12"/>
    </w:lvl>
  </w:abstractNum>
  <w:abstractNum w:abstractNumId="24">
    <w:nsid w:val="4353D0CD"/>
    <w:multiLevelType w:val="hybridMultilevel"/>
    <w:lvl w:ilvl="0">
      <w:lvlJc w:val="left"/>
      <w:lvlText w:val="(%1)"/>
      <w:numFmt w:val="lowerLetter"/>
      <w:start w:val="9"/>
    </w:lvl>
    <w:lvl w:ilvl="1">
      <w:lvlJc w:val="left"/>
      <w:lvlText w:val="%2"/>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png"/><Relationship Id="rId20" Type="http://schemas.openxmlformats.org/officeDocument/2006/relationships/hyperlink" Target="http://www.sec.gov/Archives/edgar/data/918541/000095013102002704/dex106.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2019-12-28T06:29:26Z</dcterms:created>
  <dcterms:modified xsi:type="dcterms:W3CDTF">2019-12-28T06:29:26Z</dcterms:modified>
</cp:coreProperties>
</file>