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pacing w:after="0" w:line="8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5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p>
      <w:pPr>
        <w:spacing w:after="0" w:line="19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ectPr>
          <w:pgSz w:w="11900" w:h="16838" w:orient="portrait"/>
          <w:cols w:equalWidth="0" w:num="3">
            <w:col w:w="1860" w:space="720"/>
            <w:col w:w="2360" w:space="80"/>
            <w:col w:w="5119"/>
          </w:cols>
          <w:pgMar w:left="32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17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20"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25"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23"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2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4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00" w:lineRule="exact"/>
        <w:rPr>
          <w:sz w:val="24"/>
          <w:szCs w:val="24"/>
          <w:color w:val="auto"/>
        </w:rPr>
      </w:pPr>
    </w:p>
    <w:p>
      <w:pPr>
        <w:spacing w:after="0" w:line="206"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71"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71" w:lineRule="exact"/>
        <w:rPr>
          <w:rFonts w:ascii="MS PGothic" w:cs="MS PGothic" w:eastAsia="MS PGothic" w:hAnsi="MS PGothic"/>
          <w:sz w:val="14"/>
          <w:szCs w:val="1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980440</wp:posOffset>
            </wp:positionV>
            <wp:extent cx="865505" cy="874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65505" cy="874395"/>
                    </a:xfrm>
                    <a:prstGeom prst="rect">
                      <a:avLst/>
                    </a:prstGeom>
                    <a:noFill/>
                  </pic:spPr>
                </pic:pic>
              </a:graphicData>
            </a:graphic>
          </wp:anchor>
        </w:drawing>
      </w:r>
    </w:p>
    <w:p>
      <w:pPr>
        <w:spacing w:after="0" w:line="327" w:lineRule="exact"/>
        <w:rPr>
          <w:sz w:val="20"/>
          <w:szCs w:val="20"/>
          <w:color w:val="auto"/>
        </w:rPr>
      </w:pPr>
    </w:p>
    <w:p>
      <w:pPr>
        <w:jc w:val="right"/>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NN, Inc.</w:t>
      </w:r>
      <w:r>
        <w:rPr>
          <w:sz w:val="20"/>
          <w:szCs w:val="20"/>
          <w:color w:val="auto"/>
        </w:rPr>
        <w:tab/>
      </w:r>
      <w:r>
        <w:rPr>
          <w:rFonts w:ascii="Times New Roman" w:cs="Times New Roman" w:eastAsia="Times New Roman" w:hAnsi="Times New Roman"/>
          <w:sz w:val="17"/>
          <w:szCs w:val="17"/>
          <w:color w:val="auto"/>
        </w:rPr>
        <w:t>www.nninc.com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45720</wp:posOffset>
            </wp:positionV>
            <wp:extent cx="57264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6430" cy="17145"/>
                    </a:xfrm>
                    <a:prstGeom prst="rect">
                      <a:avLst/>
                    </a:prstGeom>
                    <a:noFill/>
                  </pic:spPr>
                </pic:pic>
              </a:graphicData>
            </a:graphic>
          </wp:anchor>
        </w:drawing>
      </w:r>
    </w:p>
    <w:p>
      <w:pPr>
        <w:spacing w:after="0" w:line="16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6210 Ardrey Kell Road, Suite 600</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phone: 980-264-4300 • fax: 980-264-4389</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NN, Inc., which will be held on Wednesday, May 25, 2022, at 10:00 a.m., Eastern Time, at the Hilton Garden Inn Charlotte Waverly, 7415 Waverly Walk Avenue, Charlotte, North Carolina 28277.</w:t>
      </w:r>
    </w:p>
    <w:p>
      <w:pPr>
        <w:spacing w:after="0" w:line="162"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Stockholders will be asked to vote on the matters described in the enclosed Proxy Statement. You are urged to read the Proxy Statement carefully before voting.</w:t>
      </w:r>
    </w:p>
    <w:p>
      <w:pPr>
        <w:spacing w:after="0" w:line="16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You may vote on the matters brought before the Annual Meeting by: (i) completing and mailing the enclosed proxy card; (ii) telephone; (iii) Internet; or (iv) appearing in person and voting at the Annual Meeting. Voting instructions are printed on your proxy card. </w:t>
      </w:r>
      <w:r>
        <w:rPr>
          <w:rFonts w:ascii="Times New Roman" w:cs="Times New Roman" w:eastAsia="Times New Roman" w:hAnsi="Times New Roman"/>
          <w:sz w:val="18"/>
          <w:szCs w:val="18"/>
          <w:b w:val="1"/>
          <w:bCs w:val="1"/>
          <w:color w:val="auto"/>
        </w:rPr>
        <w:t>Your vote is important. We encourage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to vote by proxy, even if you plan to attend the Annual Meeting.</w:t>
      </w:r>
    </w:p>
    <w:p>
      <w:pPr>
        <w:spacing w:after="0" w:line="200" w:lineRule="exact"/>
        <w:rPr>
          <w:sz w:val="20"/>
          <w:szCs w:val="20"/>
          <w:color w:val="auto"/>
        </w:rPr>
      </w:pPr>
    </w:p>
    <w:p>
      <w:pPr>
        <w:spacing w:after="0" w:line="34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102870</wp:posOffset>
            </wp:positionV>
            <wp:extent cx="132842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84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Warren A. Veltman</w:t>
      </w:r>
    </w:p>
    <w:p>
      <w:pPr>
        <w:spacing w:after="0" w:line="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3431540</wp:posOffset>
            </wp:positionH>
            <wp:positionV relativeFrom="page">
              <wp:posOffset>645795</wp:posOffset>
            </wp:positionV>
            <wp:extent cx="762635"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626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6210 Ardrey Kell Road, Suite 600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ind w:firstLine="992"/>
        <w:spacing w:after="0" w:line="282" w:lineRule="auto"/>
        <w:rPr>
          <w:sz w:val="20"/>
          <w:szCs w:val="20"/>
          <w:color w:val="auto"/>
        </w:rPr>
      </w:pPr>
      <w:r>
        <w:rPr>
          <w:rFonts w:ascii="Times New Roman" w:cs="Times New Roman" w:eastAsia="Times New Roman" w:hAnsi="Times New Roman"/>
          <w:sz w:val="14"/>
          <w:szCs w:val="14"/>
          <w:color w:val="auto"/>
        </w:rPr>
        <w:t>Notice is hereby given that the Annual Meeting of Stockholders of NN, Inc., a Delaware corporation, will be held on Wednesday, May 25, 2022, at 10:00 a.m., Eastern Time, at the Hilton Garden Inn Charlotte Waverly, 7415 Waverly Walk Avenue, Charlotte, North Carolina 28277, for the following purposes:</w:t>
      </w:r>
    </w:p>
    <w:p>
      <w:pPr>
        <w:spacing w:after="0" w:line="54" w:lineRule="exact"/>
        <w:rPr>
          <w:sz w:val="20"/>
          <w:szCs w:val="20"/>
          <w:color w:val="auto"/>
        </w:rPr>
      </w:pPr>
    </w:p>
    <w:p>
      <w:pPr>
        <w:ind w:left="1300" w:hanging="301"/>
        <w:spacing w:after="0"/>
        <w:tabs>
          <w:tab w:leader="none" w:pos="1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the nine directors each named herein to serve for a term of one year;</w:t>
      </w:r>
    </w:p>
    <w:p>
      <w:pPr>
        <w:spacing w:after="0" w:line="109" w:lineRule="exact"/>
        <w:rPr>
          <w:rFonts w:ascii="Times New Roman" w:cs="Times New Roman" w:eastAsia="Times New Roman" w:hAnsi="Times New Roman"/>
          <w:sz w:val="14"/>
          <w:szCs w:val="14"/>
          <w:color w:val="auto"/>
        </w:rPr>
      </w:pPr>
    </w:p>
    <w:p>
      <w:pPr>
        <w:ind w:left="1300" w:hanging="301"/>
        <w:spacing w:after="0"/>
        <w:tabs>
          <w:tab w:leader="none" w:pos="1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2022 Omnibus Incentive Plan;</w:t>
      </w:r>
    </w:p>
    <w:p>
      <w:pPr>
        <w:spacing w:after="0" w:line="109" w:lineRule="exact"/>
        <w:rPr>
          <w:rFonts w:ascii="Times New Roman" w:cs="Times New Roman" w:eastAsia="Times New Roman" w:hAnsi="Times New Roman"/>
          <w:sz w:val="14"/>
          <w:szCs w:val="14"/>
          <w:color w:val="auto"/>
        </w:rPr>
      </w:pPr>
    </w:p>
    <w:p>
      <w:pPr>
        <w:ind w:left="1300" w:hanging="301"/>
        <w:spacing w:after="0"/>
        <w:tabs>
          <w:tab w:leader="none" w:pos="1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cast an advisory (non-binding) vote to approve the compensation of our named executive officers;</w:t>
      </w:r>
    </w:p>
    <w:p>
      <w:pPr>
        <w:spacing w:after="0" w:line="109" w:lineRule="exact"/>
        <w:rPr>
          <w:rFonts w:ascii="Times New Roman" w:cs="Times New Roman" w:eastAsia="Times New Roman" w:hAnsi="Times New Roman"/>
          <w:sz w:val="14"/>
          <w:szCs w:val="14"/>
          <w:color w:val="auto"/>
        </w:rPr>
      </w:pPr>
    </w:p>
    <w:p>
      <w:pPr>
        <w:ind w:left="1440" w:right="400" w:hanging="441"/>
        <w:spacing w:after="0" w:line="282" w:lineRule="auto"/>
        <w:tabs>
          <w:tab w:leader="none" w:pos="13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cast an advisory (non-binding) vote to ratify the selection of Grant Thornton LLP as our registered independent public accounting firm for the fiscal year ending December 31, 2022; and</w:t>
      </w:r>
    </w:p>
    <w:p>
      <w:pPr>
        <w:spacing w:after="0" w:line="53" w:lineRule="exact"/>
        <w:rPr>
          <w:rFonts w:ascii="Times New Roman" w:cs="Times New Roman" w:eastAsia="Times New Roman" w:hAnsi="Times New Roman"/>
          <w:sz w:val="14"/>
          <w:szCs w:val="14"/>
          <w:color w:val="auto"/>
        </w:rPr>
      </w:pPr>
    </w:p>
    <w:p>
      <w:pPr>
        <w:ind w:left="1300" w:hanging="301"/>
        <w:spacing w:after="0"/>
        <w:tabs>
          <w:tab w:leader="none" w:pos="1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on any other business as properly may come before the Annual Meeting.</w:t>
      </w:r>
    </w:p>
    <w:p>
      <w:pPr>
        <w:spacing w:after="0" w:line="217" w:lineRule="exact"/>
        <w:rPr>
          <w:sz w:val="20"/>
          <w:szCs w:val="20"/>
          <w:color w:val="auto"/>
        </w:rPr>
      </w:pPr>
    </w:p>
    <w:p>
      <w:pPr>
        <w:ind w:right="320" w:firstLine="992"/>
        <w:spacing w:after="0" w:line="282" w:lineRule="auto"/>
        <w:rPr>
          <w:sz w:val="20"/>
          <w:szCs w:val="20"/>
          <w:color w:val="auto"/>
        </w:rPr>
      </w:pPr>
      <w:r>
        <w:rPr>
          <w:rFonts w:ascii="Times New Roman" w:cs="Times New Roman" w:eastAsia="Times New Roman" w:hAnsi="Times New Roman"/>
          <w:sz w:val="14"/>
          <w:szCs w:val="14"/>
          <w:color w:val="auto"/>
        </w:rPr>
        <w:t>Our Board of Directors recommends a vote “FOR ALL” director nominees in Item 1 and “FOR” Items 2, 3 and 4, and for any business that may properly come before the Annual Meeting, subject to the discretion of the appointed proxies. Details regarding each of the first four items are contained in the accompanying Proxy Statement.</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4"/>
          <w:szCs w:val="14"/>
          <w:color w:val="auto"/>
        </w:rPr>
        <w:t>The record date for the Annual Meeting is March 31, 2022. If you hold shares of our common stock at the close of business on March 31, 2022, you are entitled to vote at the Annual Meeting.</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225" w:lineRule="exact"/>
        <w:rPr>
          <w:sz w:val="20"/>
          <w:szCs w:val="20"/>
          <w:color w:val="auto"/>
        </w:rPr>
      </w:pPr>
    </w:p>
    <w:p>
      <w:pPr>
        <w:ind w:right="460" w:firstLine="992"/>
        <w:spacing w:after="0" w:line="291" w:lineRule="auto"/>
        <w:rPr>
          <w:sz w:val="20"/>
          <w:szCs w:val="20"/>
          <w:color w:val="auto"/>
        </w:rPr>
      </w:pPr>
      <w:r>
        <w:rPr>
          <w:rFonts w:ascii="Times New Roman" w:cs="Times New Roman" w:eastAsia="Times New Roman" w:hAnsi="Times New Roman"/>
          <w:sz w:val="17"/>
          <w:szCs w:val="17"/>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94615</wp:posOffset>
            </wp:positionV>
            <wp:extent cx="113982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98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Matthew S. Heiter</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w:t>
      </w:r>
    </w:p>
    <w:p>
      <w:pPr>
        <w:spacing w:after="0" w:line="1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April 15, 2022</w:t>
      </w:r>
    </w:p>
    <w:p>
      <w:pPr>
        <w:spacing w:after="0" w:line="200" w:lineRule="exact"/>
        <w:rPr>
          <w:sz w:val="20"/>
          <w:szCs w:val="20"/>
          <w:color w:val="auto"/>
        </w:rPr>
      </w:pPr>
    </w:p>
    <w:p>
      <w:pPr>
        <w:spacing w:after="0" w:line="345" w:lineRule="exact"/>
        <w:rPr>
          <w:sz w:val="20"/>
          <w:szCs w:val="20"/>
          <w:color w:val="auto"/>
        </w:rPr>
      </w:pPr>
    </w:p>
    <w:p>
      <w:pPr>
        <w:jc w:val="center"/>
        <w:ind w:left="440" w:right="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MAY 25,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Proxy Statement for the Annual Meeting is available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1440"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607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225" w:lineRule="exact"/>
        <w:rPr>
          <w:sz w:val="20"/>
          <w:szCs w:val="20"/>
          <w:color w:val="auto"/>
        </w:rPr>
      </w:pPr>
    </w:p>
    <w:p>
      <w:pPr>
        <w:ind w:right="120" w:firstLine="9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2021, please review our Annual Report on Form 10-K for the year ended December 31, 2021, which was filed with the Securities and Exchange Commission on March 11,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Annual Meeting Information</w:t>
      </w:r>
    </w:p>
    <w:p>
      <w:pPr>
        <w:spacing w:after="0" w:line="335"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Time and Date:</w:t>
      </w:r>
      <w:r>
        <w:rPr>
          <w:sz w:val="20"/>
          <w:szCs w:val="20"/>
          <w:color w:val="auto"/>
        </w:rPr>
        <w:tab/>
      </w:r>
      <w:r>
        <w:rPr>
          <w:rFonts w:ascii="Times New Roman" w:cs="Times New Roman" w:eastAsia="Times New Roman" w:hAnsi="Times New Roman"/>
          <w:sz w:val="17"/>
          <w:szCs w:val="17"/>
          <w:color w:val="auto"/>
        </w:rPr>
        <w:t>10:00 a.m., Eastern Time, on Wednesday, May 25, 2022</w:t>
      </w:r>
    </w:p>
    <w:p>
      <w:pPr>
        <w:spacing w:after="0" w:line="131"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Location:</w:t>
      </w:r>
      <w:r>
        <w:rPr>
          <w:sz w:val="20"/>
          <w:szCs w:val="20"/>
          <w:color w:val="auto"/>
        </w:rPr>
        <w:tab/>
      </w:r>
      <w:r>
        <w:rPr>
          <w:rFonts w:ascii="Times New Roman" w:cs="Times New Roman" w:eastAsia="Times New Roman" w:hAnsi="Times New Roman"/>
          <w:sz w:val="18"/>
          <w:szCs w:val="18"/>
          <w:color w:val="auto"/>
        </w:rPr>
        <w:t>Hilton Garden Inn Charlotte Waverly, 7415 Waverly Walk Avenue, Charlotte, North Carolina 28277</w:t>
      </w:r>
    </w:p>
    <w:p>
      <w:pPr>
        <w:spacing w:after="0" w:line="131"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Record Date:</w:t>
      </w:r>
      <w:r>
        <w:rPr>
          <w:sz w:val="20"/>
          <w:szCs w:val="20"/>
          <w:color w:val="auto"/>
        </w:rPr>
        <w:tab/>
      </w:r>
      <w:r>
        <w:rPr>
          <w:rFonts w:ascii="Times New Roman" w:cs="Times New Roman" w:eastAsia="Times New Roman" w:hAnsi="Times New Roman"/>
          <w:sz w:val="17"/>
          <w:szCs w:val="17"/>
          <w:color w:val="auto"/>
        </w:rPr>
        <w:t>March 31, 2022</w:t>
      </w:r>
    </w:p>
    <w:p>
      <w:pPr>
        <w:spacing w:after="0" w:line="131" w:lineRule="exact"/>
        <w:rPr>
          <w:sz w:val="20"/>
          <w:szCs w:val="20"/>
          <w:color w:val="auto"/>
        </w:rPr>
      </w:pPr>
    </w:p>
    <w:p>
      <w:pPr>
        <w:ind w:left="1560" w:right="160" w:hanging="1539"/>
        <w:spacing w:after="0" w:line="266" w:lineRule="auto"/>
        <w:tabs>
          <w:tab w:leader="none" w:pos="1540" w:val="left"/>
        </w:tabs>
        <w:rPr>
          <w:sz w:val="20"/>
          <w:szCs w:val="20"/>
          <w:color w:val="auto"/>
        </w:rPr>
      </w:pPr>
      <w:r>
        <w:rPr>
          <w:rFonts w:ascii="Times New Roman" w:cs="Times New Roman" w:eastAsia="Times New Roman" w:hAnsi="Times New Roman"/>
          <w:sz w:val="18"/>
          <w:szCs w:val="18"/>
          <w:i w:val="1"/>
          <w:iCs w:val="1"/>
          <w:color w:val="auto"/>
        </w:rPr>
        <w:t>Voting:</w:t>
      </w:r>
      <w:r>
        <w:rPr>
          <w:sz w:val="20"/>
          <w:szCs w:val="20"/>
          <w:color w:val="auto"/>
        </w:rPr>
        <w:tab/>
      </w:r>
      <w:r>
        <w:rPr>
          <w:rFonts w:ascii="Times New Roman" w:cs="Times New Roman" w:eastAsia="Times New Roman" w:hAnsi="Times New Roman"/>
          <w:sz w:val="18"/>
          <w:szCs w:val="18"/>
          <w:color w:val="auto"/>
        </w:rPr>
        <w:t>Stockholders as of the record date are entitled to vote. Each share of common stock is entitled to one vote for each director nominee and one vote for each other proposal to be voted on. On the record date, there were 43,890,305 shares of common stock issued and outstanding and entitled to vote at the Annual Meeting.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21" w:lineRule="exact"/>
        <w:rPr>
          <w:sz w:val="20"/>
          <w:szCs w:val="20"/>
          <w:color w:val="auto"/>
        </w:rPr>
      </w:pPr>
    </w:p>
    <w:p>
      <w:pPr>
        <w:ind w:right="320" w:firstLine="992"/>
        <w:spacing w:after="0" w:line="282" w:lineRule="auto"/>
        <w:rPr>
          <w:sz w:val="20"/>
          <w:szCs w:val="20"/>
          <w:color w:val="auto"/>
        </w:rPr>
      </w:pPr>
      <w:r>
        <w:rPr>
          <w:rFonts w:ascii="Times New Roman" w:cs="Times New Roman" w:eastAsia="Times New Roman" w:hAnsi="Times New Roman"/>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54" w:lineRule="exact"/>
        <w:rPr>
          <w:sz w:val="20"/>
          <w:szCs w:val="20"/>
          <w:color w:val="auto"/>
        </w:rPr>
      </w:pPr>
    </w:p>
    <w:p>
      <w:pPr>
        <w:ind w:left="1740" w:hanging="234"/>
        <w:spacing w:after="0"/>
        <w:tabs>
          <w:tab w:leader="none" w:pos="1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enclosed proxy card;</w:t>
      </w:r>
    </w:p>
    <w:p>
      <w:pPr>
        <w:spacing w:after="0" w:line="117" w:lineRule="exact"/>
        <w:rPr>
          <w:rFonts w:ascii="Times New Roman" w:cs="Times New Roman" w:eastAsia="Times New Roman" w:hAnsi="Times New Roman"/>
          <w:sz w:val="18"/>
          <w:szCs w:val="18"/>
          <w:color w:val="auto"/>
        </w:rPr>
      </w:pPr>
    </w:p>
    <w:p>
      <w:pPr>
        <w:ind w:left="1740" w:hanging="234"/>
        <w:spacing w:after="0"/>
        <w:tabs>
          <w:tab w:leader="none" w:pos="1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17" w:lineRule="exact"/>
        <w:rPr>
          <w:rFonts w:ascii="Times New Roman" w:cs="Times New Roman" w:eastAsia="Times New Roman" w:hAnsi="Times New Roman"/>
          <w:sz w:val="18"/>
          <w:szCs w:val="18"/>
          <w:color w:val="auto"/>
        </w:rPr>
      </w:pPr>
    </w:p>
    <w:p>
      <w:pPr>
        <w:ind w:left="1740" w:hanging="234"/>
        <w:spacing w:after="0"/>
        <w:tabs>
          <w:tab w:leader="none" w:pos="1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17" w:lineRule="exact"/>
        <w:rPr>
          <w:rFonts w:ascii="Times New Roman" w:cs="Times New Roman" w:eastAsia="Times New Roman" w:hAnsi="Times New Roman"/>
          <w:sz w:val="18"/>
          <w:szCs w:val="18"/>
          <w:color w:val="auto"/>
        </w:rPr>
      </w:pPr>
    </w:p>
    <w:p>
      <w:pPr>
        <w:ind w:left="1740" w:hanging="234"/>
        <w:spacing w:after="0"/>
        <w:tabs>
          <w:tab w:leader="none" w:pos="1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pacing w:after="0" w:line="225" w:lineRule="exact"/>
        <w:rPr>
          <w:sz w:val="20"/>
          <w:szCs w:val="20"/>
          <w:color w:val="auto"/>
        </w:rPr>
      </w:pPr>
    </w:p>
    <w:p>
      <w:pPr>
        <w:ind w:right="200" w:firstLine="992"/>
        <w:spacing w:after="0" w:line="282" w:lineRule="auto"/>
        <w:rPr>
          <w:sz w:val="20"/>
          <w:szCs w:val="20"/>
          <w:color w:val="auto"/>
        </w:rPr>
      </w:pPr>
      <w:r>
        <w:rPr>
          <w:rFonts w:ascii="Times New Roman" w:cs="Times New Roman" w:eastAsia="Times New Roman" w:hAnsi="Times New Roman"/>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of Business for Annual Meeting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Voting</w:t>
            </w:r>
          </w:p>
        </w:tc>
      </w:tr>
      <w:tr>
        <w:trPr>
          <w:trHeight w:val="19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8320" w:type="dxa"/>
            <w:vAlign w:val="bottom"/>
            <w:gridSpan w:val="2"/>
          </w:tcPr>
          <w:p>
            <w:pPr>
              <w:ind w:left="346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r>
      <w:tr>
        <w:trPr>
          <w:trHeight w:val="23"/>
        </w:trPr>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I</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Election of the nine directors each named herein to serve for a term of one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ALL”</w:t>
            </w:r>
          </w:p>
        </w:tc>
      </w:tr>
      <w:tr>
        <w:trPr>
          <w:trHeight w:val="33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II</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Approval of the 2022 Omnibus Incentive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36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III</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Advisory (non-binding) vote to approve the compensation of our named executive officers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31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IV</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Advisory (non-binding) vote to ratify the selection of Grant Thornton LLP as our registered independent public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accounting firm</w:t>
            </w:r>
          </w:p>
        </w:tc>
        <w:tc>
          <w:tcPr>
            <w:tcW w:w="1460" w:type="dxa"/>
            <w:vAlign w:val="bottom"/>
          </w:tcPr>
          <w:p>
            <w:pPr>
              <w:spacing w:after="0"/>
              <w:rPr>
                <w:sz w:val="20"/>
                <w:szCs w:val="20"/>
                <w:color w:val="auto"/>
              </w:rPr>
            </w:pPr>
          </w:p>
        </w:tc>
      </w:tr>
    </w:tbl>
    <w:p>
      <w:pPr>
        <w:sectPr>
          <w:pgSz w:w="11900" w:h="16838" w:orient="portrait"/>
          <w:cols w:equalWidth="0" w:num="1">
            <w:col w:w="11000"/>
          </w:cols>
          <w:pgMar w:left="440" w:top="144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69735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973570"/>
                    </a:xfrm>
                    <a:prstGeom prst="rect">
                      <a:avLst/>
                    </a:prstGeom>
                    <a:noFill/>
                  </pic:spPr>
                </pic:pic>
              </a:graphicData>
            </a:graphic>
          </wp:anchor>
        </w:drawing>
        <w:t>Director Nominees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to be voted on at the Annual Meeting: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00" w:type="dxa"/>
            <w:vAlign w:val="bottom"/>
          </w:tcPr>
          <w:p>
            <w:pPr>
              <w:spacing w:after="0"/>
              <w:rPr>
                <w:sz w:val="14"/>
                <w:szCs w:val="14"/>
                <w:color w:val="auto"/>
              </w:rPr>
            </w:pPr>
          </w:p>
        </w:tc>
      </w:tr>
      <w:tr>
        <w:trPr>
          <w:trHeight w:val="19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Positions with Company</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Memberships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23"/>
        </w:trPr>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20"/>
                <w:szCs w:val="20"/>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 CC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E. Brunner</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tcPr>
          <w:p>
            <w:pPr>
              <w:spacing w:after="0"/>
              <w:rPr>
                <w:sz w:val="23"/>
                <w:szCs w:val="23"/>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 GC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3"/>
                <w:szCs w:val="23"/>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AC, GC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3"/>
                <w:szCs w:val="23"/>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AC, GC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3"/>
                <w:szCs w:val="23"/>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 CC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3"/>
                <w:szCs w:val="23"/>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 Non-Executive Chairman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 GC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Shihab Kuran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3"/>
                <w:szCs w:val="23"/>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 GC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3"/>
                <w:szCs w:val="23"/>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None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3"/>
                <w:szCs w:val="23"/>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AC, GC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3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 </w:t>
      </w:r>
      <w:r>
        <w:rPr>
          <w:rFonts w:ascii="Times New Roman" w:cs="Times New Roman" w:eastAsia="Times New Roman" w:hAnsi="Times New Roman"/>
          <w:sz w:val="18"/>
          <w:szCs w:val="18"/>
          <w:color w:val="auto"/>
        </w:rPr>
        <w:t>– Audit Committee;</w:t>
      </w:r>
      <w:r>
        <w:rPr>
          <w:rFonts w:ascii="Times New Roman" w:cs="Times New Roman" w:eastAsia="Times New Roman" w:hAnsi="Times New Roman"/>
          <w:sz w:val="18"/>
          <w:szCs w:val="18"/>
          <w:b w:val="1"/>
          <w:bCs w:val="1"/>
          <w:i w:val="1"/>
          <w:iCs w:val="1"/>
          <w:color w:val="auto"/>
        </w:rPr>
        <w:t xml:space="preserve"> CC </w:t>
      </w:r>
      <w:r>
        <w:rPr>
          <w:rFonts w:ascii="Times New Roman" w:cs="Times New Roman" w:eastAsia="Times New Roman" w:hAnsi="Times New Roman"/>
          <w:sz w:val="18"/>
          <w:szCs w:val="18"/>
          <w:color w:val="auto"/>
        </w:rPr>
        <w:t>– Compensation Committee;</w:t>
      </w:r>
      <w:r>
        <w:rPr>
          <w:rFonts w:ascii="Times New Roman" w:cs="Times New Roman" w:eastAsia="Times New Roman" w:hAnsi="Times New Roman"/>
          <w:sz w:val="18"/>
          <w:szCs w:val="18"/>
          <w:b w:val="1"/>
          <w:bCs w:val="1"/>
          <w:i w:val="1"/>
          <w:iCs w:val="1"/>
          <w:color w:val="auto"/>
        </w:rPr>
        <w:t xml:space="preserve"> GC </w:t>
      </w:r>
      <w:r>
        <w:rPr>
          <w:rFonts w:ascii="Times New Roman" w:cs="Times New Roman" w:eastAsia="Times New Roman" w:hAnsi="Times New Roman"/>
          <w:sz w:val="18"/>
          <w:szCs w:val="18"/>
          <w:color w:val="auto"/>
        </w:rPr>
        <w:t>– Governance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Summary</w:t>
      </w:r>
    </w:p>
    <w:p>
      <w:pPr>
        <w:spacing w:after="0" w:line="121" w:lineRule="exact"/>
        <w:rPr>
          <w:sz w:val="20"/>
          <w:szCs w:val="20"/>
          <w:color w:val="auto"/>
        </w:rPr>
      </w:pPr>
    </w:p>
    <w:p>
      <w:pPr>
        <w:ind w:right="500" w:firstLine="1296"/>
        <w:spacing w:after="0" w:line="266" w:lineRule="auto"/>
        <w:rPr>
          <w:sz w:val="20"/>
          <w:szCs w:val="20"/>
          <w:color w:val="auto"/>
        </w:rPr>
      </w:pPr>
      <w:r>
        <w:rPr>
          <w:rFonts w:ascii="Times New Roman" w:cs="Times New Roman" w:eastAsia="Times New Roman" w:hAnsi="Times New Roman"/>
          <w:sz w:val="18"/>
          <w:szCs w:val="18"/>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68" w:lineRule="exact"/>
        <w:rPr>
          <w:sz w:val="20"/>
          <w:szCs w:val="20"/>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all directors of the Company;</w:t>
      </w:r>
    </w:p>
    <w:p>
      <w:pPr>
        <w:spacing w:after="0" w:line="117" w:lineRule="exact"/>
        <w:rPr>
          <w:rFonts w:ascii="Times New Roman" w:cs="Times New Roman" w:eastAsia="Times New Roman" w:hAnsi="Times New Roman"/>
          <w:sz w:val="18"/>
          <w:szCs w:val="18"/>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independent directors, except for our Chief Executive Officer;</w:t>
      </w:r>
    </w:p>
    <w:p>
      <w:pPr>
        <w:spacing w:after="0" w:line="117" w:lineRule="exact"/>
        <w:rPr>
          <w:rFonts w:ascii="Times New Roman" w:cs="Times New Roman" w:eastAsia="Times New Roman" w:hAnsi="Times New Roman"/>
          <w:sz w:val="18"/>
          <w:szCs w:val="18"/>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presiding Chairman of the Board of Directors;</w:t>
      </w:r>
    </w:p>
    <w:p>
      <w:pPr>
        <w:spacing w:after="0" w:line="117" w:lineRule="exact"/>
        <w:rPr>
          <w:rFonts w:ascii="Times New Roman" w:cs="Times New Roman" w:eastAsia="Times New Roman" w:hAnsi="Times New Roman"/>
          <w:sz w:val="18"/>
          <w:szCs w:val="18"/>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committees consist entirely of independent directors;</w:t>
      </w:r>
    </w:p>
    <w:p>
      <w:pPr>
        <w:spacing w:after="0" w:line="117" w:lineRule="exact"/>
        <w:rPr>
          <w:rFonts w:ascii="Times New Roman" w:cs="Times New Roman" w:eastAsia="Times New Roman" w:hAnsi="Times New Roman"/>
          <w:sz w:val="18"/>
          <w:szCs w:val="18"/>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by our Board of Directors and our standing committees;</w:t>
      </w:r>
    </w:p>
    <w:p>
      <w:pPr>
        <w:spacing w:after="0" w:line="117" w:lineRule="exact"/>
        <w:rPr>
          <w:rFonts w:ascii="Times New Roman" w:cs="Times New Roman" w:eastAsia="Times New Roman" w:hAnsi="Times New Roman"/>
          <w:sz w:val="18"/>
          <w:szCs w:val="18"/>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of independent directors;</w:t>
      </w:r>
    </w:p>
    <w:p>
      <w:pPr>
        <w:spacing w:after="0" w:line="117" w:lineRule="exact"/>
        <w:rPr>
          <w:rFonts w:ascii="Times New Roman" w:cs="Times New Roman" w:eastAsia="Times New Roman" w:hAnsi="Times New Roman"/>
          <w:sz w:val="18"/>
          <w:szCs w:val="18"/>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driven by pay-for-performance philosophy;</w:t>
      </w:r>
    </w:p>
    <w:p>
      <w:pPr>
        <w:spacing w:after="0" w:line="117" w:lineRule="exact"/>
        <w:rPr>
          <w:rFonts w:ascii="Times New Roman" w:cs="Times New Roman" w:eastAsia="Times New Roman" w:hAnsi="Times New Roman"/>
          <w:sz w:val="18"/>
          <w:szCs w:val="18"/>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uncontested director elections;</w:t>
      </w:r>
    </w:p>
    <w:p>
      <w:pPr>
        <w:spacing w:after="0" w:line="117" w:lineRule="exact"/>
        <w:rPr>
          <w:rFonts w:ascii="Times New Roman" w:cs="Times New Roman" w:eastAsia="Times New Roman" w:hAnsi="Times New Roman"/>
          <w:sz w:val="18"/>
          <w:szCs w:val="18"/>
          <w:color w:val="auto"/>
        </w:rPr>
      </w:pPr>
    </w:p>
    <w:p>
      <w:pPr>
        <w:ind w:left="1940" w:hanging="398"/>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directors’ service on other public company boards and audit committees;</w:t>
      </w:r>
    </w:p>
    <w:p>
      <w:pPr>
        <w:spacing w:after="0" w:line="117" w:lineRule="exact"/>
        <w:rPr>
          <w:rFonts w:ascii="Times New Roman" w:cs="Times New Roman" w:eastAsia="Times New Roman" w:hAnsi="Times New Roman"/>
          <w:sz w:val="18"/>
          <w:szCs w:val="18"/>
          <w:color w:val="auto"/>
        </w:rPr>
      </w:pPr>
    </w:p>
    <w:p>
      <w:pPr>
        <w:ind w:left="1940" w:right="40" w:hanging="398"/>
        <w:spacing w:after="0" w:line="282" w:lineRule="auto"/>
        <w:tabs>
          <w:tab w:leader="none" w:pos="1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recoupment (clawback) policy applicable to any equity awards issued under our compensation plans; and</w:t>
      </w:r>
    </w:p>
    <w:p>
      <w:pPr>
        <w:spacing w:after="0" w:line="53" w:lineRule="exact"/>
        <w:rPr>
          <w:rFonts w:ascii="Times New Roman" w:cs="Times New Roman" w:eastAsia="Times New Roman" w:hAnsi="Times New Roman"/>
          <w:sz w:val="18"/>
          <w:szCs w:val="18"/>
          <w:color w:val="auto"/>
        </w:rPr>
      </w:pPr>
    </w:p>
    <w:p>
      <w:pPr>
        <w:ind w:left="1940" w:right="280" w:hanging="398"/>
        <w:spacing w:after="0" w:line="282" w:lineRule="auto"/>
        <w:tabs>
          <w:tab w:leader="none" w:pos="1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an independent compensation consultant to support our efforts of further aligning executive compensation with our stockholders’ interests.</w:t>
      </w:r>
    </w:p>
    <w:p>
      <w:pPr>
        <w:spacing w:after="0" w:line="158"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ANNUAL MEETING: EACH OF THE ANNUAL REPORT, NOTICE OF ANNUAL MEETING AND PROXY STATEMENT IS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ectPr>
          <w:pgSz w:w="11900" w:h="16838" w:orient="portrait"/>
          <w:cols w:equalWidth="0" w:num="1">
            <w:col w:w="11000"/>
          </w:cols>
          <w:pgMar w:left="440" w:top="1346" w:right="4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3336925</wp:posOffset>
            </wp:positionH>
            <wp:positionV relativeFrom="page">
              <wp:posOffset>637540</wp:posOffset>
            </wp:positionV>
            <wp:extent cx="882650" cy="883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6210 Ardrey Kell Road, Suite 600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34"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Proxies are being solicited by the Board of Directors of NN, Inc., or the Board, in connection with the 2022 Annual Meeting of Stockholders of NN, Inc., or the Annual Meeting. Your vote is very important. For this reason, our Board is requesting that you allow your shares to be represented at the Annual Meeting by the proxies named on the enclosed proxy card.</w:t>
      </w:r>
    </w:p>
    <w:p>
      <w:pPr>
        <w:spacing w:after="0" w:line="176" w:lineRule="exact"/>
        <w:rPr>
          <w:sz w:val="20"/>
          <w:szCs w:val="20"/>
          <w:color w:val="auto"/>
        </w:rPr>
      </w:pPr>
    </w:p>
    <w:p>
      <w:pPr>
        <w:ind w:right="260" w:firstLine="1296"/>
        <w:spacing w:after="0" w:line="257" w:lineRule="auto"/>
        <w:rPr>
          <w:sz w:val="20"/>
          <w:szCs w:val="20"/>
          <w:color w:val="auto"/>
        </w:rPr>
      </w:pPr>
      <w:r>
        <w:rPr>
          <w:rFonts w:ascii="Times New Roman" w:cs="Times New Roman" w:eastAsia="Times New Roman" w:hAnsi="Times New Roman"/>
          <w:sz w:val="18"/>
          <w:szCs w:val="18"/>
          <w:color w:val="auto"/>
        </w:rPr>
        <w:t>In connection with our solicitation of proxies, as permitted by the rules and regulations adopted by the U.S. Securities and Exchange Commission, or the SEC, we are making this proxy statement for the Annual Meeting, or this Proxy Statement, the enclosed proxy card and our Annual Report on Form 10-K for the year ended December 31, 2021 available to stockholders electronically via the Internet at the following</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website: www.proxyvote.com. Beginning on or about April 15, 2022, we are mailing to our stockholders a Notice of Internet Availability of Proxy Materials, or Notice of Internet Availability, that contains instructions on how stockholders may access and review all of the proxy materials and how to vote. Also, beginning on or about April 15, 2022,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w:t>
      </w:r>
    </w:p>
    <w:p>
      <w:pPr>
        <w:spacing w:after="0" w:line="190"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In this Proxy Statement, terms such as “NN,” the “Company,” “we,” “us” and “our” refer to NN, Inc. The mailing address of our executive office is 6210 Ardrey Kell Road, Suite 600, Charlotte, North Carolina 28277. Our website is www.nninc.com. Information from our website is not incorporated by reference into any portion of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Date, Time and Location</w:t>
      </w:r>
    </w:p>
    <w:p>
      <w:pPr>
        <w:spacing w:after="0" w:line="12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Wednesday, May 25, 2022, at 10:00 a.m., Eastern Time, at the Hilton Garden Inn Charlotte Waverly, 7415 Waverly Walk Avenue, Charlotte, North Carolina 28277.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Stockholders of record of our common stock, par value $0.01 per share, or the common stock, as of the close of business on March 31, 2022, or the Record Date, will be entitled to vote at the Annual Meeting. On the Record Date, 43,890,305 shares of common stock were issued and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14" w:lineRule="exact"/>
        <w:rPr>
          <w:sz w:val="20"/>
          <w:szCs w:val="20"/>
          <w:color w:val="auto"/>
        </w:rPr>
      </w:pPr>
    </w:p>
    <w:p>
      <w:pPr>
        <w:ind w:left="1960" w:hanging="449"/>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enclosed proxy card;</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ectPr>
          <w:pgSz w:w="11900" w:h="16838" w:orient="portrait"/>
          <w:cols w:equalWidth="0" w:num="1">
            <w:col w:w="11200"/>
          </w:cols>
          <w:pgMar w:left="320" w:top="1440" w:right="379" w:bottom="1440" w:gutter="0" w:footer="0" w:header="0"/>
        </w:sectPr>
      </w:pPr>
    </w:p>
    <w:p>
      <w:pPr>
        <w:spacing w:after="0" w:line="33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40"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Voting for Stockholders of Record</w:t>
      </w:r>
    </w:p>
    <w:p>
      <w:pPr>
        <w:spacing w:after="0" w:line="121"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If you vote by proxy and your proxy card is incomplete, or if you do not provide instructions with respect to any of the proposals, the appointed proxy will vote “FOR ALL” director nominees in Proposal I (Election of Directors) and “FOR” Proposal II (Approval of the 2022 Omnibus Incentive Plan), Proposal III (Advisory (Non-Binding) Vote to Approve the Compensation of our Named Executive Officers), and Proposal IV (Ratification of Selection of our Registered Independent Public Accounting Firm), and pursuant to the appointed proxy’s discretion for any other business properly brought before the Annual Meeting. If your proxy card is unclear as to how you intended to vote (e.g., multiple selections are made for one proposal), your proxy will be voted pursuant to the discretion of the appointed proxy.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for Beneficial Owners</w:t>
      </w:r>
    </w:p>
    <w:p>
      <w:pPr>
        <w:spacing w:after="0" w:line="121"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8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IV (Ratification of Selection of our Registered Independent Public Accounting Firm); however, that organization will not be permitted to vote your shares on Proposal I (Election of Directors), Proposal II (Approval of the 2022 Omnibus Incentive Plan), or Proposal III (Advisory (Non-Binding) Vote to Approve the Compensation of our Named Executive Officers). As a result, if you do not provide voting instructions to the organization maintaining your account, your shares will have no effect on the outcome of the election of directors or the advisory vote to approve the compensation of our named executive officers.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43,890,305 shares of common stock outstanding and entitled to vote. Thus, 21,945,153 shares of common stock must be represented by stockholders present in person or by proxy at the Annual Meeting to have a quorum.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Process and Majority Voting Standard</w:t>
      </w:r>
    </w:p>
    <w:p>
      <w:pPr>
        <w:spacing w:after="0" w:line="121"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Our bylaws provide that the number of directors will be determined by the Board, which has currently set the number at nine.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83"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With respect to director nominees in Proposal I (Election of Directors), you may vote “FOR ALL” to vote for all nominees, “WITHHOLD ALL” to withhold authority for all nominees, or “FOR ALL EXCEPT” to withhold authority for one or more specified nominees. Our bylaws provide for a majority voting standard in uncontested elections. This means that in an election of directors where the number of nominees does not exceed the number of directors to be elected, each director must receive more votes</w:t>
      </w:r>
    </w:p>
    <w:p>
      <w:pPr>
        <w:sectPr>
          <w:pgSz w:w="11900" w:h="16838" w:orient="portrait"/>
          <w:cols w:equalWidth="0" w:num="1">
            <w:col w:w="11220"/>
          </w:cols>
          <w:pgMar w:left="320" w:top="1089" w:right="359" w:bottom="1440" w:gutter="0" w:footer="0" w:header="0"/>
        </w:sectPr>
      </w:pPr>
    </w:p>
    <w:p>
      <w:pPr>
        <w:spacing w:after="0" w:line="39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089" w:right="359" w:bottom="1440" w:gutter="0" w:footer="0" w:header="0"/>
          <w:type w:val="continuous"/>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t>cast “FOR” the nominee than votes cast to “WITHHOLD AUTHORITY” for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Soliciting Proxies</w:t>
      </w:r>
    </w:p>
    <w:p>
      <w:pPr>
        <w:spacing w:after="0" w:line="12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advisory (non-binding) resolution to approve the compensation of our named executive officers, and “FOR” ratification of the selection of Grant Thornton LLP to serve as our registered independent public accounting firm for 2022.</w:t>
      </w:r>
    </w:p>
    <w:p>
      <w:pPr>
        <w:spacing w:after="0" w:line="180"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a Proxy</w:t>
      </w:r>
    </w:p>
    <w:p>
      <w:pPr>
        <w:spacing w:after="0" w:line="121"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Annual Meeting. If you are the record holder of your shares, you may revoke your proxy in any one of three ways:</w:t>
      </w:r>
    </w:p>
    <w:p>
      <w:pPr>
        <w:spacing w:after="0" w:line="54" w:lineRule="exact"/>
        <w:rPr>
          <w:sz w:val="20"/>
          <w:szCs w:val="20"/>
          <w:color w:val="auto"/>
        </w:rPr>
      </w:pPr>
    </w:p>
    <w:p>
      <w:pPr>
        <w:ind w:left="1780" w:hanging="233"/>
        <w:spacing w:after="0"/>
        <w:tabs>
          <w:tab w:leader="none" w:pos="1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bearing a later date;</w:t>
      </w:r>
    </w:p>
    <w:p>
      <w:pPr>
        <w:spacing w:after="0" w:line="117" w:lineRule="exact"/>
        <w:rPr>
          <w:rFonts w:ascii="Times New Roman" w:cs="Times New Roman" w:eastAsia="Times New Roman" w:hAnsi="Times New Roman"/>
          <w:sz w:val="18"/>
          <w:szCs w:val="18"/>
          <w:color w:val="auto"/>
        </w:rPr>
      </w:pPr>
    </w:p>
    <w:p>
      <w:pPr>
        <w:ind w:left="1960" w:right="180" w:hanging="413"/>
        <w:spacing w:after="0" w:line="282" w:lineRule="auto"/>
        <w:tabs>
          <w:tab w:leader="none" w:pos="17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NN, Inc., 6210 Ardrey Kell Road, Suite 600, Charlotte, North Carolina 28277, Attention: Secretary; or</w:t>
      </w:r>
    </w:p>
    <w:p>
      <w:pPr>
        <w:spacing w:after="0" w:line="53" w:lineRule="exact"/>
        <w:rPr>
          <w:rFonts w:ascii="Times New Roman" w:cs="Times New Roman" w:eastAsia="Times New Roman" w:hAnsi="Times New Roman"/>
          <w:sz w:val="18"/>
          <w:szCs w:val="18"/>
          <w:color w:val="auto"/>
        </w:rPr>
      </w:pPr>
    </w:p>
    <w:p>
      <w:pPr>
        <w:ind w:left="1960" w:right="560" w:hanging="413"/>
        <w:spacing w:after="0" w:line="282" w:lineRule="auto"/>
        <w:tabs>
          <w:tab w:leader="none" w:pos="17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notify the election officials that you wish to revoke your proxy and vote in person. Attending the Annual Meeting will not, by itself, revoke your proxy.</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your shares are held by a brokerage firm, bank, dealer or similar organization, you should follow the instructions provided by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17"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 Election of Directors. </w:t>
      </w:r>
      <w:r>
        <w:rPr>
          <w:rFonts w:ascii="Times New Roman" w:cs="Times New Roman" w:eastAsia="Times New Roman" w:hAnsi="Times New Roman"/>
          <w:sz w:val="18"/>
          <w:szCs w:val="18"/>
          <w:color w:val="auto"/>
        </w:rPr>
        <w:t>Directors are elected by a majority of the votes cast in person or by proxy. This means that the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votes cast “FOR” the nominee must exceed the votes cast to “WITHHOLD AUTHORITY” for the nominee. Abstentions and broker non-votes will not be taken into account in determining the outcome of the election. If a nominee fails to receive more “FOR” votes than votes cast to “WITHHOLD AUTHORITY,” and is an incumbent director, the nominee is required to tender his or her resignation to the Board for consideration.</w:t>
      </w:r>
    </w:p>
    <w:p>
      <w:pPr>
        <w:spacing w:after="0" w:line="39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85" w:right="339" w:bottom="1440" w:gutter="0" w:footer="0" w:header="0"/>
        </w:sectPr>
      </w:pPr>
    </w:p>
    <w:bookmarkStart w:id="8" w:name="page9"/>
    <w:bookmarkEnd w:id="8"/>
    <w:p>
      <w:pPr>
        <w:ind w:right="4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 Approval of the 2022 Omnibus Incentive Plan. </w:t>
      </w:r>
      <w:r>
        <w:rPr>
          <w:rFonts w:ascii="Times New Roman" w:cs="Times New Roman" w:eastAsia="Times New Roman" w:hAnsi="Times New Roman"/>
          <w:sz w:val="18"/>
          <w:szCs w:val="18"/>
          <w:color w:val="auto"/>
        </w:rPr>
        <w:t>To be approved, this matter must receive the affirmative vote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shares present in person or by proxy and entitled to vote on the matter. Abstentions will have the effect of an “AGAINST” vote on this matter. A broker non-vote will have no impact on the vote for this proposal.</w:t>
      </w:r>
    </w:p>
    <w:p>
      <w:pPr>
        <w:spacing w:after="0" w:line="171"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III: Advisory (Non-Binding) Vote to Approve the Compensation of our Named Executive Officers. </w:t>
      </w:r>
      <w:r>
        <w:rPr>
          <w:rFonts w:ascii="Times New Roman" w:cs="Times New Roman" w:eastAsia="Times New Roman" w:hAnsi="Times New Roman"/>
          <w:sz w:val="18"/>
          <w:szCs w:val="18"/>
          <w:color w:val="auto"/>
        </w:rPr>
        <w:t>To be approved,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must receive the 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71"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IV: Ratification of Selection of our Registered Independent Public Accounting Firm. </w:t>
      </w:r>
      <w:r>
        <w:rPr>
          <w:rFonts w:ascii="Times New Roman" w:cs="Times New Roman" w:eastAsia="Times New Roman" w:hAnsi="Times New Roman"/>
          <w:sz w:val="18"/>
          <w:szCs w:val="18"/>
          <w:color w:val="auto"/>
        </w:rPr>
        <w:t>To be approved, this matter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the affirmative vote of the majority of the shares present in person or by proxy and entitled to vote on the matter. Abstentions will have the effect of an “AGAINST” vote on this matter. There will not be a broker non-vote with regard to this proposal.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2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Any stockholder proposal intended to be presented at next year’s annual meeting of stockholders, including stockholder nominations for directors, must be received by us at our executive offices not later than December 16, 2022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180" w:lineRule="exact"/>
        <w:rPr>
          <w:sz w:val="20"/>
          <w:szCs w:val="20"/>
          <w:color w:val="auto"/>
        </w:rPr>
      </w:pPr>
    </w:p>
    <w:p>
      <w:pPr>
        <w:ind w:left="1960" w:right="100" w:hanging="413"/>
        <w:spacing w:after="0" w:line="282" w:lineRule="auto"/>
        <w:tabs>
          <w:tab w:leader="none" w:pos="17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and address and, if the stockholder holds for the benefit of another, the name and address of the beneficial owner;</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shares owned;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derivative securities owned;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stockholder holds any proxy or other right to vote on behalf of another;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 interest in any NN security;</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NN shares that are separated or separable from the underlying NN shares;</w:t>
      </w:r>
    </w:p>
    <w:p>
      <w:pPr>
        <w:spacing w:after="0" w:line="117" w:lineRule="exact"/>
        <w:rPr>
          <w:rFonts w:ascii="Times New Roman" w:cs="Times New Roman" w:eastAsia="Times New Roman" w:hAnsi="Times New Roman"/>
          <w:sz w:val="18"/>
          <w:szCs w:val="18"/>
          <w:color w:val="auto"/>
        </w:rPr>
      </w:pPr>
    </w:p>
    <w:p>
      <w:pPr>
        <w:ind w:left="1960" w:right="340" w:hanging="413"/>
        <w:spacing w:after="0" w:line="282" w:lineRule="auto"/>
        <w:tabs>
          <w:tab w:leader="none" w:pos="17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any NN securities held by a general or limited partnership or limited liability company, or similar entity where the stockholder owns some or all of such entity;</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performance-related fees to which the stockholder is entitled, based on the increase or decrease of the value of NN’s securities;</w:t>
      </w:r>
    </w:p>
    <w:p>
      <w:pPr>
        <w:spacing w:after="0" w:line="128" w:lineRule="exact"/>
        <w:rPr>
          <w:rFonts w:ascii="Times New Roman" w:cs="Times New Roman" w:eastAsia="Times New Roman" w:hAnsi="Times New Roman"/>
          <w:sz w:val="17"/>
          <w:szCs w:val="17"/>
          <w:color w:val="auto"/>
        </w:rPr>
      </w:pPr>
    </w:p>
    <w:p>
      <w:pPr>
        <w:ind w:left="1960" w:right="200" w:hanging="413"/>
        <w:spacing w:after="0" w:line="282" w:lineRule="auto"/>
        <w:tabs>
          <w:tab w:leader="none" w:pos="17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arrangements, rights or interests in any of the foregoing held by members of the stockholder’s immediate family sharing the same household;</w:t>
      </w:r>
    </w:p>
    <w:p>
      <w:pPr>
        <w:spacing w:after="0" w:line="53" w:lineRule="exact"/>
        <w:rPr>
          <w:rFonts w:ascii="Times New Roman" w:cs="Times New Roman" w:eastAsia="Times New Roman" w:hAnsi="Times New Roman"/>
          <w:sz w:val="18"/>
          <w:szCs w:val="18"/>
          <w:color w:val="auto"/>
        </w:rPr>
      </w:pPr>
    </w:p>
    <w:p>
      <w:pPr>
        <w:ind w:left="1960" w:right="160" w:hanging="413"/>
        <w:spacing w:after="0" w:line="282" w:lineRule="auto"/>
        <w:tabs>
          <w:tab w:leader="none" w:pos="17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reasonably requested by NN.</w:t>
      </w:r>
    </w:p>
    <w:p>
      <w:pPr>
        <w:spacing w:after="0" w:line="225"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Pursuant to our bylaws, proposals of stockholders not intended for inclusion in the proxy statement for the 2023 Annual Meeting of Stockholders must be received by us in writing not less than 90 days and not more than 120 days prior to May 25, 2023 to be considered timely. We also advise you to review our bylaws, which contain additional requirements about advance notice of stockholder proposals and director nominations, including the different notice submission date requirements in the event we do not hold our 2023 Annual Meeting of Stockholders on or between April 25, 2023 and July 24, 2023. All stockholder proposals should be sent to NN, Inc., Attention: Secretary, 6210 Ardrey Kell Road, Suite 600, Charlotte, North Carolina 28277.</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981" w:right="359" w:bottom="1440" w:gutter="0" w:footer="0" w:header="0"/>
          <w:type w:val="continuous"/>
        </w:sectPr>
      </w:pPr>
    </w:p>
    <w:bookmarkStart w:id="9" w:name="page10"/>
    <w:bookmarkEnd w:id="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you would like to receive more than one set of proxy materials or Notice of Internet Availability, as applicable, we will promptly send you additional copies upon written or oral request directed to our Secretary at 6210 Ardrey Kell Road, Suite 600, 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2022 Annual Meeting</w:t>
      </w:r>
    </w:p>
    <w:p>
      <w:pPr>
        <w:spacing w:after="0" w:line="121"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results will be disclosed in a Current Report on Form 8-K, which can be found on the “Investor Relations” page of our website, www.nninc.com, following the report’s filing the SEC within four business days of the Annual Meeting.</w:t>
      </w:r>
    </w:p>
    <w:p>
      <w:pPr>
        <w:spacing w:after="0" w:line="39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8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I: ELECTION OF DIRECTORS</w:t>
      </w:r>
    </w:p>
    <w:p>
      <w:pPr>
        <w:spacing w:after="0" w:line="121"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All nine directors will be elected to the Board at the Annual Meeting to each serve for a term of one year or until his or her successor is elected and qualified, subject to such director’s earlier death, resignation or removal. The Board has nominated for election: Raynard D. Benvenuti, Robert E. Brunner, Christina E. Carroll, João Faria, Dr. Rajeev Gautam, Jeri J. Harman, Dr. Shihab Kuran, Warren A. Veltman and Thomas H. Wilson, Jr., each a current director of the Company.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ELECTION OF ALL NOMINATED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the Director Nominees</w:t>
      </w:r>
    </w:p>
    <w:p>
      <w:pPr>
        <w:spacing w:after="0" w:line="121" w:lineRule="exact"/>
        <w:rPr>
          <w:sz w:val="20"/>
          <w:szCs w:val="20"/>
          <w:color w:val="auto"/>
        </w:rPr>
      </w:pPr>
    </w:p>
    <w:p>
      <w:pPr>
        <w:ind w:right="160" w:firstLine="1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5380" w:type="dxa"/>
            <w:vAlign w:val="bottom"/>
          </w:tcPr>
          <w:p>
            <w:pPr>
              <w:spacing w:after="0"/>
              <w:rPr>
                <w:sz w:val="14"/>
                <w:szCs w:val="14"/>
                <w:color w:val="auto"/>
              </w:rPr>
            </w:pPr>
          </w:p>
        </w:tc>
      </w:tr>
      <w:tr>
        <w:trPr>
          <w:trHeight w:val="190"/>
        </w:trPr>
        <w:tc>
          <w:tcPr>
            <w:tcW w:w="31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538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E. Brunner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Non-Executive Chairman</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Shihab Kuran</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President and Chief Executive Officer</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4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1"/>
                <w:szCs w:val="21"/>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
        </w:trPr>
        <w:tc>
          <w:tcPr>
            <w:tcW w:w="3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Raynard D. Benvenuti </w:t>
      </w:r>
      <w:r>
        <w:rPr>
          <w:rFonts w:ascii="Times New Roman" w:cs="Times New Roman" w:eastAsia="Times New Roman" w:hAnsi="Times New Roman"/>
          <w:sz w:val="18"/>
          <w:szCs w:val="18"/>
          <w:color w:val="auto"/>
        </w:rPr>
        <w:t>has been a member of the Board since January 2020 and serves as Chair of the 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Benvenuti founded Concord Investment Partners, a boutique investment and advisory firm that invests in engineering-centric industries including aerospace, automotive and industrial manufacturing/distribution companies in 1996, and continues to serve as its Managing Director. Mr. Benvenuti currently serves on the Board of Directors of Superior Industries International, Inc. (NYSE: SUP), an international manufacturer of automotive aluminum wheels.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 management consulting firm, where he advised high technology and industrial sector clients in the areas of strategic planning and operational improvement.</w:t>
      </w:r>
    </w:p>
    <w:p>
      <w:pPr>
        <w:spacing w:after="0" w:line="18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w:t>
      </w:r>
    </w:p>
    <w:p>
      <w:pPr>
        <w:spacing w:after="0" w:line="172"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E. Brunner </w:t>
      </w:r>
      <w:r>
        <w:rPr>
          <w:rFonts w:ascii="Times New Roman" w:cs="Times New Roman" w:eastAsia="Times New Roman" w:hAnsi="Times New Roman"/>
          <w:sz w:val="18"/>
          <w:szCs w:val="18"/>
          <w:color w:val="auto"/>
        </w:rPr>
        <w:t>has been a member of the Board since 2012, and served as Non-Executive Chairman of the Board from 2017-2020.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Brunner was the Executive Vice President of Illinois Tool Works (“ITW”), a Fortune 250 global, multi-industrial manufacturer of advanced industrial technology, from 2006 until his retirement in 2012. He previously served ITW as President—Global Auto beginning in 2005 and President—North American Auto from 2003. Mr. Brunner serves on the board of directors and Chair of the Human Resources and Compensation Committee of Leggett &amp; Platt, Incorporated, a publicly-held diversified manufacturer of engineered components and products and as Chairperson of the board of directors of Lindsay Corporation, a publicly held global manufacturer of irrigation equipment and road safety products.</w:t>
      </w:r>
    </w:p>
    <w:p>
      <w:pPr>
        <w:spacing w:after="0" w:line="200" w:lineRule="exact"/>
        <w:rPr>
          <w:sz w:val="20"/>
          <w:szCs w:val="20"/>
          <w:color w:val="auto"/>
        </w:rPr>
      </w:pPr>
    </w:p>
    <w:p>
      <w:pPr>
        <w:spacing w:after="0" w:line="20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89" w:right="339" w:bottom="1440" w:gutter="0" w:footer="0" w:header="0"/>
        </w:sectPr>
      </w:pPr>
    </w:p>
    <w:bookmarkStart w:id="11" w:name="page12"/>
    <w:bookmarkEnd w:id="11"/>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Mr. Brunner brings to the Board broad industry knowledge, executive leadership experience and extensive experience with mergers and acquisitions. Mr. Brunner’s experience and leadership with ITW, a diversified manufacturer with a global footprint, provides valuable insight to our Board on automotive strategy, business development, mergers and acquisitions, operations, and international issues. Additionally, his extensive public company board experience and leadership provides the Board with valuable insight regarding corporate governance matters.</w:t>
      </w:r>
    </w:p>
    <w:p>
      <w:pPr>
        <w:spacing w:after="0" w:line="176" w:lineRule="exact"/>
        <w:rPr>
          <w:sz w:val="20"/>
          <w:szCs w:val="20"/>
          <w:color w:val="auto"/>
        </w:rPr>
      </w:pPr>
    </w:p>
    <w:p>
      <w:pPr>
        <w:ind w:right="14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Christina E. Carroll </w:t>
      </w:r>
      <w:r>
        <w:rPr>
          <w:rFonts w:ascii="Times New Roman" w:cs="Times New Roman" w:eastAsia="Times New Roman" w:hAnsi="Times New Roman"/>
          <w:sz w:val="18"/>
          <w:szCs w:val="18"/>
          <w:color w:val="auto"/>
        </w:rPr>
        <w:t>has been a member of the Board since December 2019 and serves as the Chair of the Governance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2012, Ms. Carroll has been a managing director at Stout Risius Ross, LLC (“Stout”) where she has been responsible for originating and executing valuations, fairness opinions and other transaction related financial advisory services across multiple industries. Prior to joining Stout, Ms. Carroll was a director of financial advisory services at Houlihan Lokey, Inc. She also previously held managerial positions at Ernst &amp; Young LLP, including a partner in valuation and transaction advisory services, and is a Chartered Financial Analyst.</w:t>
      </w:r>
    </w:p>
    <w:p>
      <w:pPr>
        <w:spacing w:after="0" w:line="183"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Ms. Carroll brings to the board over 31 years of experience in finance, valuation, strategy, capital markets, restructuring, and mergers and acquisitions. This experience, and her prior service as a director of The Chefs’ Warehouse, a publicly traded company, and Stout, a private company, enables her to provide important perspectives to the Board.</w:t>
      </w:r>
    </w:p>
    <w:p>
      <w:pPr>
        <w:spacing w:after="0" w:line="172"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João Faria </w:t>
      </w:r>
      <w:r>
        <w:rPr>
          <w:rFonts w:ascii="Times New Roman" w:cs="Times New Roman" w:eastAsia="Times New Roman" w:hAnsi="Times New Roman"/>
          <w:sz w:val="18"/>
          <w:szCs w:val="18"/>
          <w:color w:val="auto"/>
        </w:rPr>
        <w:t>was appointed to the Board in April 2021. Mr. Faria currently serves as President of the Vehicle Group/eMobility at Eaton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Mr. Faria brings decades of manufacturing and engineering experience to the Board, with a specific focus on the electric vehicle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global leadership experience enables him to bring valuable perspective to our Board.</w:t>
      </w:r>
    </w:p>
    <w:p>
      <w:pPr>
        <w:spacing w:after="0" w:line="203"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Dr. Rajeev Gautam </w:t>
      </w:r>
      <w:r>
        <w:rPr>
          <w:rFonts w:ascii="Times New Roman" w:cs="Times New Roman" w:eastAsia="Times New Roman" w:hAnsi="Times New Roman"/>
          <w:sz w:val="18"/>
          <w:szCs w:val="18"/>
          <w:color w:val="auto"/>
        </w:rPr>
        <w:t>was appointed to the Board in May 2021. Dr. Gautam served as the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Materials and Technologies of Honeywell International, Inc. (NASDAQ: HON), a global provider in developing and manufacturing high-quality performance chemicals and materials, process technologies, and automation solutions, from 2016 until his retirement from Honeywell in September 2021. From 2009 to 2016, Dr. Gautam served as President of Honeywell UOP. He previously served as Vice President of Research and Development, Honeywell UOP, and Vice President and Chief Technology Officer, Performance Materials and Technologies. Dr. Gautam began his career with Union Carbide in 1978, which became part of a joint venture with Honeywell UOP in 1988. Throughout his career, Dr. Gautam has championed innovative solutions for industry needs and has been responsible for the development and commercialization of a broad range of catalytic and separations applications for the refining, petrochemical and gas processing industries.</w:t>
      </w:r>
    </w:p>
    <w:p>
      <w:pPr>
        <w:spacing w:after="0" w:line="189"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Dr. Gautam brings substantive experience as a senior executive to manufacturing companies, and his current service as a senior executive for a publicly traded company, enables him to bring valuable insight, knowledge and experience to the Board.</w:t>
      </w:r>
    </w:p>
    <w:p>
      <w:pPr>
        <w:spacing w:after="0" w:line="158"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Jeri J. Harman </w:t>
      </w:r>
      <w:r>
        <w:rPr>
          <w:rFonts w:ascii="Times New Roman" w:cs="Times New Roman" w:eastAsia="Times New Roman" w:hAnsi="Times New Roman"/>
          <w:sz w:val="18"/>
          <w:szCs w:val="18"/>
          <w:color w:val="auto"/>
        </w:rPr>
        <w:t>has been a member of the Board since February 2019. She was appointed Non-Executive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4, 2021. Ms. Harman is a Founder &amp; Chairman of Avante Capital Partners. With over $900 million of capital under management, Avante makes unitranche and subordinated debt and minority equity investments to finance buyouts, minority recaps, acquisitions and growth. In 2018, Avante Capital Partners was named Small Business Investment Company (SBIC) of the Year by the U. S. Small Business Administration (SBA). The firm was also named Women-Owned Firm of the Year 2018 by Private Equity Women Investor Network (PEWIN). Prior to founding Avante, Ms. Harman started-up and led the Los Angeles offices for two multi-billion publicly traded private equity and mezzanine investment funds – American Capital and more recently Allied Capital, where she was also a member of Allied’s Investment Committee.</w:t>
      </w:r>
    </w:p>
    <w:p>
      <w:pPr>
        <w:spacing w:after="0" w:line="187"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Ms. Harman has over 35 years of financing experience, involving well over $1 billion in aggregate investments. She has extensive experience in value creation, capital allocation, mergers and acquisitions and financial strategy matters. These skills, along with her broad background in management and organizational development, strategic planning, risk management and balance sheet management, and her service on the boards of a number of private companies, enables her to bring valuable insights to our Board.</w:t>
      </w:r>
    </w:p>
    <w:p>
      <w:pPr>
        <w:spacing w:after="0" w:line="176" w:lineRule="exact"/>
        <w:rPr>
          <w:sz w:val="20"/>
          <w:szCs w:val="20"/>
          <w:color w:val="auto"/>
        </w:rPr>
      </w:pPr>
    </w:p>
    <w:p>
      <w:pPr>
        <w:ind w:right="16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Shihab Kuran </w:t>
      </w:r>
      <w:r>
        <w:rPr>
          <w:rFonts w:ascii="Times New Roman" w:cs="Times New Roman" w:eastAsia="Times New Roman" w:hAnsi="Times New Roman"/>
          <w:sz w:val="18"/>
          <w:szCs w:val="18"/>
          <w:color w:val="auto"/>
        </w:rPr>
        <w:t>was appointed to the Board in March 2021. Dr. Kuran is the co-founder, president and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Edison LLC, a company focused on providing innovative mobile energy storage solutions. Dr. Kuran is the president and chief executive officer of EV Edison, Inc., a company he co-founded in 2022 that is focused on providing electric vehicle charging infrastructure. Dr. Kuran served as the President of Strategic Development at NRG Energy, Inc. (NYSE: NRG), a leading integrated energy company, prior to co-founding Power Edison in 2016. Before joining NRG, Dr. Kuran served as the</w:t>
      </w:r>
    </w:p>
    <w:p>
      <w:pPr>
        <w:spacing w:after="0" w:line="39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85" w:right="33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President of Advanced Solutions at SunEdison, Inc., a renewable energy company, from 2013 to 2014. In 2006, Dr. Kuran founded Petra Solar, Inc., a clean energy technology company, and served as president and chief executive officer and a member of the board of directors from 2006-2012. Dr. Kuran currently serves on the board of directors of EnerKnol, Inc. and New York Energy Week, as well as the advisory boards of the Charles Edison Fund and the Edison Innovation Foundation.</w:t>
      </w:r>
    </w:p>
    <w:p>
      <w:pPr>
        <w:spacing w:after="0" w:line="180"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Dr. Kuran brings to the board extensive experience in the electrical energy industry and provides us deep and valuable insight into our electrical business, particularly regarding smart grid technological developments. Dr. Kuran’s experience as a founder, senior executive, director and advisor to various energy, manufacturing and smart grid technology companies, including both startups and established companies, will provide valuable knowledge to our Board.</w:t>
      </w:r>
    </w:p>
    <w:p>
      <w:pPr>
        <w:spacing w:after="0" w:line="176" w:lineRule="exact"/>
        <w:rPr>
          <w:sz w:val="20"/>
          <w:szCs w:val="20"/>
          <w:color w:val="auto"/>
        </w:rPr>
      </w:pPr>
    </w:p>
    <w:p>
      <w:pPr>
        <w:ind w:right="14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Warren A. Veltman </w:t>
      </w:r>
      <w:r>
        <w:rPr>
          <w:rFonts w:ascii="Times New Roman" w:cs="Times New Roman" w:eastAsia="Times New Roman" w:hAnsi="Times New Roman"/>
          <w:sz w:val="18"/>
          <w:szCs w:val="18"/>
          <w:color w:val="auto"/>
        </w:rPr>
        <w:t>has been a member of the Board since September 2019 and was named President and Chief Executive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2019. Previously, Mr. Veltman served as our Senior Vice President of our Mobile Solutions Group since September 2014. Prior to joining us, Mr. Veltman served as Chief Financial Officer of Autocam Corporation from 1990 and Secretary and Treasurer since 1991. Prior to Mr. Veltman’s service at Autocam, Mr. Veltman was an Audit Manager with Deloitte &amp; Touche LLP.</w:t>
      </w:r>
    </w:p>
    <w:p>
      <w:pPr>
        <w:spacing w:after="0" w:line="180" w:lineRule="exact"/>
        <w:rPr>
          <w:sz w:val="20"/>
          <w:szCs w:val="20"/>
          <w:color w:val="auto"/>
        </w:rPr>
      </w:pPr>
    </w:p>
    <w:p>
      <w:pPr>
        <w:jc w:val="both"/>
        <w:ind w:right="140" w:firstLine="1296"/>
        <w:spacing w:after="0" w:line="261" w:lineRule="auto"/>
        <w:rPr>
          <w:sz w:val="20"/>
          <w:szCs w:val="20"/>
          <w:color w:val="auto"/>
        </w:rPr>
      </w:pPr>
      <w:r>
        <w:rPr>
          <w:rFonts w:ascii="Times New Roman" w:cs="Times New Roman" w:eastAsia="Times New Roman" w:hAnsi="Times New Roman"/>
          <w:sz w:val="18"/>
          <w:szCs w:val="18"/>
          <w:color w:val="auto"/>
        </w:rPr>
        <w:t>Mr. Veltman’s global business and leadership experience across multiple industries enables him to provide valuable insight to the Board regarding the Company’s operations and the strategic planning and in mergers and acquisitions initiatives necessary to meet the demands of the changing environment. As the sole member of management on our Board, Mr. Veltman provides management’s business perspectives and the necessary link to the Company’s day-to-day operations.</w:t>
      </w:r>
    </w:p>
    <w:p>
      <w:pPr>
        <w:spacing w:after="0" w:line="176"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Thomas H. Wilson, Jr. </w:t>
      </w:r>
      <w:r>
        <w:rPr>
          <w:rFonts w:ascii="Times New Roman" w:cs="Times New Roman" w:eastAsia="Times New Roman" w:hAnsi="Times New Roman"/>
          <w:sz w:val="18"/>
          <w:szCs w:val="18"/>
          <w:color w:val="auto"/>
        </w:rPr>
        <w:t>has been a member of the Board since December 2019 and serves as Chair of the Audit Committee. Mr. Wilson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Managing Partner at DecisionPoint Advisors, LLC in Charlotte, 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LLC, a financial services technology company, and serves as the Chair of its Audit Committee and a member of the Compensation Committee.</w:t>
      </w:r>
    </w:p>
    <w:p>
      <w:pPr>
        <w:spacing w:after="0" w:line="187"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18"/>
          <w:szCs w:val="18"/>
          <w:color w:val="auto"/>
        </w:rPr>
        <w:t>Mr. Wilson has over 36 years of business experience and has significant buy-side and sell-side transaction experience. He has a strong background in financial controls, auditing, financial management and accounting, and mergers and acquisitions. Mr. Wilson’s years of senior-level executive management and financial experience, and current service as the chair of the audit committee of a publicly traded company, brings valuable knowledge and experience to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98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Diversity Matrix</w:t>
      </w:r>
    </w:p>
    <w:p>
      <w:pPr>
        <w:spacing w:after="0" w:line="121"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self-identified characteristics of our directors, in accordance with Nasdaq Listing Rules 5605(f) and 5606. Each term used in the table, other than Middle Eastern, has the meaning given to it in the rule and related instructions.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Board Diversity Matrix as of April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Board Size: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1"/>
        </w:trPr>
        <w:tc>
          <w:tcPr>
            <w:tcW w:w="46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4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4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2440" w:type="dxa"/>
            <w:vAlign w:val="bottom"/>
            <w:tcBorders>
              <w:bottom w:val="single" w:sz="8" w:color="CCEEFF"/>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7</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2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4</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Eastern</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4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2021, directors who are not employees of the Company were paid an annual retainer of $230,000, consisting of $80,000 of cash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 of shares of restricted stock, which vests one year from the date of grant. Our Non-Executive Chairman received an additional retainer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 the Chair of the Audit Committee received an additional retainer of $15,000, the Chair of the Compensation Committee received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retainer of $12,500 and the Chairman of the Governance Committee received an additional retainer of $10,000. Ms. Harman and Messrs. Brunner,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Benvenuti and Wilson served on the Company’s ad hoc Finance Committee in 2021 to review debt refinancing and capital structure matters and were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an additional $2,000 for service on that committee, which was discontinued in 2022. Mr. Veltman, our President and Chief Executive Officer, is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director who is also an employee of the Company. Mr. Veltman does not receive any compensation for his service as a director. We reimburse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for out-of-pocket expenses incurred in attending Board and committee meetings. Director compensation is reviewed and approved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table below provides information about the compensation our non-employee directors received during 2021.</w:t>
      </w:r>
    </w:p>
    <w:p>
      <w:pPr>
        <w:spacing w:after="0" w:line="1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Director Compensation Table For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Paid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spacing w:after="0"/>
              <w:rPr>
                <w:sz w:val="14"/>
                <w:szCs w:val="14"/>
                <w:color w:val="auto"/>
              </w:rPr>
            </w:pPr>
          </w:p>
        </w:tc>
      </w:tr>
      <w:tr>
        <w:trPr>
          <w:trHeight w:val="159"/>
        </w:trPr>
        <w:tc>
          <w:tcPr>
            <w:tcW w:w="7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3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tcPr>
          <w:p>
            <w:pPr>
              <w:jc w:val="right"/>
              <w:ind w:right="273"/>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7"/>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25"/>
                <w:szCs w:val="25"/>
                <w:b w:val="1"/>
                <w:bCs w:val="1"/>
                <w:color w:val="auto"/>
                <w:w w:val="86"/>
                <w:vertAlign w:val="subscript"/>
              </w:rPr>
              <w:t>($)</w:t>
            </w:r>
            <w:r>
              <w:rPr>
                <w:rFonts w:ascii="Times New Roman" w:cs="Times New Roman" w:eastAsia="Times New Roman" w:hAnsi="Times New Roman"/>
                <w:sz w:val="9"/>
                <w:szCs w:val="9"/>
                <w:b w:val="1"/>
                <w:bCs w:val="1"/>
                <w:color w:val="auto"/>
                <w:w w:val="86"/>
              </w:rPr>
              <w:t>(1)</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4"/>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149,997</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244,497</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Brunner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231,997</w:t>
            </w: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149,997</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239,997</w:t>
            </w:r>
          </w:p>
        </w:tc>
      </w:tr>
      <w:tr>
        <w:trPr>
          <w:trHeight w:val="27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Faria </w:t>
            </w:r>
            <w:r>
              <w:rPr>
                <w:rFonts w:ascii="Times New Roman" w:cs="Times New Roman" w:eastAsia="Times New Roman" w:hAnsi="Times New Roman"/>
                <w:sz w:val="23"/>
                <w:szCs w:val="23"/>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165,725</w:t>
            </w:r>
          </w:p>
        </w:tc>
      </w:tr>
      <w:tr>
        <w:trPr>
          <w:trHeight w:val="2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Dr. Gautam </w:t>
            </w:r>
            <w:r>
              <w:rPr>
                <w:rFonts w:ascii="Times New Roman" w:cs="Times New Roman" w:eastAsia="Times New Roman" w:hAnsi="Times New Roman"/>
                <w:sz w:val="23"/>
                <w:szCs w:val="23"/>
                <w:color w:val="auto"/>
                <w:vertAlign w:val="superscript"/>
              </w:rPr>
              <w:t>(3)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95,748</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146,815</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306,997</w:t>
            </w: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Dr. Kuran </w:t>
            </w:r>
            <w:r>
              <w:rPr>
                <w:rFonts w:ascii="Times New Roman" w:cs="Times New Roman" w:eastAsia="Times New Roman" w:hAnsi="Times New Roman"/>
                <w:sz w:val="23"/>
                <w:szCs w:val="23"/>
                <w:color w:val="auto"/>
                <w:vertAlign w:val="superscript"/>
              </w:rPr>
              <w:t>(4)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65,534</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122,875</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188,409</w:t>
            </w:r>
          </w:p>
        </w:tc>
      </w:tr>
      <w:tr>
        <w:trPr>
          <w:trHeight w:val="27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Warshaw </w:t>
            </w:r>
            <w:r>
              <w:rPr>
                <w:rFonts w:ascii="Times New Roman" w:cs="Times New Roman" w:eastAsia="Times New Roman" w:hAnsi="Times New Roman"/>
                <w:sz w:val="23"/>
                <w:szCs w:val="23"/>
                <w:color w:val="auto"/>
                <w:vertAlign w:val="superscript"/>
              </w:rPr>
              <w:t>(5)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105,626</w:t>
            </w:r>
          </w:p>
        </w:tc>
      </w:tr>
      <w:tr>
        <w:trPr>
          <w:trHeight w:val="24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149,997</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246,997</w:t>
            </w:r>
          </w:p>
        </w:tc>
      </w:tr>
      <w:tr>
        <w:trPr>
          <w:trHeight w:val="27"/>
        </w:trPr>
        <w:tc>
          <w:tcPr>
            <w:tcW w:w="7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ectPr>
          <w:pgSz w:w="11900" w:h="16838" w:orient="portrait"/>
          <w:cols w:equalWidth="0" w:num="1">
            <w:col w:w="11240"/>
          </w:cols>
          <w:pgMar w:left="320" w:top="1089" w:right="339" w:bottom="1440" w:gutter="0" w:footer="0" w:header="0"/>
        </w:sectPr>
      </w:pPr>
    </w:p>
    <w:p>
      <w:pPr>
        <w:spacing w:after="0" w:line="28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89" w:right="339" w:bottom="1440" w:gutter="0" w:footer="0" w:header="0"/>
          <w:type w:val="continuous"/>
        </w:sectPr>
      </w:pPr>
    </w:p>
    <w:bookmarkStart w:id="14" w:name="page15"/>
    <w:bookmarkEnd w:id="14"/>
    <w:p>
      <w:pPr>
        <w:ind w:left="420" w:right="60" w:hanging="412"/>
        <w:spacing w:after="0" w:line="258" w:lineRule="auto"/>
        <w:tabs>
          <w:tab w:leader="none" w:pos="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as computed in accordance with the Financial Accounting Standards Board (“FASB”) Accounting Standards Codification (“ASC”) Topic 718, of 24,834 shares of restricted stock awarded on January 4, 2021 to each of Messrs. Benvenuti, Brunner, Warshaw, and Wilson and Mss. Carroll and Harman, 17,066 awarded on March 23, 2021 to Dr. Kuran, 14,949 awarded on April 13, 2021 to Mr. Faria, and 12,615 awarded on May 13, 2021 to Dr. Gautam. The restricted stock awards to directors vest in their entirety on the first anniversary of the date of grant.</w:t>
      </w:r>
    </w:p>
    <w:p>
      <w:pPr>
        <w:spacing w:after="0" w:line="7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Faria was appointed to the Board, effective as of April 13, 2021.</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Gautam was appointed to the Board, effective as of May 13, 2021.</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Kuran was appointed to the Board, effective as of March 8, 2021.</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Warshaw retired from the Board, effective as of May 27,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17"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consists of Thomas H. Wilson, Jr., who serves as the Chair of the Committee, Messrs.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Benvenuti, Faria, Ms. Carroll and Dr. Gautam. All members of the Audit Committee are independent as defined by Nasdaq rules, and Mr. Wilson has been designated as the “audit committee financial expert” as defined by Item 407(d) of Regulation S-K. Among other matters described in its charter, the Audit Committee’s primary duties and responsibilities are to:</w:t>
      </w:r>
    </w:p>
    <w:p>
      <w:pPr>
        <w:spacing w:after="0" w:line="72" w:lineRule="exact"/>
        <w:rPr>
          <w:sz w:val="20"/>
          <w:szCs w:val="20"/>
          <w:color w:val="auto"/>
        </w:rPr>
      </w:pPr>
    </w:p>
    <w:p>
      <w:pPr>
        <w:ind w:left="1960" w:right="80" w:hanging="413"/>
        <w:spacing w:after="0" w:line="282" w:lineRule="auto"/>
        <w:tabs>
          <w:tab w:leader="none" w:pos="17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maintained the reliability and integrity of our accounting policies, financial reporting and disclosure practices;</w:t>
      </w:r>
    </w:p>
    <w:p>
      <w:pPr>
        <w:spacing w:after="0" w:line="53" w:lineRule="exact"/>
        <w:rPr>
          <w:rFonts w:ascii="Times New Roman" w:cs="Times New Roman" w:eastAsia="Times New Roman" w:hAnsi="Times New Roman"/>
          <w:sz w:val="18"/>
          <w:szCs w:val="18"/>
          <w:color w:val="auto"/>
        </w:rPr>
      </w:pPr>
    </w:p>
    <w:p>
      <w:pPr>
        <w:ind w:left="1960" w:right="60" w:hanging="413"/>
        <w:spacing w:after="0" w:line="266" w:lineRule="auto"/>
        <w:tabs>
          <w:tab w:leader="none" w:pos="17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adequate resources and has established and maintains processes to assure that an adequate system of internal control is functioning within the Company, including the formation and oversight of the internal audit function and internal controls regarding cybersecurity;</w:t>
      </w:r>
    </w:p>
    <w:p>
      <w:pPr>
        <w:spacing w:after="0" w:line="67" w:lineRule="exact"/>
        <w:rPr>
          <w:rFonts w:ascii="Times New Roman" w:cs="Times New Roman" w:eastAsia="Times New Roman" w:hAnsi="Times New Roman"/>
          <w:sz w:val="18"/>
          <w:szCs w:val="18"/>
          <w:color w:val="auto"/>
        </w:rPr>
      </w:pPr>
    </w:p>
    <w:p>
      <w:pPr>
        <w:ind w:left="1960" w:right="200" w:hanging="413"/>
        <w:spacing w:after="0" w:line="282" w:lineRule="auto"/>
        <w:tabs>
          <w:tab w:leader="none" w:pos="17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processes to assure compliance with all applicable laws, regulations and corporate policies including the Code of Business Conduct and Ethics;</w:t>
      </w:r>
    </w:p>
    <w:p>
      <w:pPr>
        <w:spacing w:after="0" w:line="53" w:lineRule="exact"/>
        <w:rPr>
          <w:rFonts w:ascii="Times New Roman" w:cs="Times New Roman" w:eastAsia="Times New Roman" w:hAnsi="Times New Roman"/>
          <w:sz w:val="18"/>
          <w:szCs w:val="18"/>
          <w:color w:val="auto"/>
        </w:rPr>
      </w:pPr>
    </w:p>
    <w:p>
      <w:pPr>
        <w:ind w:left="1960" w:right="120" w:hanging="413"/>
        <w:spacing w:after="0" w:line="282" w:lineRule="auto"/>
        <w:tabs>
          <w:tab w:leader="none" w:pos="17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our registered independent public accounting firm to conduct the annual audit of the books and accounts of the Company, including the preapproval of all associated fees;</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permissible non-audit related services provided by the registered independent public accounting firm;</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and evaluate the performance of the registered independent public accounting firm;</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designed, implemented and maintains processes to assess and manage enterprise and event risk;</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proper information system controls and security;</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effectiveness of our accounting and financial controls with our registered independent public accounting firm;</w:t>
      </w:r>
    </w:p>
    <w:p>
      <w:pPr>
        <w:spacing w:after="0" w:line="117" w:lineRule="exact"/>
        <w:rPr>
          <w:rFonts w:ascii="Times New Roman" w:cs="Times New Roman" w:eastAsia="Times New Roman" w:hAnsi="Times New Roman"/>
          <w:sz w:val="18"/>
          <w:szCs w:val="18"/>
          <w:color w:val="auto"/>
        </w:rPr>
      </w:pPr>
    </w:p>
    <w:p>
      <w:pPr>
        <w:ind w:left="1960" w:right="40" w:hanging="413"/>
        <w:spacing w:after="0" w:line="282" w:lineRule="auto"/>
        <w:tabs>
          <w:tab w:leader="none" w:pos="17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registered independent public accounting firm the results of our annual audit and our quarterly financial statements;</w:t>
      </w:r>
    </w:p>
    <w:p>
      <w:pPr>
        <w:spacing w:after="0" w:line="53" w:lineRule="exact"/>
        <w:rPr>
          <w:rFonts w:ascii="Times New Roman" w:cs="Times New Roman" w:eastAsia="Times New Roman" w:hAnsi="Times New Roman"/>
          <w:sz w:val="18"/>
          <w:szCs w:val="18"/>
          <w:color w:val="auto"/>
        </w:rPr>
      </w:pPr>
    </w:p>
    <w:p>
      <w:pPr>
        <w:ind w:left="1960" w:right="440" w:hanging="413"/>
        <w:spacing w:after="0" w:line="282" w:lineRule="auto"/>
        <w:tabs>
          <w:tab w:leader="none" w:pos="17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that the financial statements be included in our Annual Report on Form 10-K and in our Quarterly Reports on Form 10-Q;</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earnings press releases; and</w:t>
      </w:r>
    </w:p>
    <w:p>
      <w:pPr>
        <w:spacing w:after="0" w:line="117" w:lineRule="exact"/>
        <w:rPr>
          <w:rFonts w:ascii="Times New Roman" w:cs="Times New Roman" w:eastAsia="Times New Roman" w:hAnsi="Times New Roman"/>
          <w:sz w:val="18"/>
          <w:szCs w:val="18"/>
          <w:color w:val="auto"/>
        </w:rPr>
      </w:pPr>
    </w:p>
    <w:p>
      <w:pPr>
        <w:ind w:left="1960" w:right="560" w:hanging="413"/>
        <w:spacing w:after="0" w:line="282" w:lineRule="auto"/>
        <w:tabs>
          <w:tab w:leader="none" w:pos="17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confidential, anonymous procedures for the receipt, retention and treatment of complaints regarding accounting, internal accounting controls and auditing matters.</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Audit Committee has a written charter, which can be found on our website at www.nninc.com. The Audit Committee met 10 times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985" w:right="359" w:bottom="1440" w:gutter="0" w:footer="0" w:header="0"/>
        </w:sectPr>
      </w:pPr>
    </w:p>
    <w:bookmarkStart w:id="15" w:name="page16"/>
    <w:bookmarkEnd w:id="15"/>
    <w:p>
      <w:pPr>
        <w:ind w:right="8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consists of Raynard D. Benvenuti, who serves as Chair of the Committee,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Brunner, Drs. Gautam and Kuran and Ms. Harman. All members of the Compensation Committee are independent as defined by Nasdaq rules. Among other matters described in its charter, the Compensation Committee’s primary duties and responsibilities are to:</w:t>
      </w:r>
    </w:p>
    <w:p>
      <w:pPr>
        <w:spacing w:after="0" w:line="67" w:lineRule="exact"/>
        <w:rPr>
          <w:sz w:val="20"/>
          <w:szCs w:val="20"/>
          <w:color w:val="auto"/>
        </w:rPr>
      </w:pPr>
    </w:p>
    <w:p>
      <w:pPr>
        <w:ind w:left="1960" w:right="14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corporate goals and objectives relative to the Chief Executive Officer evaluation, compensation and performance;</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our executive compensation policies and practices;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administration of our employee benefit plans, including the 2019 Omnibus Incentive Plan;</w:t>
      </w:r>
    </w:p>
    <w:p>
      <w:pPr>
        <w:spacing w:after="0" w:line="117" w:lineRule="exact"/>
        <w:rPr>
          <w:rFonts w:ascii="Times New Roman" w:cs="Times New Roman" w:eastAsia="Times New Roman" w:hAnsi="Times New Roman"/>
          <w:sz w:val="18"/>
          <w:szCs w:val="18"/>
          <w:color w:val="auto"/>
        </w:rPr>
      </w:pPr>
    </w:p>
    <w:p>
      <w:pPr>
        <w:ind w:left="1960" w:right="54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any compensation consultant to be used to assist in the evaluation of director, CEO, or senior executive compensation;</w:t>
      </w:r>
    </w:p>
    <w:p>
      <w:pPr>
        <w:spacing w:after="0" w:line="53" w:lineRule="exact"/>
        <w:rPr>
          <w:rFonts w:ascii="Times New Roman" w:cs="Times New Roman" w:eastAsia="Times New Roman" w:hAnsi="Times New Roman"/>
          <w:sz w:val="18"/>
          <w:szCs w:val="18"/>
          <w:color w:val="auto"/>
        </w:rPr>
      </w:pPr>
    </w:p>
    <w:p>
      <w:pPr>
        <w:ind w:left="1960" w:right="80" w:hanging="413"/>
        <w:spacing w:after="0" w:line="266"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67" w:lineRule="exact"/>
        <w:rPr>
          <w:rFonts w:ascii="Times New Roman" w:cs="Times New Roman" w:eastAsia="Times New Roman" w:hAnsi="Times New Roman"/>
          <w:sz w:val="18"/>
          <w:szCs w:val="18"/>
          <w:color w:val="auto"/>
        </w:rPr>
      </w:pPr>
    </w:p>
    <w:p>
      <w:pPr>
        <w:ind w:left="1960" w:right="6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annually the risks that arise from our compensation policies and determine whether such risks are reasonably likely to have a material adverse effect; and</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our senior management succession plan on an annual basis.</w:t>
      </w:r>
    </w:p>
    <w:p>
      <w:pPr>
        <w:spacing w:after="0" w:line="117"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has a written charter, which can be found on our website at www.nninc.com. The functions of the Compensation Committee are discussed in further detail in the section entitled “Compensation Committee Report” herein. The Compensation Committee met six times in 2021.</w:t>
      </w:r>
    </w:p>
    <w:p>
      <w:pPr>
        <w:spacing w:after="0" w:line="172" w:lineRule="exact"/>
        <w:rPr>
          <w:sz w:val="20"/>
          <w:szCs w:val="20"/>
          <w:color w:val="auto"/>
        </w:rPr>
      </w:pPr>
    </w:p>
    <w:p>
      <w:pPr>
        <w:jc w:val="both"/>
        <w:ind w:right="2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Governance Committee. </w:t>
      </w:r>
      <w:r>
        <w:rPr>
          <w:rFonts w:ascii="Times New Roman" w:cs="Times New Roman" w:eastAsia="Times New Roman" w:hAnsi="Times New Roman"/>
          <w:sz w:val="18"/>
          <w:szCs w:val="18"/>
          <w:color w:val="auto"/>
        </w:rPr>
        <w:t>The Governance Committee consists of Christina E. Carroll, who serves as Chair of the Committee, Messrs.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Brunner, Faria and Wilson, Ms. Harman and Dr. Kuran. All members of the Governance Committee are independent as defined by Nasdaq rules. Among other matters as provided in its charter, the Governance Committee’s primary duties and responsibilities are to:</w:t>
      </w:r>
    </w:p>
    <w:p>
      <w:pPr>
        <w:spacing w:after="0" w:line="67" w:lineRule="exact"/>
        <w:rPr>
          <w:sz w:val="20"/>
          <w:szCs w:val="20"/>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qualified candidates for membership on the Board;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of the Company’s environmental and social initiatives;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retirement or replacement of Board members;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Board membership;</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 candidate’s qualifications and any potential conflicts with our interests;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contributions and qualifications of current Directors in connection with their re-nomination to the Board;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evaluation of the Board and its Committees;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Committee membership and each Committee’s chair;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our Governance Principles;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process of providing information to the Board;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and review the Board performance on an annual basis.</w:t>
      </w:r>
    </w:p>
    <w:p>
      <w:pPr>
        <w:spacing w:after="0" w:line="117" w:lineRule="exact"/>
        <w:rPr>
          <w:sz w:val="20"/>
          <w:szCs w:val="20"/>
          <w:color w:val="auto"/>
        </w:rPr>
      </w:pPr>
    </w:p>
    <w:p>
      <w:pPr>
        <w:jc w:val="both"/>
        <w:ind w:right="300" w:firstLine="1296"/>
        <w:spacing w:after="0" w:line="266" w:lineRule="auto"/>
        <w:rPr>
          <w:sz w:val="20"/>
          <w:szCs w:val="20"/>
          <w:color w:val="auto"/>
        </w:rPr>
      </w:pPr>
      <w:r>
        <w:rPr>
          <w:rFonts w:ascii="Times New Roman" w:cs="Times New Roman" w:eastAsia="Times New Roman" w:hAnsi="Times New Roman"/>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81" w:right="339" w:bottom="1440" w:gutter="0" w:footer="0" w:header="0"/>
        </w:sectPr>
      </w:pPr>
    </w:p>
    <w:bookmarkStart w:id="16" w:name="page17"/>
    <w:bookmarkEnd w:id="16"/>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76"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18"/>
          <w:szCs w:val="18"/>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we do not have a formal policy regarding diversity, it is a very important factor in the Committee’s consideration of candidates. Among our seven nominees for election to the Board, two self-identify as women, and our three newest members self-identify as an individual from an underrepresented community (meaning, an individual who self-identifies as Black, African American, Hispanic, Latino, Asian, Pacific Islander, Middle Eastern, Native American, Native Hawaiian, or Alaska Native, or who self-identifies as gay, lesbian, bisexual, or transgender). The Governance Committee will also consider whether a candidate meets the definition of “independent director” under Nasdaq rules.</w:t>
      </w:r>
    </w:p>
    <w:p>
      <w:pPr>
        <w:spacing w:after="0" w:line="189"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The Governance Committee has a written charter, which can be found on our website at www.nninc.com. The Governance Committee met five times in 2021.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shows the current membership of each standing Committee of the Board: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r>
      <w:tr>
        <w:trPr>
          <w:trHeight w:val="190"/>
        </w:trPr>
        <w:tc>
          <w:tcPr>
            <w:tcW w:w="646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23"/>
        </w:trPr>
        <w:tc>
          <w:tcPr>
            <w:tcW w:w="6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Brunner</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Kuran</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Chair</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121"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2021, our independent, non-management directors regularly met without management present.</w:t>
      </w:r>
    </w:p>
    <w:p>
      <w:pPr>
        <w:spacing w:after="0" w:line="183" w:lineRule="exact"/>
        <w:rPr>
          <w:sz w:val="20"/>
          <w:szCs w:val="20"/>
          <w:color w:val="auto"/>
        </w:rPr>
      </w:pPr>
    </w:p>
    <w:p>
      <w:pPr>
        <w:ind w:right="360" w:firstLine="1296"/>
        <w:spacing w:after="0" w:line="258"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are held by two different individuals. The Board is led by Jeri J. Harman, the Chairman of the Board and an independent director. Ms. Harman has served as our Chairman since January 2021 and has performed the responsibilities prescribed to her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8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The Board has determined that the current separation of Chairman of the Board and Chief Executive Officer is the most appropriate structure at this time as it provides an effective balance between oversight of management and day-to-day leadership. Ms. Harman, an independent director,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w:t>
      </w:r>
    </w:p>
    <w:p>
      <w:pPr>
        <w:sectPr>
          <w:pgSz w:w="11900" w:h="16838" w:orient="portrait"/>
          <w:cols w:equalWidth="0" w:num="1">
            <w:col w:w="11240"/>
          </w:cols>
          <w:pgMar w:left="320" w:top="985" w:right="339" w:bottom="1440" w:gutter="0" w:footer="0" w:header="0"/>
        </w:sectPr>
      </w:pP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85" w:right="339" w:bottom="1440" w:gutter="0" w:footer="0" w:header="0"/>
          <w:type w:val="continuous"/>
        </w:sectPr>
      </w:pPr>
    </w:p>
    <w:bookmarkStart w:id="17" w:name="page18"/>
    <w:bookmarkEnd w:id="17"/>
    <w:p>
      <w:pPr>
        <w:ind w:right="220"/>
        <w:spacing w:after="0" w:line="272" w:lineRule="auto"/>
        <w:rPr>
          <w:sz w:val="20"/>
          <w:szCs w:val="20"/>
          <w:color w:val="auto"/>
        </w:rPr>
      </w:pPr>
      <w:r>
        <w:rPr>
          <w:rFonts w:ascii="Times New Roman" w:cs="Times New Roman" w:eastAsia="Times New Roman" w:hAnsi="Times New Roman"/>
          <w:sz w:val="17"/>
          <w:szCs w:val="17"/>
          <w:color w:val="auto"/>
        </w:rPr>
        <w:t>director and nominee to become director concerning his or her background, employment and affiliations, including family relationships, our Board has determined that none of our current directors or nominees to become director, other than Mr. Veltman,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Our Board also determined that none of our former directors, had a relationship that would interfere with the exercise of independent judgment in carrying out the responsibilities of a director and that each such director was “independent” as that term is defined under Rule 5605(a)(2) of the Nasdaq Marketplace Rules during his or her respective period of service as a director during 2021. In making each of these determinations, our Board considered the relationships that each such director and nominee has with us and all other facts and circumstances the Board deemed relevant in determining independence.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Performance Evaluations</w:t>
      </w:r>
    </w:p>
    <w:p>
      <w:pPr>
        <w:spacing w:after="0" w:line="121"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Our Board and each of its Committees conduct annual self-evaluations to determine whether they are functioning effectively and whether any changes are necessary to improve their performance. The Governance Committee is responsible for establishing the evaluation criteria and implementing the process for the evaluation. Every year we conduct interviews of each director to obtain their assessment of the effectiveness of the Board and the Committees, individual director performance (every three years) and Board of Directors’ dynamics. Our Governance Committee Chair and our General Counsel then report the results of these interviews at meetings of the Governance Committee and our Board of Directors, where the results are discussed. In addition, the Chair of each Committee guides an annual self-evaluation discussion among the Committee members. The results of the Committee self-evaluations are also reported to our Board of Directors for review and discussion.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 including operational, financial, legal and regulatory, environmental, social and governance (“ESG”), and strategic and reputational risks.</w:t>
      </w:r>
    </w:p>
    <w:p>
      <w:pPr>
        <w:spacing w:after="0" w:line="180"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The Board has delegated certain risk management responsibility to its standing committees. The Audit Committee is responsible for risk and exposures associated with financial, accounting, legal and regulatory, and cybersecurity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the evaluation of Board members and our ESG strategy and initiatives.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Environment, Social and Governance Matters</w:t>
      </w:r>
    </w:p>
    <w:p>
      <w:pPr>
        <w:spacing w:after="0" w:line="121"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The Board recognizes that ESG matters are important to long-term shareholder value and is committed to increased focus and disclosure on these matters. We endeavor to conduct business in a manner that promotes the fair and just treatment of all people. We also acknowledge our potential impact on the environment and are committed to operating in a responsible manner to help reduce that impact. In all aspects of our operations, we seek to conduct business in a way that reflects integrity and the high standards we have set for ourselves. The Board and the Governance Committee have oversight responsibility for strategy and policies related to ESG issues. In 2020, the Company began a process of reviewing its policies and practices related to ESG matters with the goal of improving its practices and disclosures and in 2021 the Company began to take action on the matters previously identified. The following are a few highlights of ESG actions taken to date:</w:t>
      </w:r>
    </w:p>
    <w:p>
      <w:pPr>
        <w:spacing w:after="0" w:line="187" w:lineRule="exact"/>
        <w:rPr>
          <w:sz w:val="20"/>
          <w:szCs w:val="20"/>
          <w:color w:val="auto"/>
        </w:rPr>
      </w:pPr>
    </w:p>
    <w:p>
      <w:pPr>
        <w:jc w:val="both"/>
        <w:ind w:right="30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and Safety and Social Initiatives </w:t>
      </w:r>
      <w:r>
        <w:rPr>
          <w:rFonts w:ascii="Times New Roman" w:cs="Times New Roman" w:eastAsia="Times New Roman" w:hAnsi="Times New Roman"/>
          <w:sz w:val="18"/>
          <w:szCs w:val="18"/>
          <w:color w:val="auto"/>
        </w:rPr>
        <w:t>- The Company maintains an environmental, health and safety policy, and in 2021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a comprehensive gap analysis and developed an action plan for the implementation of ESG initiatives, which includes a review of our social policies and practices in order to enhance our oversight and transparency with respect</w:t>
      </w:r>
    </w:p>
    <w:p>
      <w:pPr>
        <w:spacing w:after="0" w:line="39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85" w:right="339" w:bottom="1440" w:gutter="0" w:footer="0" w:header="0"/>
        </w:sectPr>
      </w:pPr>
    </w:p>
    <w:bookmarkStart w:id="18" w:name="page19"/>
    <w:bookmarkEnd w:id="18"/>
    <w:p>
      <w:pPr>
        <w:ind w:right="320"/>
        <w:spacing w:after="0" w:line="282" w:lineRule="auto"/>
        <w:rPr>
          <w:sz w:val="20"/>
          <w:szCs w:val="20"/>
          <w:color w:val="auto"/>
        </w:rPr>
      </w:pPr>
      <w:r>
        <w:rPr>
          <w:rFonts w:ascii="Times New Roman" w:cs="Times New Roman" w:eastAsia="Times New Roman" w:hAnsi="Times New Roman"/>
          <w:sz w:val="18"/>
          <w:szCs w:val="18"/>
          <w:color w:val="auto"/>
        </w:rPr>
        <w:t>to ESG matters. These efforts are expected to result in the publishing of our inaugural sustainability report and enhanced website disclosures during the second quarter of 2022.</w:t>
      </w:r>
    </w:p>
    <w:p>
      <w:pPr>
        <w:spacing w:after="0" w:line="160" w:lineRule="exact"/>
        <w:rPr>
          <w:sz w:val="20"/>
          <w:szCs w:val="20"/>
          <w:color w:val="auto"/>
        </w:rPr>
      </w:pPr>
    </w:p>
    <w:p>
      <w:pPr>
        <w:jc w:val="both"/>
        <w:ind w:right="4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Diversity </w:t>
      </w:r>
      <w:r>
        <w:rPr>
          <w:rFonts w:ascii="Times New Roman" w:cs="Times New Roman" w:eastAsia="Times New Roman" w:hAnsi="Times New Roman"/>
          <w:sz w:val="18"/>
          <w:szCs w:val="18"/>
          <w:color w:val="auto"/>
        </w:rPr>
        <w:t>- We are committed to bringing a diverse set of perspectives and experiences to the Board. We have two female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on the Board, one of whom serves as Chairman of the Board and the other as Chair of the Governance Committee, and three directors who identify as members of underrepresented minorities.</w:t>
      </w:r>
    </w:p>
    <w:p>
      <w:pPr>
        <w:spacing w:after="0" w:line="175"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Additionally, we have continued to refresh the Board by adding eight new directors to the Board within the past three years, including Mr. Faria and Drs. Gautam and Kuran in 2021.</w:t>
      </w:r>
    </w:p>
    <w:p>
      <w:pPr>
        <w:spacing w:after="0" w:line="160"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Code of Business Conduct and Ethics </w:t>
      </w:r>
      <w:r>
        <w:rPr>
          <w:rFonts w:ascii="Times New Roman" w:cs="Times New Roman" w:eastAsia="Times New Roman" w:hAnsi="Times New Roman"/>
          <w:sz w:val="18"/>
          <w:szCs w:val="18"/>
          <w:color w:val="auto"/>
        </w:rPr>
        <w:t>- The Company maintains a Code of Business Conduct and Ethics which is provided in 6 languages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applies to all of our directors and employees, including our executive officers and senior financial and accounting officers. Our entire global team receives annual training on and certifies that they have read and understood our Code of Business Conduct and Ethics.</w:t>
      </w:r>
    </w:p>
    <w:p>
      <w:pPr>
        <w:spacing w:after="0" w:line="17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Supply Chain Sustainability</w:t>
      </w:r>
      <w:r>
        <w:rPr>
          <w:rFonts w:ascii="Times New Roman" w:cs="Times New Roman" w:eastAsia="Times New Roman" w:hAnsi="Times New Roman"/>
          <w:sz w:val="18"/>
          <w:szCs w:val="18"/>
          <w:color w:val="auto"/>
        </w:rPr>
        <w:t>. As a multi-national company that sources from suppliers from around the world, we recognize the need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suppliers to abide by and exceed various environmental, social, and economic regulations and standards both from an international perspective and on a country by country basis for countries where our suppliers operate. We manage these risks and regulatory issues in our supply chain primarily through our policies and procedures, in which we outline our expectations of our suppliers.</w:t>
      </w:r>
    </w:p>
    <w:p>
      <w:pPr>
        <w:spacing w:after="0" w:line="180"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Health, Safety and Wellness. </w:t>
      </w:r>
      <w:r>
        <w:rPr>
          <w:rFonts w:ascii="Times New Roman" w:cs="Times New Roman" w:eastAsia="Times New Roman" w:hAnsi="Times New Roman"/>
          <w:sz w:val="18"/>
          <w:szCs w:val="18"/>
          <w:color w:val="auto"/>
        </w:rPr>
        <w:t>We work to minimize the risks associated with the tasks our employees perform, and we take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our employees’ health and safety very seriously. Our employees receive appropriate and necessary safety training to both protect their own health and safety as well as the people, equipment, and environment around them. Throughout the COVID-19 pandemic, we have remained focused on the health and safety of our employees while meeting the needs of our customers. In 2021, we continued to implement a variety of safety mechanisms and programs designed to limit the risk of COVID-19 transmission among our employees and to ensure reliable supply of products to our customers. These enhanced safety measures and practices included social distancing, encouraging vaccination and masking, enhancing safety and hygiene protocols within our facilities and other safeguards. We monitor and track the impact of the COVID-19 pandemic on our employees and within our operations, and proactively modify or adopt new practices to promote their health and safety.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Committee Meetings</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Board met nine times in 2021. All then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then current directors attended our annual meeting of stockholders in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Board</w:t>
      </w:r>
    </w:p>
    <w:p>
      <w:pPr>
        <w:spacing w:after="0" w:line="12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Stockholders and other interested parties may contact the Board, any of its standing committees, its independent directors, or any individual director by sending correspondence to NN, Inc., 6210 Ardrey Kell Road, Suite 600, Charlotte, North Carolina 28277, Attention: Secretary. Any mail received by the Secretary with the exception of improper commercial solicitations will be forwarded to the members of the Board for their further action, if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420" w:firstLine="1296"/>
        <w:spacing w:after="0" w:line="261"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applicable to our executive officers, including our Chief Executive Officer and Chief Financial Officer, as well as our directors and employees. The Code of Business Conduct and Ethics is available in the “About NN” section of our website at www.nninc.com. We intend to post amendments to or waivers from our Code of Business Conduct and Ethics (to the extent applicable to our Chief Executive Officer, Principal Financial Officer or Principal Accounting Officer) at this location on our website.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Corporate Governance</w:t>
      </w:r>
    </w:p>
    <w:p>
      <w:pPr>
        <w:spacing w:after="0" w:line="121" w:lineRule="exact"/>
        <w:rPr>
          <w:sz w:val="20"/>
          <w:szCs w:val="20"/>
          <w:color w:val="auto"/>
        </w:rPr>
      </w:pPr>
    </w:p>
    <w:p>
      <w:pPr>
        <w:jc w:val="both"/>
        <w:ind w:right="260" w:firstLine="1296"/>
        <w:spacing w:after="0" w:line="266" w:lineRule="auto"/>
        <w:rPr>
          <w:sz w:val="20"/>
          <w:szCs w:val="20"/>
          <w:color w:val="auto"/>
        </w:rPr>
      </w:pPr>
      <w:r>
        <w:rPr>
          <w:rFonts w:ascii="Times New Roman" w:cs="Times New Roman" w:eastAsia="Times New Roman" w:hAnsi="Times New Roman"/>
          <w:sz w:val="18"/>
          <w:szCs w:val="18"/>
          <w:color w:val="auto"/>
        </w:rPr>
        <w:t>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www.nninc.com.</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98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117"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Ownership of Management. </w:t>
      </w:r>
      <w:r>
        <w:rPr>
          <w:rFonts w:ascii="Times New Roman" w:cs="Times New Roman" w:eastAsia="Times New Roman" w:hAnsi="Times New Roman"/>
          <w:sz w:val="18"/>
          <w:szCs w:val="18"/>
          <w:color w:val="auto"/>
        </w:rPr>
        <w:t>The following table shows, as of March 31, 2022 and based on 43,890,305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outstanding, the beneficial ownership of common stock by each director and nominee, each named executive officer, and all directors and executive officers as a group, in each case as reported to us by such persons.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18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380" w:type="dxa"/>
            <w:vAlign w:val="bottom"/>
          </w:tcPr>
          <w:p>
            <w:pPr>
              <w:spacing w:after="0"/>
              <w:rPr>
                <w:sz w:val="13"/>
                <w:szCs w:val="13"/>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217"/>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Beneficial Owner </w:t>
            </w:r>
            <w:r>
              <w:rPr>
                <w:rFonts w:ascii="Times New Roman" w:cs="Times New Roman" w:eastAsia="Times New Roman" w:hAnsi="Times New Roman"/>
                <w:sz w:val="18"/>
                <w:szCs w:val="18"/>
                <w:b w:val="1"/>
                <w:bCs w:val="1"/>
                <w:color w:val="auto"/>
                <w:vertAlign w:val="superscript"/>
              </w:rPr>
              <w:t>(1)</w:t>
            </w:r>
          </w:p>
        </w:tc>
        <w:tc>
          <w:tcPr>
            <w:tcW w:w="38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18"/>
                <w:szCs w:val="18"/>
                <w:b w:val="1"/>
                <w:bCs w:val="1"/>
                <w:color w:val="auto"/>
                <w:vertAlign w:val="superscript"/>
              </w:rPr>
              <w:t>(2)</w:t>
            </w:r>
          </w:p>
        </w:tc>
      </w:tr>
      <w:tr>
        <w:trPr>
          <w:trHeight w:val="24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85,918</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E. Brunner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131,763</w:t>
            </w:r>
          </w:p>
        </w:tc>
        <w:tc>
          <w:tcPr>
            <w:tcW w:w="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Buchan</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130,380</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80,748</w:t>
            </w:r>
          </w:p>
        </w:tc>
        <w:tc>
          <w:tcPr>
            <w:tcW w:w="3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D. DeByle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29,472</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50,077</w:t>
            </w:r>
          </w:p>
        </w:tc>
        <w:tc>
          <w:tcPr>
            <w:tcW w:w="3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47,743</w:t>
            </w:r>
          </w:p>
        </w:tc>
        <w:tc>
          <w:tcPr>
            <w:tcW w:w="3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97,198</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S. Heiter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130,965</w:t>
            </w:r>
          </w:p>
        </w:tc>
        <w:tc>
          <w:tcPr>
            <w:tcW w:w="3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Shihab Kuran</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90,078</w:t>
            </w:r>
          </w:p>
        </w:tc>
        <w:tc>
          <w:tcPr>
            <w:tcW w:w="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429,874</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96,248</w:t>
            </w:r>
          </w:p>
        </w:tc>
        <w:tc>
          <w:tcPr>
            <w:tcW w:w="3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(14 persons)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1,520,214</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311"/>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63"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is c/o NN, Inc., 6210 Ardrey Kell Road, Suite 600, Charlotte, North Carolina 28277.</w:t>
      </w:r>
    </w:p>
    <w:p>
      <w:pPr>
        <w:spacing w:after="0" w:line="63" w:lineRule="exact"/>
        <w:rPr>
          <w:rFonts w:ascii="Times New Roman" w:cs="Times New Roman" w:eastAsia="Times New Roman" w:hAnsi="Times New Roman"/>
          <w:sz w:val="18"/>
          <w:szCs w:val="18"/>
          <w:color w:val="auto"/>
        </w:rPr>
      </w:pPr>
    </w:p>
    <w:p>
      <w:pPr>
        <w:ind w:left="420" w:right="80" w:hanging="412"/>
        <w:spacing w:after="0" w:line="266" w:lineRule="auto"/>
        <w:tabs>
          <w:tab w:leader="none" w:pos="4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in accordance with Rule 13d-3 of the Securities Exchange Act of 1934, as amended, or the Exchange Act. Includes shares of common stock subject to options exercisable within 60 days of March 31, 2022, and shares of restricted stock for which the indicated persons have sole voting power but not sole investment power.</w:t>
      </w:r>
    </w:p>
    <w:p>
      <w:pPr>
        <w:spacing w:after="0" w:line="1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of common stock held by the Raynard Benvenuti 2009 Revocable Trust.</w:t>
      </w:r>
    </w:p>
    <w:p>
      <w:pPr>
        <w:spacing w:after="0" w:line="117" w:lineRule="exact"/>
        <w:rPr>
          <w:rFonts w:ascii="Times New Roman" w:cs="Times New Roman" w:eastAsia="Times New Roman" w:hAnsi="Times New Roman"/>
          <w:sz w:val="18"/>
          <w:szCs w:val="18"/>
          <w:color w:val="auto"/>
        </w:rPr>
      </w:pPr>
    </w:p>
    <w:p>
      <w:pPr>
        <w:jc w:val="both"/>
        <w:ind w:left="420" w:right="220" w:hanging="412"/>
        <w:spacing w:after="0" w:line="266" w:lineRule="auto"/>
        <w:tabs>
          <w:tab w:leader="none" w:pos="4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29,532 shares of common stock held by Kiroki Investments, LLC of which revocable living trusts of Mr. Brunner and his wife are the sole members. Also includes 9,300 shares of common stock subject to options that are presently exercisable or exercisable within 60 days of March 31, 2022.</w:t>
      </w:r>
    </w:p>
    <w:p>
      <w:pPr>
        <w:spacing w:after="0" w:line="6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36,700 shares of common stock subject to options that are presently exercisable or exercisable within 60 days of March 31, 2022.</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8,700 shares of common stock subject to options that are presently exercisable or exercisable within 60 days of March 31, 2022.</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23,200 shares of common stock subject to options that are presently exercisable or exercisable within 60 days of March 31, 2022.</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of common stock subject to options that are presently exercisable or exercisable within 60 days of March 31, 2022.</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 the aggregate, 80,900 shares of common stock subject to options that are presently exercisable or exercisable within 60 days of</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March 31, 2022.</w:t>
      </w:r>
    </w:p>
    <w:p>
      <w:pPr>
        <w:spacing w:after="0" w:line="26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89" w:right="339" w:bottom="1440" w:gutter="0" w:footer="0" w:header="0"/>
        </w:sectPr>
      </w:pPr>
    </w:p>
    <w:bookmarkStart w:id="20" w:name="page21"/>
    <w:bookmarkEnd w:id="20"/>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Ownership of Certain Beneficial Owners. </w:t>
      </w:r>
      <w:r>
        <w:rPr>
          <w:rFonts w:ascii="Times New Roman" w:cs="Times New Roman" w:eastAsia="Times New Roman" w:hAnsi="Times New Roman"/>
          <w:sz w:val="18"/>
          <w:szCs w:val="18"/>
          <w:color w:val="auto"/>
        </w:rPr>
        <w:t>The following table sets forth the number of shares of our common stock beneficially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by the only parties known to our management to own more than 5% of our common stock, as of March 31, 2022 and based on 43,890,305 shares of common stock outstanding.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4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23"/>
        </w:trPr>
        <w:tc>
          <w:tcPr>
            <w:tcW w:w="7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Corre Partners Management, LLC </w:t>
            </w:r>
            <w:r>
              <w:rPr>
                <w:rFonts w:ascii="Times New Roman" w:cs="Times New Roman" w:eastAsia="Times New Roman" w:hAnsi="Times New Roman"/>
                <w:sz w:val="23"/>
                <w:szCs w:val="23"/>
                <w:color w:val="auto"/>
                <w:vertAlign w:val="superscript"/>
              </w:rPr>
              <w:t>(1)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4,362,481</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9.94 %</w:t>
            </w:r>
          </w:p>
        </w:tc>
      </w:tr>
      <w:tr>
        <w:trPr>
          <w:trHeight w:val="27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Paradigm Capital Management Inc. </w:t>
            </w:r>
            <w:r>
              <w:rPr>
                <w:rFonts w:ascii="Times New Roman" w:cs="Times New Roman" w:eastAsia="Times New Roman" w:hAnsi="Times New Roman"/>
                <w:sz w:val="23"/>
                <w:szCs w:val="23"/>
                <w:color w:val="auto"/>
                <w:vertAlign w:val="superscript"/>
              </w:rPr>
              <w:t>(2)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4,301,810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9.80 %</w:t>
            </w:r>
          </w:p>
        </w:tc>
      </w:tr>
      <w:tr>
        <w:trPr>
          <w:trHeight w:val="27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Legion Partners Asset Management, LLC </w:t>
            </w:r>
            <w:r>
              <w:rPr>
                <w:rFonts w:ascii="Times New Roman" w:cs="Times New Roman" w:eastAsia="Times New Roman" w:hAnsi="Times New Roman"/>
                <w:sz w:val="23"/>
                <w:szCs w:val="23"/>
                <w:color w:val="auto"/>
                <w:vertAlign w:val="superscript"/>
              </w:rPr>
              <w:t>(3)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4,074,151</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9.28 %</w:t>
            </w:r>
          </w:p>
        </w:tc>
      </w:tr>
      <w:tr>
        <w:trPr>
          <w:trHeight w:val="27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Corre Opportunities Qualified Master Fund, LP </w:t>
            </w:r>
            <w:r>
              <w:rPr>
                <w:rFonts w:ascii="Times New Roman" w:cs="Times New Roman" w:eastAsia="Times New Roman" w:hAnsi="Times New Roman"/>
                <w:sz w:val="23"/>
                <w:szCs w:val="23"/>
                <w:color w:val="auto"/>
                <w:vertAlign w:val="superscript"/>
              </w:rPr>
              <w:t>(4)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3,741,746</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8.53 %</w:t>
            </w:r>
          </w:p>
        </w:tc>
      </w:tr>
      <w:tr>
        <w:trPr>
          <w:trHeight w:val="27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3"/>
                <w:szCs w:val="23"/>
                <w:color w:val="auto"/>
                <w:vertAlign w:val="superscript"/>
              </w:rPr>
              <w:t>(5)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2,919,596</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r>
      <w:tr>
        <w:trPr>
          <w:trHeight w:val="27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PRIMECAP Management Company </w:t>
            </w:r>
            <w:r>
              <w:rPr>
                <w:rFonts w:ascii="Times New Roman" w:cs="Times New Roman" w:eastAsia="Times New Roman" w:hAnsi="Times New Roman"/>
                <w:sz w:val="23"/>
                <w:szCs w:val="23"/>
                <w:color w:val="auto"/>
                <w:vertAlign w:val="superscript"/>
              </w:rPr>
              <w:t>(6)</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2,768,600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r>
      <w:tr>
        <w:trPr>
          <w:trHeight w:val="27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Dimensional Fund Advisors LP </w:t>
            </w:r>
            <w:r>
              <w:rPr>
                <w:rFonts w:ascii="Times New Roman" w:cs="Times New Roman" w:eastAsia="Times New Roman" w:hAnsi="Times New Roman"/>
                <w:sz w:val="23"/>
                <w:szCs w:val="23"/>
                <w:color w:val="auto"/>
                <w:vertAlign w:val="superscript"/>
              </w:rPr>
              <w:t>(7)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1,981,632</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jc w:val="both"/>
        <w:ind w:left="420" w:right="220" w:hanging="412"/>
        <w:spacing w:after="0" w:line="266" w:lineRule="auto"/>
        <w:tabs>
          <w:tab w:leader="none" w:pos="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 filed on May 17, 2021 with the SEC by Corre Partners Management, LLC, or Corre. The Schedule 13D states that Corre and certain of its affiliates have shared voting power with respect to 4,362,481 shares and shared dispositive power with respect to 4,362,481 shares. The principal business address of Corre is 12 East 49th Street, 40th Floor, New York, New York 10017.</w:t>
      </w:r>
    </w:p>
    <w:p>
      <w:pPr>
        <w:spacing w:after="0" w:line="13" w:lineRule="exact"/>
        <w:rPr>
          <w:rFonts w:ascii="Times New Roman" w:cs="Times New Roman" w:eastAsia="Times New Roman" w:hAnsi="Times New Roman"/>
          <w:sz w:val="18"/>
          <w:szCs w:val="18"/>
          <w:color w:val="auto"/>
        </w:rPr>
      </w:pPr>
    </w:p>
    <w:p>
      <w:pPr>
        <w:ind w:left="420" w:right="20" w:hanging="412"/>
        <w:spacing w:after="0" w:line="266" w:lineRule="auto"/>
        <w:tabs>
          <w:tab w:leader="none" w:pos="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February 7, 2022 with the SEC by Paradigm Capital Management, Inc., or Paradigm. The Schedule 13G states that Paradigm has sole voting power with respect to 4,301,810 shares and sole dispositive power with respect to 4,301,810 shares. The principal business address of Paradigm is Nine Elk Street, Albany, New York 12207.</w:t>
      </w:r>
    </w:p>
    <w:p>
      <w:pPr>
        <w:spacing w:after="0" w:line="67" w:lineRule="exact"/>
        <w:rPr>
          <w:rFonts w:ascii="Times New Roman" w:cs="Times New Roman" w:eastAsia="Times New Roman" w:hAnsi="Times New Roman"/>
          <w:sz w:val="18"/>
          <w:szCs w:val="18"/>
          <w:color w:val="auto"/>
        </w:rPr>
      </w:pPr>
    </w:p>
    <w:p>
      <w:pPr>
        <w:ind w:left="420" w:right="220" w:hanging="412"/>
        <w:spacing w:after="0" w:line="266" w:lineRule="auto"/>
        <w:tabs>
          <w:tab w:leader="none" w:pos="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February 24, 2022 with the SEC by Legion Partners Asset Management, LLC, or Legion. The Schedule 13D/A states that Legion and certain of its affiliates have shared voting power for up to 4,074,151 shares and shared dispositive power for up to 4,074,151 shares. The principal business address of Legion is 12121 Wilshire Blvd., Suite 1240, Beverly Hills, CA 900225.</w:t>
      </w:r>
    </w:p>
    <w:p>
      <w:pPr>
        <w:spacing w:after="0" w:line="13" w:lineRule="exact"/>
        <w:rPr>
          <w:rFonts w:ascii="Times New Roman" w:cs="Times New Roman" w:eastAsia="Times New Roman" w:hAnsi="Times New Roman"/>
          <w:sz w:val="18"/>
          <w:szCs w:val="18"/>
          <w:color w:val="auto"/>
        </w:rPr>
      </w:pPr>
    </w:p>
    <w:p>
      <w:pPr>
        <w:ind w:left="420" w:right="240" w:hanging="412"/>
        <w:spacing w:after="0" w:line="287" w:lineRule="auto"/>
        <w:tabs>
          <w:tab w:leader="none" w:pos="39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based on Schedule 13D filed on May 17, 2021 with the SEC by Corre. The Schedule 13D states that Corre Opportunities Qualified Master Fund, LP, or Corre Fund, and certain of its affiliates have shared voting power with respect to 3,741,746 shares and shared dispositive power with respect to 3,741,746 shares. The principal business address of Corre Fund is 12 East 49th Street, 40th Floor, New York, New York 10017.</w:t>
      </w:r>
    </w:p>
    <w:p>
      <w:pPr>
        <w:ind w:left="420" w:right="200" w:hanging="412"/>
        <w:spacing w:after="0" w:line="266" w:lineRule="auto"/>
        <w:tabs>
          <w:tab w:leader="none" w:pos="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13G/A filed on February 1, 2022 with the SEC by BlackRock, Inc. The Schedule 13G/A states that BlackRock, Inc. has sole voting power with respect to 2,855,457 shares and sole dispositive power with respect to 2,919,596 shares. The principal business address of BlackRock, Inc. is 55 East 52nd Street, New York, New York 10055.</w:t>
      </w:r>
    </w:p>
    <w:p>
      <w:pPr>
        <w:spacing w:after="0" w:line="13" w:lineRule="exact"/>
        <w:rPr>
          <w:rFonts w:ascii="Times New Roman" w:cs="Times New Roman" w:eastAsia="Times New Roman" w:hAnsi="Times New Roman"/>
          <w:sz w:val="18"/>
          <w:szCs w:val="18"/>
          <w:color w:val="auto"/>
        </w:rPr>
      </w:pPr>
    </w:p>
    <w:p>
      <w:pPr>
        <w:jc w:val="both"/>
        <w:ind w:left="420" w:right="240" w:hanging="412"/>
        <w:spacing w:after="0" w:line="266" w:lineRule="auto"/>
        <w:tabs>
          <w:tab w:leader="none" w:pos="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13G/A filed on February 10, 2022 with the SEC by PRIMECAP Management Company, or PRIMECAP. The Schedule 13G/A states that PRIMECAP has sole voting power with respect to 2,623,200 shares and sole dispositive power with respect to 2,768,600 shares. The principal business address of PRIMECAP is 177 E. Colorado Blvd., 11th Floor, Pasadena, California 91105.</w:t>
      </w:r>
    </w:p>
    <w:p>
      <w:pPr>
        <w:spacing w:after="0" w:line="13" w:lineRule="exact"/>
        <w:rPr>
          <w:rFonts w:ascii="Times New Roman" w:cs="Times New Roman" w:eastAsia="Times New Roman" w:hAnsi="Times New Roman"/>
          <w:sz w:val="18"/>
          <w:szCs w:val="18"/>
          <w:color w:val="auto"/>
        </w:rPr>
      </w:pPr>
    </w:p>
    <w:p>
      <w:pPr>
        <w:ind w:left="420" w:right="240" w:hanging="412"/>
        <w:spacing w:after="0" w:line="266" w:lineRule="auto"/>
        <w:tabs>
          <w:tab w:leader="none" w:pos="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13G/A filed on February 8, 2022 with the SEC by Dimensional Fund Advisors LP, or Dimensional Fund. The Schedule 13G/A states that Dimensional Fund has sole voting power with respect to 1,914,143 shares and sole dispositive power with respect to 1,981,632 shares. The principal business address of Dimensional Fund is Building One, 6300 Bee Cave Road, Austin, Texas 78746.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Under Section 16(a) of the Exchange Act,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176"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Based solely on its review of the copies of these reports furnished to us for the year ended December 31, 2021, we are not aware of any instance of noncompliance with Section 16(a) by our directors, executive officers or owners of more than 10%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8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II: APPROVAL OF THE 2022 OMNIBUS INCENTIVE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6" w:lineRule="exact"/>
        <w:rPr>
          <w:sz w:val="20"/>
          <w:szCs w:val="20"/>
          <w:color w:val="auto"/>
        </w:rPr>
      </w:pPr>
    </w:p>
    <w:p>
      <w:pPr>
        <w:jc w:val="both"/>
        <w:ind w:right="440" w:firstLine="1296"/>
        <w:spacing w:after="0" w:line="228" w:lineRule="auto"/>
        <w:rPr>
          <w:sz w:val="20"/>
          <w:szCs w:val="20"/>
          <w:color w:val="auto"/>
        </w:rPr>
      </w:pPr>
      <w:r>
        <w:rPr>
          <w:rFonts w:ascii="Times New Roman" w:cs="Times New Roman" w:eastAsia="Times New Roman" w:hAnsi="Times New Roman"/>
          <w:sz w:val="18"/>
          <w:szCs w:val="18"/>
          <w:color w:val="auto"/>
        </w:rPr>
        <w:t>On April 11, 2022, the Board unanimously adopted and approved the NN, Inc. 2022 Omnibus Incentive Plan, or the Plan, subject to approval by our stockholders at the Annual Meeting. The Plan would replace the NN, Inc. 2019 Omnibus Incentive Plan, or the Prior Plan, and would apply to all awards granted after the Annual Meeting.</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determining to adopt and approve the Plan, subject to stockholder approval, the Board considered various factors, including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192" w:lineRule="exact"/>
        <w:rPr>
          <w:sz w:val="20"/>
          <w:szCs w:val="20"/>
          <w:color w:val="auto"/>
        </w:rPr>
      </w:pPr>
    </w:p>
    <w:p>
      <w:pPr>
        <w:ind w:left="340" w:right="40" w:hanging="332"/>
        <w:spacing w:after="0" w:line="258"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Record Date, March 31, 2022, 402,314 shares remain available for grant under our prior equity compensation plans, including the Prior Plan. Based on historical usage, the current share price of our common stock and expected practices, and noting that future circumstances may require us to make changes to our expected practices, we estimate that the existing shares available for grant under our prior equity compensation plans would be insufficient to make company-wide equity grants for fiscal 2022. Upon approval of the Plan by our stockholders, no awards will be granted under any prior equity compensation plans, including the Prior Plan.</w:t>
      </w:r>
    </w:p>
    <w:p>
      <w:pPr>
        <w:spacing w:after="0" w:line="75"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approved, we would have 3.7 million shares authorized for issuance for future awards under the Plan, with 2.5 million available for issuance as full value awards. The additional shares to be authorized for grant under the Plan plus the 2.5 million full value awards outstanding on the Prior Plan would be dilutive, in the aggregate, to stockholders by up to 14.0% based on the outstanding shares as of the Record Date.</w:t>
      </w:r>
    </w:p>
    <w:p>
      <w:pPr>
        <w:spacing w:after="0" w:line="67" w:lineRule="exact"/>
        <w:rPr>
          <w:rFonts w:ascii="Times New Roman" w:cs="Times New Roman" w:eastAsia="Times New Roman" w:hAnsi="Times New Roman"/>
          <w:sz w:val="18"/>
          <w:szCs w:val="18"/>
          <w:color w:val="auto"/>
        </w:rPr>
      </w:pPr>
    </w:p>
    <w:p>
      <w:pPr>
        <w:ind w:left="340" w:right="360" w:hanging="332"/>
        <w:spacing w:after="0" w:line="261"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historical usage and current share price of our common stock, we estimate that the 3.7 million shares to be authorized for grant under the Plan, if approved by our stockholders, should be sufficient for us to make equity grants for the next several years, assuming we continue to grant awards consistent with our historical usage and expected practices, and noting that future circumstances may require us to make changes to our expected practices.</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was designed to conform with existing best practices in equity incentive plans, which include: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term of 10 years;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fungible share count;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liberal share recycling;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the repricing of stock options or stock appreciation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minimum vesting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awards under certain circumstances;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non-employee director compensation.</w:t>
      </w:r>
    </w:p>
    <w:p>
      <w:pPr>
        <w:spacing w:after="0" w:line="225" w:lineRule="exact"/>
        <w:rPr>
          <w:sz w:val="20"/>
          <w:szCs w:val="20"/>
          <w:color w:val="auto"/>
        </w:rPr>
      </w:pPr>
    </w:p>
    <w:p>
      <w:pPr>
        <w:ind w:right="4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Equity compensation is a critical component of our compensation program, and approval of the Plan is necessary to continue our company-wide equity compensation program for 2022 and beyond. If stockholders do not approve the Plan, we will be at a competitive disadvantage within our industry. The Board believes the Plan is essential to our success and in motivating executives and other employees to strive to enhance our growth and profitability. </w:t>
      </w:r>
      <w:r>
        <w:rPr>
          <w:rFonts w:ascii="Times New Roman" w:cs="Times New Roman" w:eastAsia="Times New Roman" w:hAnsi="Times New Roman"/>
          <w:sz w:val="18"/>
          <w:szCs w:val="18"/>
          <w:b w:val="1"/>
          <w:bCs w:val="1"/>
          <w:color w:val="auto"/>
        </w:rPr>
        <w:t>THEREFORE, THE BOARD RECOMMENDS YOU TO VOTE TO APPROVE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Equity Award Data</w:t>
      </w:r>
    </w:p>
    <w:p>
      <w:pPr>
        <w:spacing w:after="0" w:line="6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Options and unvested Restricted Shares under all of our prior equity compensation plans as of the Record Date. The last sales price of our common stock on December 31, 2021 and the Record Date, as reported on the Nasdaq Global Select Market, was $4.10 and $2.88 per share,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Available for</w:t>
            </w:r>
          </w:p>
        </w:tc>
      </w:tr>
      <w:tr>
        <w:trPr>
          <w:trHeight w:val="159"/>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3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Unvested Restricted Stock/PSU</w:t>
            </w:r>
          </w:p>
        </w:tc>
        <w:tc>
          <w:tcPr>
            <w:tcW w:w="2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Grant Under All Prior Equity</w:t>
            </w:r>
          </w:p>
        </w:tc>
      </w:tr>
      <w:tr>
        <w:trPr>
          <w:trHeight w:val="21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Outstanding</w:t>
            </w:r>
            <w:r>
              <w:rPr>
                <w:rFonts w:ascii="Times New Roman" w:cs="Times New Roman" w:eastAsia="Times New Roman" w:hAnsi="Times New Roman"/>
                <w:sz w:val="18"/>
                <w:szCs w:val="18"/>
                <w:b w:val="1"/>
                <w:bCs w:val="1"/>
                <w:color w:val="auto"/>
                <w:w w:val="99"/>
                <w:vertAlign w:val="superscript"/>
              </w:rPr>
              <w:t>(1)</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243"/>
        </w:trPr>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550,232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1,879,271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402,314</w:t>
            </w:r>
          </w:p>
        </w:tc>
      </w:tr>
      <w:tr>
        <w:trPr>
          <w:trHeight w:val="310"/>
        </w:trPr>
        <w:tc>
          <w:tcPr>
            <w:tcW w:w="20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____________</w:t>
            </w: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36" w:lineRule="exact"/>
        <w:rPr>
          <w:sz w:val="20"/>
          <w:szCs w:val="20"/>
          <w:color w:val="auto"/>
        </w:rPr>
      </w:pPr>
    </w:p>
    <w:p>
      <w:pPr>
        <w:ind w:left="6180" w:right="3520" w:hanging="6172"/>
        <w:spacing w:after="0" w:line="783" w:lineRule="auto"/>
        <w:tabs>
          <w:tab w:leader="none" w:pos="3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all total outstanding full value awards from all prior equity compensation plans. 17</w:t>
      </w:r>
    </w:p>
    <w:p>
      <w:pPr>
        <w:sectPr>
          <w:pgSz w:w="11900" w:h="16838" w:orient="portrait"/>
          <w:cols w:equalWidth="0" w:num="1">
            <w:col w:w="11240"/>
          </w:cols>
          <w:pgMar w:left="320" w:top="1089" w:right="339" w:bottom="1440" w:gutter="0" w:footer="0" w:header="0"/>
        </w:sectPr>
      </w:pPr>
    </w:p>
    <w:bookmarkStart w:id="22" w:name="page23"/>
    <w:bookmarkEnd w:id="22"/>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The table below sets forth our burn rate for each of the last three fiscal years and the three-year average burn rate. Burn rate is calculated as (i) the number of stock options and time-based restricted stock granted, plus (ii) the number of performance stock units (PSUs) earned, divided by (iii) the weighted average basic common shares outstanding in the year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w:t>
            </w:r>
          </w:p>
        </w:tc>
        <w:tc>
          <w:tcPr>
            <w:tcW w:w="136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 = (a) : (c)</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Basic Common</w:t>
            </w:r>
          </w:p>
        </w:tc>
        <w:tc>
          <w:tcPr>
            <w:tcW w:w="1360" w:type="dxa"/>
            <w:vAlign w:val="bottom"/>
          </w:tcPr>
          <w:p>
            <w:pPr>
              <w:spacing w:after="0"/>
              <w:rPr>
                <w:sz w:val="14"/>
                <w:szCs w:val="14"/>
                <w:color w:val="auto"/>
              </w:rPr>
            </w:pPr>
          </w:p>
        </w:tc>
      </w:tr>
      <w:tr>
        <w:trPr>
          <w:trHeight w:val="159"/>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540"/>
              <w:spacing w:after="0" w:line="159" w:lineRule="exact"/>
              <w:rPr>
                <w:sz w:val="20"/>
                <w:szCs w:val="20"/>
                <w:color w:val="auto"/>
              </w:rPr>
            </w:pPr>
            <w:r>
              <w:rPr>
                <w:rFonts w:ascii="Times New Roman" w:cs="Times New Roman" w:eastAsia="Times New Roman" w:hAnsi="Times New Roman"/>
                <w:sz w:val="14"/>
                <w:szCs w:val="14"/>
                <w:b w:val="1"/>
                <w:bCs w:val="1"/>
                <w:color w:val="auto"/>
              </w:rPr>
              <w:t>(a)</w:t>
            </w:r>
          </w:p>
        </w:tc>
        <w:tc>
          <w:tcPr>
            <w:tcW w:w="14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4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(c)</w:t>
            </w:r>
          </w:p>
        </w:tc>
        <w:tc>
          <w:tcPr>
            <w:tcW w:w="14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tcPr>
          <w:p>
            <w:pPr>
              <w:jc w:val="right"/>
              <w:ind w:right="377"/>
              <w:spacing w:after="0" w:line="159" w:lineRule="exact"/>
              <w:rPr>
                <w:sz w:val="20"/>
                <w:szCs w:val="20"/>
                <w:color w:val="auto"/>
              </w:rPr>
            </w:pPr>
            <w:r>
              <w:rPr>
                <w:rFonts w:ascii="Times New Roman" w:cs="Times New Roman" w:eastAsia="Times New Roman" w:hAnsi="Times New Roman"/>
                <w:sz w:val="14"/>
                <w:szCs w:val="14"/>
                <w:b w:val="1"/>
                <w:bCs w:val="1"/>
                <w:color w:val="auto"/>
              </w:rPr>
              <w:t>(d) / (e)</w:t>
            </w:r>
          </w:p>
        </w:tc>
      </w:tr>
      <w:tr>
        <w:trPr>
          <w:trHeight w:val="217"/>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Grant</w:t>
            </w:r>
            <w:r>
              <w:rPr>
                <w:rFonts w:ascii="Times New Roman" w:cs="Times New Roman" w:eastAsia="Times New Roman" w:hAnsi="Times New Roman"/>
                <w:sz w:val="18"/>
                <w:szCs w:val="18"/>
                <w:b w:val="1"/>
                <w:bCs w:val="1"/>
                <w:color w:val="auto"/>
                <w:w w:val="94"/>
                <w:vertAlign w:val="superscript"/>
              </w:rPr>
              <w:t>(1)</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PSUs Earned</w:t>
            </w: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Granted/Earned</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Burn Rate</w:t>
            </w: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458,925</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44,011,000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158,700</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460,255</w:t>
            </w:r>
          </w:p>
        </w:tc>
        <w:tc>
          <w:tcPr>
            <w:tcW w:w="200" w:type="dxa"/>
            <w:vAlign w:val="bottom"/>
          </w:tcPr>
          <w:p>
            <w:pPr>
              <w:spacing w:after="0"/>
              <w:rPr>
                <w:sz w:val="21"/>
                <w:szCs w:val="21"/>
                <w:color w:val="auto"/>
              </w:rPr>
            </w:pP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618,955</w:t>
            </w:r>
          </w:p>
        </w:tc>
        <w:tc>
          <w:tcPr>
            <w:tcW w:w="22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42,199,000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210,400</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339,498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549,898</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42,030,000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311"/>
        </w:trPr>
        <w:tc>
          <w:tcPr>
            <w:tcW w:w="2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____________</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Amount excludes PSUs granted in 2019, 2020 and 2021.</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Plan</w:t>
      </w:r>
    </w:p>
    <w:p>
      <w:pPr>
        <w:spacing w:after="0" w:line="67"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The following summary of the material terms of the Plan is qualified in its entirety by reference to the complete text of the Plan as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You should read the complete text of the Plan for more details regarding the operation of the Plan.</w:t>
      </w:r>
    </w:p>
    <w:p>
      <w:pPr>
        <w:spacing w:after="0" w:line="158" w:lineRule="exact"/>
        <w:rPr>
          <w:sz w:val="20"/>
          <w:szCs w:val="20"/>
          <w:color w:val="auto"/>
        </w:rPr>
      </w:pPr>
    </w:p>
    <w:p>
      <w:pPr>
        <w:ind w:right="2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Plan is to promote our interests and those of our stockholders by attracting and retaining key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directors and consultants; motivating such individuals by means of performance-related incentives to achieve long-range performance goals; enabling such individuals to participate in our long-term growth and financial success; encouraging ownership of our stock by such individuals; and linking their compensation to our long-term interests and those of our stockholders.</w:t>
      </w:r>
    </w:p>
    <w:p>
      <w:pPr>
        <w:spacing w:after="0" w:line="176"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Plan will be administered by a committee composed of at least two “non-employee directors,” within the meaning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Section 16 of the Exchange Act, and Rule 16b-3 thereunder, each of whom will be “independent” within the meaning of the Nasdaq rules (or such other market or exchange as is the principal trading market for our stock) and the rules and regulations of the SEC. The Board has appointed the Compensation Committee to serve as the administrator of the Plan. The Compensation Committee will determine eligibility for and designate participants of the Plan, determine the type and amount of awards to be granted, determine the timing, terms, and conditions of any award, and make other determinations as provided in the Plan. All decisions and interpretations made by the Compensation Committee with respect to the Plan will be binding on us and participants. Subject to certain limitations under the Plan, the Compensation Committee may delegate its authority to our officers or managers to grant, modify, or cancel awards, other than with respect to participants who are subject to Section 16 of the Exchange Act.</w:t>
      </w:r>
    </w:p>
    <w:p>
      <w:pPr>
        <w:spacing w:after="0" w:line="185"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Prohibition on Repricing without Stockholder Approval</w:t>
      </w:r>
      <w:r>
        <w:rPr>
          <w:rFonts w:ascii="Times New Roman" w:cs="Times New Roman" w:eastAsia="Times New Roman" w:hAnsi="Times New Roman"/>
          <w:sz w:val="18"/>
          <w:szCs w:val="18"/>
          <w:color w:val="auto"/>
        </w:rPr>
        <w:t>. The Plan provides that, without the approval of our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may not lower the option price of a stock option after it is granted, lower the grant price of a stock appreciation right, or SAR, after it is granted, cancel a stock option when the option price exceeds the fair market value of the underlying shares (other than in certain limited situations involving a change in control) in exchange for cash or additional awards, cancel a SAR when the grant price exceeds the fair market value of the underlying shares (other than in certain limited situations involving a change in control) in exchange for cash or additional awards, or take any other action with respect to a stock option or SAR that would be treated as a repricing under the rules and regulations of the principal securities exchange on which shares of our common stock are traded.</w:t>
      </w:r>
    </w:p>
    <w:p>
      <w:pPr>
        <w:spacing w:after="0" w:line="183"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Eligible Participants</w:t>
      </w:r>
      <w:r>
        <w:rPr>
          <w:rFonts w:ascii="Times New Roman" w:cs="Times New Roman" w:eastAsia="Times New Roman" w:hAnsi="Times New Roman"/>
          <w:sz w:val="18"/>
          <w:szCs w:val="18"/>
          <w:color w:val="auto"/>
        </w:rPr>
        <w:t>. Any current or prospective (i) officer or employee of ours or any of our subsidiaries or affiliates, (ii)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or (iii) consultant of ours or one of our affiliates (provided that such person is a natural person and that such services are not in connection with the offer or sale of securities in a capital-raising transaction and do not directly or indirectly promote or maintain a market for any of our securities) is eligible to be designated as a participant by the Compensation Committee. However, the vesting and exercise of an award to a prospective employee, director or consultant are conditioned upon such individual attaining such status. The Board must approve awards to directors that are not also employees of ours. As of December 31, 2021, approximately 35 employees, 8 non-employee directors, and an indeterminate number of consultants would be eligible to participate in the Plan.</w:t>
      </w:r>
    </w:p>
    <w:p>
      <w:pPr>
        <w:spacing w:after="0" w:line="183" w:lineRule="exact"/>
        <w:rPr>
          <w:sz w:val="20"/>
          <w:szCs w:val="20"/>
          <w:color w:val="auto"/>
        </w:rPr>
      </w:pPr>
    </w:p>
    <w:p>
      <w:pPr>
        <w:jc w:val="both"/>
        <w:ind w:right="14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Subject to the Plan</w:t>
      </w:r>
      <w:r>
        <w:rPr>
          <w:rFonts w:ascii="Times New Roman" w:cs="Times New Roman" w:eastAsia="Times New Roman" w:hAnsi="Times New Roman"/>
          <w:sz w:val="18"/>
          <w:szCs w:val="18"/>
          <w:color w:val="auto"/>
        </w:rPr>
        <w:t>. A total of 3.7 million shares shall be authorized for grant under the Plan, less one share for every share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subject to a stock option or SAR granted after the Record Date under the Prior Plan and one and one-half shares for every share that was subject to an award other than a stock option or SAR granted after the Record Date under the Prior</w:t>
      </w:r>
    </w:p>
    <w:p>
      <w:pPr>
        <w:spacing w:after="0" w:line="39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85" w:right="339" w:bottom="1440" w:gutter="0" w:footer="0" w:header="0"/>
        </w:sectPr>
      </w:pPr>
    </w:p>
    <w:bookmarkStart w:id="23" w:name="page24"/>
    <w:bookmarkEnd w:id="23"/>
    <w:p>
      <w:pPr>
        <w:ind w:right="260"/>
        <w:spacing w:after="0" w:line="266" w:lineRule="auto"/>
        <w:rPr>
          <w:sz w:val="20"/>
          <w:szCs w:val="20"/>
          <w:color w:val="auto"/>
        </w:rPr>
      </w:pPr>
      <w:r>
        <w:rPr>
          <w:rFonts w:ascii="Times New Roman" w:cs="Times New Roman" w:eastAsia="Times New Roman" w:hAnsi="Times New Roman"/>
          <w:sz w:val="18"/>
          <w:szCs w:val="18"/>
          <w:color w:val="auto"/>
        </w:rPr>
        <w:t>Plan, all of which shares may be used for the granting of incentive stock options. Any shares that are subject to awards other than stock options or SARs shall be counted against this limit one and one-half shares for every one share granted. The number of shares subject to the Plan may be adjusted in the event of certain changes in our corporate structure.</w:t>
      </w:r>
    </w:p>
    <w:p>
      <w:pPr>
        <w:spacing w:after="0" w:line="176"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If (i) any shares subject to an award under the Plan are forfeited, an award under the Plan expires or an award under the Plan is settled for cash (in whole or in part), or (ii) after the Record Date, any shares subject to an award under the Prior Plan are forfeited, an award expires or an award under the Prior Plan is settled for cash (in whole or in part), the shares subject to such award under the Plan or the Prior Plan shall, to the extent of such forfeiture, expiration or cash settlement, again be available for awards under the Plan. Notwithstanding anything to the contrary contained herein, the following shares shall not be added to the shares authorized for grant: (I) shares tendered by the participant or withheld by us in payment of the purchase price of a stock option under the Plan or the Prior Plan, or to satisfy any tax withholding obligation with respect to an award under the Plan or the Prior Plan, and (II) shares subject to a SAR under the Plan that are not issued in connection with the stock settlement of the SAR under the Plan on exercise thereof, or a SAR under the Prior Plan and (III) shares reacquired by us on the open market or otherwise using cash proceeds from the exercise of stock options under the Plan or the Prior Plan.</w:t>
      </w:r>
    </w:p>
    <w:p>
      <w:pPr>
        <w:spacing w:after="0" w:line="188"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Any shares that again become available for grant shall be added back as (i) one share for every one share subject to stock options or SARs granted under the Plan or the Prior Plan, and (ii) as one and one-half shares for every one share subject to awards other than stock options or SARs granted under the Plan or the Prior Plan.</w:t>
      </w:r>
    </w:p>
    <w:p>
      <w:pPr>
        <w:spacing w:after="0" w:line="172" w:lineRule="exact"/>
        <w:rPr>
          <w:sz w:val="20"/>
          <w:szCs w:val="20"/>
          <w:color w:val="auto"/>
        </w:rPr>
      </w:pPr>
    </w:p>
    <w:p>
      <w:pPr>
        <w:ind w:right="200" w:firstLine="129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on Awards</w:t>
      </w:r>
      <w:r>
        <w:rPr>
          <w:rFonts w:ascii="Times New Roman" w:cs="Times New Roman" w:eastAsia="Times New Roman" w:hAnsi="Times New Roman"/>
          <w:sz w:val="18"/>
          <w:szCs w:val="18"/>
          <w:color w:val="auto"/>
        </w:rPr>
        <w:t>. Subject to exceptions for extraordinary circumstances, non-employee directors shall not receive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or granted, in any calendar year in excess of $500,000.</w:t>
      </w:r>
    </w:p>
    <w:p>
      <w:pPr>
        <w:spacing w:after="0" w:line="155" w:lineRule="exact"/>
        <w:rPr>
          <w:sz w:val="20"/>
          <w:szCs w:val="20"/>
          <w:color w:val="auto"/>
        </w:rPr>
      </w:pPr>
    </w:p>
    <w:p>
      <w:pPr>
        <w:ind w:right="180" w:firstLine="1296"/>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Terms and Conditions of Awards</w:t>
      </w:r>
      <w:r>
        <w:rPr>
          <w:rFonts w:ascii="Times New Roman" w:cs="Times New Roman" w:eastAsia="Times New Roman" w:hAnsi="Times New Roman"/>
          <w:sz w:val="17"/>
          <w:szCs w:val="17"/>
          <w:color w:val="auto"/>
        </w:rPr>
        <w:t>. The Plan permits the grant of stock options, SARs, restricted shares, restricted share units,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performance awards (including performance shares and performance units), and other stock-based awards. Stock options granted under the Plan may be either incentive stock options complying with Section 422 of the Internal Revenue Code, or the Code, or nonqualified stock options. Incentive stock options may be granted only to employees. All other awards may be granted to current or prospective officers, employees, directors and consultants. All awards under the Plan must be evidenced by an award agreement that may specify the terms and conditions of the award and any rules applicable thereto.</w:t>
      </w:r>
    </w:p>
    <w:p>
      <w:pPr>
        <w:spacing w:after="0" w:line="168" w:lineRule="exact"/>
        <w:rPr>
          <w:sz w:val="20"/>
          <w:szCs w:val="20"/>
          <w:color w:val="auto"/>
        </w:rPr>
      </w:pPr>
    </w:p>
    <w:p>
      <w:pPr>
        <w:ind w:right="18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represents the right to purchase a specified number of shares during a specified period of up to ten years. The award agreement will set forth the number of shares subject to the stock options, the option price, and the conditions and limitations applicable to the exercise of the stock options as determined by the Compensation Committee. The option price of stock options may not be less than the fair market value on the date that such stock options are granted under the Plan. With respect to incentive stock options, the terms and conditions of such stock options will be subject to and comply with Section 422 of the Code. To the extent stock options intended to qualify as incentive stock options fail to qualify for any reason, such stock options will constitute non-qualified stock options. Incentive stock options may not be granted to any individual who, at the time of grant owns stock possessing more than 10% of the total combined voting power of all of our outstanding common stock or any of our subsidiaries, unless the exercise price is not less than 110% of the fair market value of the common stock on the date of the grant and the exercise of such option is prohibited by its terms after the expiration of five years from the date of grant of such option.</w:t>
      </w:r>
    </w:p>
    <w:p>
      <w:pPr>
        <w:spacing w:after="0" w:line="188"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 Unless otherwise set forth in the award agreement, SARs represent the right to receive an amount of cash equal, or shares of common stock having a value equal, to the increase in the fair market value of a specified number of shares between the grant date of the SARs and the date on which they are exercised. The award agreement will set forth the number of shares subject to the award, the grant price, and the conditions and limitations applicable to the exercise of the SARs as determined by the Compensation Committee. The grant price of SARs may not be less than the fair market value on the date that such SARs are granted under the Plan.</w:t>
      </w:r>
    </w:p>
    <w:p>
      <w:pPr>
        <w:spacing w:after="0" w:line="18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The award agreement for restricted shares will set forth the number of shares subject to the award, the period during which, and the conditions under which, the restricted shares may be forfeited to us, and the other terms and conditions of the award. Restricted shares may not be sold, transferred, or otherwise encumbered or disposed of until the expiration of the restricted period and the fulfillment of any other conditions to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Unless otherwise provided in the award agreement, the participant receiving restricted shares will have the right to receive dividends and to vote such shares. At the end of the restricted period and provided that any other restrictive conditions of the award are met, a stock certificate will be delivered to the participant free of the restricted stock legend (or restrictions on book-entry shares will be removed).</w:t>
      </w:r>
    </w:p>
    <w:p>
      <w:pPr>
        <w:spacing w:after="0" w:line="192"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 Each restricted share unit will have a value equal to the fair market value of a share on the date such restricted share units are granted under the Plan. Restricted share units may be settled in cash, shares, other securities or property (as determined by the Compensation Committee) upon the lapse of restrictions applicable to the award and otherwise in</w:t>
      </w:r>
    </w:p>
    <w:p>
      <w:pPr>
        <w:sectPr>
          <w:pgSz w:w="11900" w:h="16838" w:orient="portrait"/>
          <w:cols w:equalWidth="0" w:num="1">
            <w:col w:w="11240"/>
          </w:cols>
          <w:pgMar w:left="320" w:top="985" w:right="339" w:bottom="1440" w:gutter="0" w:footer="0" w:header="0"/>
        </w:sectPr>
      </w:pP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85" w:right="339" w:bottom="1440" w:gutter="0" w:footer="0" w:header="0"/>
          <w:type w:val="continuous"/>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18"/>
          <w:szCs w:val="18"/>
          <w:color w:val="auto"/>
        </w:rPr>
        <w:t>accordance with the award agreement. Unless otherwise provided in the applicable aware agreement, restricted share units will be subject to transfer restrictions similar to those of restricted shares, except that no shares are awarded to a participant who is granted restricted share units on the date of grant, and such participant will have no rights of a stockholder with respect to the restricted share units until the restrictions set forth in the award agreement lapse and the underlying shares have been delivered to the participant. The award agreement for restricted share units will set forth the number of shares subject to the award, the period during which, and the conditions under which, the restricted shares units may be forfeited to us, and the other terms and conditions of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The award agreement may also set forth performance or other conditions (including, but not limited to, performance goals based on the criteria listed in the Plan) that will subject the shares to forfeiture and transfer restrictions. The award agreement will specify whether restricted share units entitle the participant to dividend equivalent rights at the time of payment of dividends to our stockholders. Unless otherwise determined by the Compensation Committee or as provided in the award agreement, all of the restricted share units will terminate unless the participant remains in continuous employment for the entire restricted period and unless the other restrictive conditions of the award are met.</w:t>
      </w:r>
    </w:p>
    <w:p>
      <w:pPr>
        <w:spacing w:after="0" w:line="190"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Compensation Committee may grant performance awards, which will consist of a right that is denominated in cash or shares (including but not limited to restricted shares and restricted share units), valued, as determined by the Compensation Committee, in accordance with the achievement of such performance goals during such performance periods as the Compensation Committee may establish, and payable at such time and in such form as the Compensation Committee shall determine. Subject to the terms of the Plan and any applicable award agreement, the Compensation Committee will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however, any such amendment may not adversely affect existing performance awards made within a performance period commencing prior to implementation of the amendment. Performance awards may be paid in a lump sum or in installments following the close of the performance period or, in accordance with the procedures established by the Compensation Committee, on a deferred basis. Except as otherwise determined by the Compensation Committee at or after grant, separation from service prior to the end of any performance period, other than for reasons of death or disability, will result in the forfeiture of the performance award, and no payments will be made. Notwithstanding the foregoing, the Compensation Committee may, in its discretion, waive any performance goals and/or other terms and conditions relating to a performance award.</w:t>
      </w:r>
    </w:p>
    <w:p>
      <w:pPr>
        <w:spacing w:after="0" w:line="19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Awards that are granted as performance-based awards based upon the attainment of performance targets related to one or more performance goals selected by the Compensation Committee from among the following: earnings before any one or more of the following: interest, taxes, depreciation, amortization and/or stock compensation; net sales; operating (or gross) income or profit; pretax income before allocation of corporate overhead and/or bonus; productivity or operating efficiencies; operating income as a percentage of net sales; return on capital, capital employed, investment, equity or assets (including economic value created); after tax operating income; net income; earnings or book value per share; financial ratios; cash flow(s); total sales or revenues or sales or revenues per employee; capital expenditures as a percentage of net sales; total operating expenses, or some component or combination of components of total operating expenses, as a percentage of net sales; stock price or total stockholder return, including any comparisons with stock market indices; appreciation in or maintenance of the price of the common stock or any of our publicly-traded securities; dividends; debt or cost reduction; comparisons with performance metrics of peer companies; comparisons of our stock price performance to the stock price performance of peer companies; 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 quality or customer satisfaction; comparable site sales; economic value-added models; or any combination thereof. The Compensation Committee may define such performance goals with respect to generally accepted accounting principles, or GAAP, where applicable, or may adopt such definitions or modifications of GAAP as it deems appropriate. Each goal may be expressed on an absolute and/or relative basis, may be based on or otherwise employ comparisons based on internal targets, our past performance or the past performance of any of our subsidiaries, operating units, business segments or divisions and/or the past or current performance of other companies, and in the case of earnings-based measures, may use or employ comparisons relating to capital, stockholders’ equity and/or shares outstanding, or to assets or net assets. The Compensation Committee may appropriately adjust any evaluation of performance under the foregoing criteria to exclude any of the following events that occurs during a performance period: asset impairments or write-downs; litigation or claim judgments or settlements; the effect of changes in tax law, accounting principles or other such laws or provisions affecting reported results; accruals for reorganization and restructuring programs; any terms that are unusual in nature or infrequently occurring (within the meaning of applicable accounting standards) and/or described in management’s discussion and analysis of financial condition and results of operations appearing in our annual report to stockholders for the applicable year; the effect of adverse federal, governmental or regulatory action, or delays in federal, governmental or regulatory action; or any other event either not directly related to our operations or not within the reasonable control of our management.</w:t>
      </w:r>
    </w:p>
    <w:p>
      <w:pPr>
        <w:spacing w:after="0" w:line="200" w:lineRule="exact"/>
        <w:rPr>
          <w:sz w:val="20"/>
          <w:szCs w:val="20"/>
          <w:color w:val="auto"/>
        </w:rPr>
      </w:pP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85" w:right="339" w:bottom="1440" w:gutter="0" w:footer="0" w:header="0"/>
        </w:sectPr>
      </w:pPr>
    </w:p>
    <w:bookmarkStart w:id="25" w:name="page26"/>
    <w:bookmarkEnd w:id="25"/>
    <w:p>
      <w:pPr>
        <w:ind w:right="300"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The Compensation Committee may grant stock-based awards other than stock options, SARs, restricted shares, restricted share units, and performance awards. Such other stock-based awards will consist of an award of shares or an award denominated or payable in, or valued in whole or part by reference to, shares, and will have terms determined by the Compensation Committee to be consistent with the purposes of the Plan.</w:t>
      </w:r>
    </w:p>
    <w:p>
      <w:pPr>
        <w:spacing w:after="0" w:line="176"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Minimum Vesting Requirements</w:t>
      </w:r>
      <w:r>
        <w:rPr>
          <w:rFonts w:ascii="Times New Roman" w:cs="Times New Roman" w:eastAsia="Times New Roman" w:hAnsi="Times New Roman"/>
          <w:sz w:val="18"/>
          <w:szCs w:val="18"/>
          <w:color w:val="auto"/>
        </w:rPr>
        <w:t>. Except for substitute awards, no portion of any option awards, SAR awards, performance awards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extent appreciation awards (as defined in the plan)) and other stock-based awards (to the extent appreciation awards) shall have a vesting period of less than twelve (12) months from the date of grant; provided, however, that up to five percent (5%) of the number of shares authorized for grant under the Plan may be subject to Options or SARs that do not meet the minimum vesting requirement set forth in the previous clause. These minimum vesting requirements shall also apply to any performance awards that are appreciation awards. These minimum vesting requirements shall also apply to non-employee director appreciation awards (as defined in the Plan) but not with respect to non-employee director restricted shares, restricted share units or performance awards (to the extent not appreciation awards (as defined in the Plan)).</w:t>
      </w:r>
    </w:p>
    <w:p>
      <w:pPr>
        <w:spacing w:after="0" w:line="183" w:lineRule="exact"/>
        <w:rPr>
          <w:sz w:val="20"/>
          <w:szCs w:val="20"/>
          <w:color w:val="auto"/>
        </w:rPr>
      </w:pPr>
    </w:p>
    <w:p>
      <w:pPr>
        <w:ind w:right="320"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 Compensation Committee will determine the terms and conditions that will apply to any award upon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separation from service and may provide such terms and conditions in the award agreement or in such rules and regulations as it may prescribe. Unless otherwise provided in the Plan, an award agreement, or by a contractual agreement between us and a participant, if a participant’s employment with or service to us terminates before the restrictions imposed on the award lapse, the performance goals have been satisfied or the award otherwise vests, such award will be forfeited.</w:t>
      </w:r>
    </w:p>
    <w:p>
      <w:pPr>
        <w:spacing w:after="0" w:line="17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Unless otherwise provided by the Compensation Committee, or in an award agreement or by a contractual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us and a participant, if, within one year following a change in control, a participant separates from service with us (or our successor) by reason of death, disability, retirement, for good reason by the participant, or involuntary termination by us for any reason other than for cause, all outstanding awards of such participant will vest, become immediately exercisable and payable and have all restrictions lifted. Unless otherwise provided in an award agreement or by a contractual agreement between us and the participant, in the event of a change in control, the successor or purchasing entity may, without the consent of any participant, either assume or continue our rights and obligations under any award outstanding immediately prior to the change in control or substitute for any such outstanding award a substantially equivalent award with respect to the successor’s or purchasing entity’s stock. The Compensation Committee may in its discretion and without the consent of any participant, determine that, upon the occurrence of a change in control, each or any award or a portion thereof outstanding immediately prior to the change in control and not previously exercised or settled will be canceled in exchange for a payment with respect to each vested share subject to such award in cash, shares, shares of a corporation or other business entity a party to the change in control, or other property which, in any such case, will be in an amount having a fair market value equal to the fair market value of the consideration to be paid per share in the change in control, reduced by the exercise or purchase price per share, if any, under such award.</w:t>
      </w:r>
    </w:p>
    <w:p>
      <w:pPr>
        <w:spacing w:after="0" w:line="190"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Awards</w:t>
      </w:r>
      <w:r>
        <w:rPr>
          <w:rFonts w:ascii="Times New Roman" w:cs="Times New Roman" w:eastAsia="Times New Roman" w:hAnsi="Times New Roman"/>
          <w:sz w:val="18"/>
          <w:szCs w:val="18"/>
          <w:color w:val="auto"/>
        </w:rPr>
        <w:t>. Except as otherwise permitted in the Plan, an award agreement or by the Compensation Committee,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Plan are not transferable other than by a participant’s will or the laws of descent and distribution. The transfer of an award by will or by laws of descent and distribution will not be effective to bind the Company unless the Company is furnished with written notice thereof and an authenticated copy of the will and/or such other evidence as the Compensation Committee may deem necessary or appropriate to establish the validity of the transfer. No transfer of an award for value is permitted under the Plan.</w:t>
      </w:r>
    </w:p>
    <w:p>
      <w:pPr>
        <w:spacing w:after="0" w:line="179" w:lineRule="exact"/>
        <w:rPr>
          <w:sz w:val="20"/>
          <w:szCs w:val="20"/>
          <w:color w:val="auto"/>
        </w:rPr>
      </w:pPr>
    </w:p>
    <w:p>
      <w:pPr>
        <w:ind w:right="60"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Any award granted pursuant to the Plan shall be subject to mandatory repayment by the participant to us (i) to the extent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in any award agreement, (ii) to the extent that such participant is, or in the future becomes, subject to (a) any “clawback” or recoupment policy adopted by us or any of our affiliates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8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179" w:lineRule="exact"/>
        <w:rPr>
          <w:sz w:val="20"/>
          <w:szCs w:val="20"/>
          <w:color w:val="auto"/>
        </w:rPr>
      </w:pPr>
    </w:p>
    <w:p>
      <w:pPr>
        <w:ind w:right="12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Term and Amendment</w:t>
      </w:r>
      <w:r>
        <w:rPr>
          <w:rFonts w:ascii="Times New Roman" w:cs="Times New Roman" w:eastAsia="Times New Roman" w:hAnsi="Times New Roman"/>
          <w:sz w:val="18"/>
          <w:szCs w:val="18"/>
          <w:color w:val="auto"/>
        </w:rPr>
        <w:t>. No new awards may be granted under the Plan after the tenth anniversary of its approval by our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may amend, alter, suspend, discontinue or terminate the Plan at any time; however, no amendment, alteration, suspension, discontinuation or termination may be made without stockholder approval if approval is necessary to comply with any tax or regulatory requirement for which or with which the Board deems it necessary or desirable to comply.</w:t>
      </w: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67"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Federal income tax laws in effect on the date hereof with applicability to the Plan. This summary is not intended to be exhaustive and the exact tax consequences to any participant will depend on his or her particular circumstances and other factors. The Plan participants are encouraged to consult their own tax advisors with respect to any state tax consequences or particular federal tax implications of awards granted under the Plan. The Plan is not intended to be qualified under Section 401(a) of the Code.</w:t>
      </w:r>
    </w:p>
    <w:p>
      <w:pPr>
        <w:spacing w:after="0" w:line="176"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A participant will not recognize income, and we will not be entitled to take a deduction, upon the grant of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exercising a non-qualified option, the participant generally will recognize ordinary income equal to the difference between the exercise price and fair market value of the shares acquired on the date of exercise, and we will be entitled to a deduction for the same amount. Any ordinary income of the participant will be subject to tax withholding by us. We generally will have no tax consequence in connection with the later disposition of shares acquired pursuant to non-qualified stock options. A participant generally will not recognize income, and we will not be entitled to take a deduction, upon the exercise of an incentive stock option (except that the alternative minimum tax may apply). If shares acquired upon the exercise of an incentive stock option are held for the longer of two years from the grant date of the stock options and more than one year after the date they were exercised, the difference between the sale price and the exercise price generally will be taxed as long-term capital gain or loss, and we will not be entitled to any deduction. We generally will have no tax consequence in connection with the later disposition of shares acquired pursuant to incentive stock options if such holdings periods are met. If the participant does not satisfy these holding periods, then the participant will recognize ordinary income equal to the excess of the lesser of the amount realized upon such disposition and the fair market value of such shares on the date of exercise, over the exercise price, and we should be entitled to take a corresponding deduction.</w:t>
      </w:r>
    </w:p>
    <w:p>
      <w:pPr>
        <w:spacing w:after="0" w:line="190"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A participant will not recognize income, and we will not be entitled to take a deduction, upon the grant of SARs. Upon exercising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SAR, the participant generally will recognize ordinary income in the amount by which the fair market value of the shares on the date of exercise exceeds the SAR exercise price, if any, and we will be entitled to a deduction for the same amount. Any ordinary income of the participant will be subject to tax withholding by us. Any additional gain or loss recognized upon the later disposition of the shares will be capital gain or loss, which may be long- or short-term capital gain or loss depending on the holding period. We generally will have no tax consequence in connection with the later disposition of shares acquired pursuant to a SAR.</w:t>
      </w:r>
    </w:p>
    <w:p>
      <w:pPr>
        <w:spacing w:after="0" w:line="182" w:lineRule="exact"/>
        <w:rPr>
          <w:sz w:val="20"/>
          <w:szCs w:val="20"/>
          <w:color w:val="auto"/>
        </w:rPr>
      </w:pPr>
    </w:p>
    <w:p>
      <w:pPr>
        <w:ind w:right="6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The award of restricted shares will not result in taxable income to the participant, and we will not be entitled to take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deduction, at the time of grant unless the participant makes an election under Section 83(b) of the Code to be taxed at such time. If such election is not made, upon the lapse of the restrictions upon restricted shares, the participant will recognize ordinary income in the amount equal to the fair market value of the shares at the time the restricted shares vest (less any amount paid for the shares), and we will be entitled to a deduction for the same amount.</w:t>
      </w:r>
    </w:p>
    <w:p>
      <w:pPr>
        <w:spacing w:after="0" w:line="180"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Prior to the lapse of the restrictions on restricted shares, any dividends received on such shares will be treated as ordinary income to the participant (and will not eligible for reduced rates of taxation applicable to qualified dividend income). If an election under Section 83(b) of the Code is made within 30 days after receipt of restricted shares, the participant will recognize ordinary income in the year that the restricted shares are awarded in an amount equal to the fair market value of the shares on the date of such award determined as if the restricted shares were not subject to restrictions, and we will be entitled to a deduction for the same amount. If the election is made, the participant will not recognize income at the time that the restrictions actually lapse. Any dividends received after the election is made generally will constitute qualified dividend income generally subject to reduced rates of taxation. If the restricted shares subject to the election are subsequently forfeited, the participant will not be entitled to a deduction or tax refund. Any ordinary income of the participant will be subject to tax withholding by us. We generally will have no tax consequence in connection with the later disposition of shares acquired pursuant to vested restricted shares.</w:t>
      </w:r>
    </w:p>
    <w:p>
      <w:pPr>
        <w:spacing w:after="0" w:line="184"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Restricted Share Units</w:t>
      </w:r>
      <w:r>
        <w:rPr>
          <w:rFonts w:ascii="Times New Roman" w:cs="Times New Roman" w:eastAsia="Times New Roman" w:hAnsi="Times New Roman"/>
          <w:sz w:val="18"/>
          <w:szCs w:val="18"/>
          <w:color w:val="auto"/>
        </w:rPr>
        <w:t>. With respect to a grant of restricted share units, the participant will recognize ordinary income on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(for units payable in cash) or the fair market value of the common stock (for units settled in stock) at the time such payments are made available to the participant under the terms of the restricted share unit award, and we will be entitled to a deduction for the same amount. No Section 83(b) election is permitted with respect to restricted share units. The participant also is subject to capital gains treatment on the subsequent sale of any shares acquired through the vesting of restricted share units. For this purpose, the participant’s basis in the common stock is the fair market value of the stock at the time the restricted share units are made available to the participant (unless delivery of the shares has been validly deferred). Any ordinary income of the participant will be subject to tax withholding by us. We generally will have no tax consequence in connection with the later disposition of shares acquired pursuant to restricted share units.</w:t>
      </w:r>
    </w:p>
    <w:p>
      <w:pPr>
        <w:spacing w:after="0" w:line="200" w:lineRule="exact"/>
        <w:rPr>
          <w:sz w:val="20"/>
          <w:szCs w:val="20"/>
          <w:color w:val="auto"/>
        </w:rPr>
      </w:pP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981" w:right="379" w:bottom="1440" w:gutter="0" w:footer="0" w:header="0"/>
        </w:sectPr>
      </w:pPr>
    </w:p>
    <w:bookmarkStart w:id="27" w:name="page28"/>
    <w:bookmarkEnd w:id="27"/>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A performance award issued in the form of shares will have similar income tax consequences as described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subheading “Restricted Shares” above. A performance award issued in the form of units (whether settled in cash or shares) will have similar income tax consequences as described under the subheading “Restricted Share Units” above.</w:t>
      </w:r>
    </w:p>
    <w:p>
      <w:pPr>
        <w:spacing w:after="0" w:line="171"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Substitute Payments</w:t>
      </w:r>
      <w:r>
        <w:rPr>
          <w:rFonts w:ascii="Times New Roman" w:cs="Times New Roman" w:eastAsia="Times New Roman" w:hAnsi="Times New Roman"/>
          <w:sz w:val="18"/>
          <w:szCs w:val="18"/>
          <w:color w:val="auto"/>
        </w:rPr>
        <w:t>. Substitute payments for dividends made to participants with respect to restricted shares or certain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payable in our stock will be taxed as ordinary income to the participant until the shares vest. After vesting, dividend payments may be qualified dividend income subject to a current maximum federal tax rate of 20% provided that the stockholder meets certain other requirements with respect to those shares. If a participant makes a Section 83(b) election with respect to restricted shares or certain eligible performance awards, these payments may be qualified dividend income, provided that the other requirements are met. We recommend that participants consult with their tax advisors to determine whether such dividends are qualified dividend income.</w:t>
      </w:r>
    </w:p>
    <w:p>
      <w:pPr>
        <w:spacing w:after="0" w:line="18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Section 409A of the Code provides generally that nonqualified deferred compensation that does not meet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will subject the recipients of such compensation to accelerated taxation, enhanced underpayment interest and an additional twenty percent tax. In the event that it is reasonably determined by the Compensation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we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we will not have any obligation to indemnify or otherwise hold any participant harmless from any or all such taxes or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Price</w:t>
      </w:r>
    </w:p>
    <w:p>
      <w:pPr>
        <w:spacing w:after="0" w:line="67"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The last sales price of our common stock on December 31, 2021 and the Record Date, as reported on the Nasdaq Global Select Market, was $4.10 and $2.88 per share,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 Payments</w:t>
      </w:r>
    </w:p>
    <w:p>
      <w:pPr>
        <w:spacing w:after="0" w:line="63" w:lineRule="exact"/>
        <w:rPr>
          <w:sz w:val="20"/>
          <w:szCs w:val="20"/>
          <w:color w:val="auto"/>
        </w:rPr>
      </w:pPr>
    </w:p>
    <w:p>
      <w:pPr>
        <w:ind w:right="12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Past Award Payments</w:t>
      </w:r>
      <w:r>
        <w:rPr>
          <w:rFonts w:ascii="Times New Roman" w:cs="Times New Roman" w:eastAsia="Times New Roman" w:hAnsi="Times New Roman"/>
          <w:sz w:val="18"/>
          <w:szCs w:val="18"/>
          <w:color w:val="auto"/>
        </w:rPr>
        <w:t>. The following table sets forth information regarding the number of equity and cash based awards that were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Prior Plan during 2021, to (i) each of our named executive officers, (ii) all named executive officers as a group, (iii) all directors, who are not executive officers, as a group, and (iv) all employees, who are not named executive officers, as a group. There is no applicable disclosure to be made with regard to any associate of our directors, director nominees, and executive officers or any other recipient of 5% or more of the awards.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3"/>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81,458</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81,458</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(1)</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200" w:type="dxa"/>
            <w:vAlign w:val="bottom"/>
          </w:tcPr>
          <w:p>
            <w:pPr>
              <w:spacing w:after="0"/>
              <w:rPr>
                <w:sz w:val="23"/>
                <w:szCs w:val="23"/>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20,138</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20,138</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15,272</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20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DeByle </w:t>
            </w:r>
            <w:r>
              <w:rPr>
                <w:rFonts w:ascii="Times New Roman" w:cs="Times New Roman" w:eastAsia="Times New Roman" w:hAnsi="Times New Roman"/>
                <w:sz w:val="23"/>
                <w:szCs w:val="23"/>
                <w:color w:val="auto"/>
                <w:vertAlign w:val="superscript"/>
              </w:rPr>
              <w:t>(2)</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33,428</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40,532</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40,532</w:t>
            </w:r>
          </w:p>
        </w:tc>
        <w:tc>
          <w:tcPr>
            <w:tcW w:w="200" w:type="dxa"/>
            <w:vAlign w:val="bottom"/>
          </w:tcPr>
          <w:p>
            <w:pPr>
              <w:spacing w:after="0"/>
              <w:rPr>
                <w:sz w:val="23"/>
                <w:szCs w:val="23"/>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named executive officers as a group</w:t>
            </w: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169,372</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185,143</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directors, who are not executive officers, as a</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group</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193,634</w:t>
            </w:r>
          </w:p>
        </w:tc>
        <w:tc>
          <w:tcPr>
            <w:tcW w:w="200" w:type="dxa"/>
            <w:vAlign w:val="bottom"/>
          </w:tcPr>
          <w:p>
            <w:pPr>
              <w:spacing w:after="0"/>
              <w:rPr>
                <w:sz w:val="20"/>
                <w:szCs w:val="20"/>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employees, who are not named executive officers,</w:t>
            </w: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4"/>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group</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80,148</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63"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was promoted to Senior Vice President – Chief Financial Officer, effective as of July 1, 2021.</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 and the PSU TSR awards and the PSU ROIC awards were forfeited at that time.</w:t>
      </w:r>
    </w:p>
    <w:p>
      <w:pPr>
        <w:spacing w:after="0" w:line="200" w:lineRule="exact"/>
        <w:rPr>
          <w:sz w:val="20"/>
          <w:szCs w:val="20"/>
          <w:color w:val="auto"/>
        </w:rPr>
      </w:pP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81" w:right="339" w:bottom="1440" w:gutter="0" w:footer="0" w:header="0"/>
        </w:sectPr>
      </w:pPr>
    </w:p>
    <w:bookmarkStart w:id="28" w:name="page29"/>
    <w:bookmarkEnd w:id="28"/>
    <w:p>
      <w:pPr>
        <w:ind w:right="180" w:firstLine="129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Award Grants</w:t>
      </w:r>
      <w:r>
        <w:rPr>
          <w:rFonts w:ascii="Times New Roman" w:cs="Times New Roman" w:eastAsia="Times New Roman" w:hAnsi="Times New Roman"/>
          <w:sz w:val="18"/>
          <w:szCs w:val="18"/>
          <w:color w:val="auto"/>
        </w:rPr>
        <w:t>. The granting of equity-based awards under the Plan is at the discretion of the Compensation Committee.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28, 2022, the Compensation Committee stated the committee's intention to grant the equity-based awards set forth in the table below.</w:t>
      </w:r>
    </w:p>
    <w:p>
      <w:pPr>
        <w:spacing w:after="0" w:line="98"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0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10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PSUs</w:t>
            </w: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(ROIC Awards)</w:t>
            </w:r>
          </w:p>
        </w:tc>
      </w:tr>
      <w:tr>
        <w:trPr>
          <w:trHeight w:val="23"/>
        </w:trPr>
        <w:tc>
          <w:tcPr>
            <w:tcW w:w="3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208,797</w:t>
            </w: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37,514</w:t>
            </w: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51,684</w:t>
            </w: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47,619</w:t>
            </w: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named executive officers as a group</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367,884</w:t>
            </w: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who are not executive officers, as</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group</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employees, who are not named executive</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officers, as a group</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40,097</w:t>
            </w:r>
          </w:p>
        </w:tc>
      </w:tr>
    </w:tbl>
    <w:p>
      <w:pPr>
        <w:spacing w:after="0" w:line="34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See “Executive Compensation — Grant of Plan Based Awards” for information regarding the restricted stock and performance stock units granted in 2021 to our named executive officers. See “Compensation Discussion and Analysis — Non-Equity Incentive Compensation,” “Compensation Discussion and Analysis — Long Term Incentive Compensation” and “Executive Compensation — Summary Compensation Table” for information regarding our recent practices with respect to awards under the Prior Plan.</w:t>
      </w: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320" w:top="981" w:right="619" w:bottom="1440" w:gutter="0" w:footer="0" w:header="0"/>
        </w:sectPr>
      </w:pPr>
    </w:p>
    <w:bookmarkStart w:id="29" w:name="page30"/>
    <w:bookmarkEnd w:id="29"/>
    <w:p>
      <w:pPr>
        <w:ind w:left="140"/>
        <w:spacing w:after="0"/>
        <w:rPr>
          <w:sz w:val="20"/>
          <w:szCs w:val="20"/>
          <w:color w:val="auto"/>
        </w:rPr>
      </w:pPr>
      <w:r>
        <w:rPr>
          <w:rFonts w:ascii="Times New Roman" w:cs="Times New Roman" w:eastAsia="Times New Roman" w:hAnsi="Times New Roman"/>
          <w:sz w:val="18"/>
          <w:szCs w:val="18"/>
          <w:b w:val="1"/>
          <w:bCs w:val="1"/>
          <w:color w:val="auto"/>
        </w:rPr>
        <w:t>PROPOSAL III: ADVISORY (NON-BINDING) VOTE TO APPROVE THE COMPENSATION OF OUR NAMED EXECUTIVE OFFICERS</w:t>
      </w:r>
    </w:p>
    <w:p>
      <w:pPr>
        <w:spacing w:after="0" w:line="121"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At the 2017 annual meeting of stockholders, our stockholders expressed their strong preference for an annual advisory (non-binding) vote to approve executive compensation. Accordingly, the Board determined that, every year until the next vote on the frequency of such advisory vote,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189" w:lineRule="exact"/>
        <w:rPr>
          <w:sz w:val="20"/>
          <w:szCs w:val="20"/>
          <w:color w:val="auto"/>
        </w:rPr>
      </w:pPr>
    </w:p>
    <w:p>
      <w:pPr>
        <w:ind w:left="1800" w:hanging="253"/>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w:t>
      </w:r>
    </w:p>
    <w:p>
      <w:pPr>
        <w:spacing w:after="0" w:line="117" w:lineRule="exact"/>
        <w:rPr>
          <w:rFonts w:ascii="Times New Roman" w:cs="Times New Roman" w:eastAsia="Times New Roman" w:hAnsi="Times New Roman"/>
          <w:sz w:val="18"/>
          <w:szCs w:val="18"/>
          <w:color w:val="auto"/>
        </w:rPr>
      </w:pPr>
    </w:p>
    <w:p>
      <w:pPr>
        <w:ind w:left="1960" w:right="320" w:hanging="413"/>
        <w:spacing w:after="0" w:line="282" w:lineRule="auto"/>
        <w:tabs>
          <w:tab w:leader="none" w:pos="17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attainment of specific financial performance goals and the individual’s performance; and</w:t>
      </w:r>
    </w:p>
    <w:p>
      <w:pPr>
        <w:spacing w:after="0" w:line="53" w:lineRule="exact"/>
        <w:rPr>
          <w:rFonts w:ascii="Times New Roman" w:cs="Times New Roman" w:eastAsia="Times New Roman" w:hAnsi="Times New Roman"/>
          <w:sz w:val="18"/>
          <w:szCs w:val="18"/>
          <w:color w:val="auto"/>
        </w:rPr>
      </w:pPr>
    </w:p>
    <w:p>
      <w:pPr>
        <w:ind w:left="1960" w:right="120" w:hanging="413"/>
        <w:spacing w:after="0" w:line="266" w:lineRule="auto"/>
        <w:tabs>
          <w:tab w:leader="none" w:pos="17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68" w:lineRule="exact"/>
        <w:rPr>
          <w:sz w:val="20"/>
          <w:szCs w:val="20"/>
          <w:color w:val="auto"/>
        </w:rPr>
      </w:pPr>
    </w:p>
    <w:p>
      <w:pPr>
        <w:ind w:right="40" w:firstLine="1296"/>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Stockholders are urged to read the “Compensation Discussion and Analysis” beginning on page </w:t>
      </w:r>
      <w:hyperlink w:anchor="page30">
        <w:r>
          <w:rPr>
            <w:rFonts w:ascii="Times New Roman" w:cs="Times New Roman" w:eastAsia="Times New Roman" w:hAnsi="Times New Roman"/>
            <w:sz w:val="18"/>
            <w:szCs w:val="18"/>
            <w:color w:val="auto"/>
          </w:rPr>
          <w:t xml:space="preserve">26 </w:t>
        </w:r>
      </w:hyperlink>
      <w:r>
        <w:rPr>
          <w:rFonts w:ascii="Times New Roman" w:cs="Times New Roman" w:eastAsia="Times New Roman" w:hAnsi="Times New Roman"/>
          <w:sz w:val="18"/>
          <w:szCs w:val="18"/>
          <w:color w:val="auto"/>
        </w:rPr>
        <w:t xml:space="preserve">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w:t>
      </w:r>
      <w:hyperlink w:anchor="page41">
        <w:r>
          <w:rPr>
            <w:rFonts w:ascii="Times New Roman" w:cs="Times New Roman" w:eastAsia="Times New Roman" w:hAnsi="Times New Roman"/>
            <w:sz w:val="18"/>
            <w:szCs w:val="18"/>
            <w:color w:val="auto"/>
          </w:rPr>
          <w:t xml:space="preserve">37 </w:t>
        </w:r>
      </w:hyperlink>
      <w:r>
        <w:rPr>
          <w:rFonts w:ascii="Times New Roman" w:cs="Times New Roman" w:eastAsia="Times New Roman" w:hAnsi="Times New Roman"/>
          <w:sz w:val="18"/>
          <w:szCs w:val="18"/>
          <w:color w:val="auto"/>
        </w:rPr>
        <w:t xml:space="preserve">through </w:t>
      </w:r>
      <w:hyperlink w:anchor="page47">
        <w:r>
          <w:rPr>
            <w:rFonts w:ascii="Times New Roman" w:cs="Times New Roman" w:eastAsia="Times New Roman" w:hAnsi="Times New Roman"/>
            <w:sz w:val="18"/>
            <w:szCs w:val="18"/>
            <w:color w:val="auto"/>
          </w:rPr>
          <w:t xml:space="preserve">42, </w:t>
        </w:r>
      </w:hyperlink>
      <w:r>
        <w:rPr>
          <w:rFonts w:ascii="Times New Roman" w:cs="Times New Roman" w:eastAsia="Times New Roman" w:hAnsi="Times New Roman"/>
          <w:sz w:val="18"/>
          <w:szCs w:val="18"/>
          <w:color w:val="auto"/>
        </w:rPr>
        <w:t>which provide detailed information on the compensation of our named executive officers.</w:t>
      </w:r>
    </w:p>
    <w:p>
      <w:pPr>
        <w:spacing w:after="0" w:line="180" w:lineRule="exact"/>
        <w:rPr>
          <w:rFonts w:ascii="Times New Roman" w:cs="Times New Roman" w:eastAsia="Times New Roman" w:hAnsi="Times New Roman"/>
          <w:sz w:val="18"/>
          <w:szCs w:val="18"/>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the Company is asking stockholders to approve the following advisory resolution at the Annual Meeting:</w:t>
      </w:r>
    </w:p>
    <w:p>
      <w:pPr>
        <w:spacing w:after="0" w:line="162" w:lineRule="exact"/>
        <w:rPr>
          <w:rFonts w:ascii="Times New Roman" w:cs="Times New Roman" w:eastAsia="Times New Roman" w:hAnsi="Times New Roman"/>
          <w:sz w:val="18"/>
          <w:szCs w:val="18"/>
          <w:color w:val="auto"/>
        </w:rPr>
      </w:pPr>
    </w:p>
    <w:p>
      <w:pPr>
        <w:ind w:left="1300" w:right="40"/>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2022 Annual Meeting of Stockholders.</w:t>
      </w:r>
    </w:p>
    <w:p>
      <w:pPr>
        <w:spacing w:after="0" w:line="2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337" w:lineRule="exact"/>
        <w:rPr>
          <w:rFonts w:ascii="Times New Roman" w:cs="Times New Roman" w:eastAsia="Times New Roman" w:hAnsi="Times New Roman"/>
          <w:sz w:val="18"/>
          <w:szCs w:val="18"/>
          <w:color w:val="auto"/>
        </w:rPr>
      </w:pPr>
    </w:p>
    <w:p>
      <w:pPr>
        <w:ind w:left="61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089" w:right="3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08" w:lineRule="exact"/>
        <w:rPr>
          <w:sz w:val="20"/>
          <w:szCs w:val="20"/>
          <w:color w:val="auto"/>
        </w:rPr>
      </w:pPr>
    </w:p>
    <w:p>
      <w:pPr>
        <w:ind w:right="20" w:firstLine="1296"/>
        <w:spacing w:after="0" w:line="232"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Company’s overall philosophy and approach to the compensation of its executive officers and explains the decisions made concerning the compensation of the Company’s Named Executive Officers (“NEOs”) for fiscal year 2021. It also describes the Company’s compensation philosophy, our executive compensation program, the process our Compensation Committee followed, and the factors the Compensation Committee considered in determining the amount and design of compensation awarded.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2021 Achievements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Strategic Growth Initiatives</w:t>
      </w:r>
    </w:p>
    <w:p>
      <w:pPr>
        <w:spacing w:after="0" w:line="119"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In 2021, we took specific steps to further our strategic objectives of growing our business around applications that are independent of internal combustion engines, with a particular focus on electric vehicles and the expansion of the electrical grid. We restructured our Power Solutions sales team and added Andrew Wall as our Chief Commercial Officer. Andrew brings strong leadership and over 20 years of experience in sales, marketing and operations in the electrical power and industrial solutions markets. We increased our sales pipeline by more than 22% in the Mobile Solutions group and 160% in the Power Solutions group, with approximately 80% of the total sales pipeline concentrated on applications that are independent of internal combustion engines.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Improved Financial Performance, Cash Generation and Operations</w:t>
      </w:r>
    </w:p>
    <w:p>
      <w:pPr>
        <w:spacing w:after="0" w:line="119"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Despite the continued impacts of the COVID pandemic and raw materials shortages, we realized over $50 million of new business wins in 2021, of which more than 80% was for applications that are independent of internal combustion engines. To combat unprecedented inflationary costs experienced in the second half of 2021, we negotiated price increases to recover or mitigate excess material and labor costs. As a result, we have negotiated comprehensive material price pass throughs with the majority of our customers. During the year, we generated approximately $11.6 million of free cash flow before litigation, transaction related tax payments and severance expenses, and our capital expenditures were 18% percent below the budgeted amount.</w:t>
      </w:r>
    </w:p>
    <w:p>
      <w:pPr>
        <w:spacing w:after="0" w:line="18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During 2021, we continued to experience supply chain challenges and raw materials shortages, as well as substantial unplanned employee absences due to COVID infections and quarantine requirements. In the face of these challenges, we exceeded our workplace safety goals and continued to meet our customers’ product quality and on-time delivery requirements.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Developed a Sustainability Strategy and Improved Communications</w:t>
      </w:r>
    </w:p>
    <w:p>
      <w:pPr>
        <w:spacing w:after="0" w:line="119"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In 2021, we engaged a third party sustainability consultant to develop a global sustainability strategy and implementation road map. In collaboration with our stakeholders, senior leaders, board members and consultants, and utilizing sustainability industry frameworks such as the Sustainable Accounting Standards Board and the Task Force on Climate-Related Financial Disclosures, we conducted a comprehensive materiality assessment to identify our most significant economic, environmental and social impacts. Throughout the course of this evaluation, we engaged with employees, customers, stockholders and industry groups. This effort is expected to result in the publishing of our inaugural sustainability report during the second quarter of 2022.</w:t>
      </w:r>
    </w:p>
    <w:p>
      <w:pPr>
        <w:spacing w:after="0" w:line="187"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18"/>
          <w:szCs w:val="18"/>
          <w:color w:val="auto"/>
        </w:rPr>
        <w:t>We also enhanced our internal communications to enrich our common culture which is focused on respect for individuals and open and transparent communication. We conducted global quarterly employee town hall meetings, bi-weekly group town hall meetings and employee surveys on topics such as COVID, return to work and interest in available management roles within the company. In order to meet the significant challenges of the current employment environment, we bolstered our succession planning and employee development efforts and provided further training and other opportunities to improve our retention and hiring of employees.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Completion of Debt Refinancing</w:t>
      </w:r>
    </w:p>
    <w:p>
      <w:pPr>
        <w:spacing w:after="0" w:line="119"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We successfully completed our $265 million refinancing which strengthened our balance sheet and provided us with the financial stability to reach our 2025 growth objectives. Our annual borrowing costs were reduced from approximately 15% to approximately 12% resulting in approximately $6 million of annual savings, and our simplified capital structure provides us with adequate flexibility given the uncertain and challenging macroeconomic environment.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2021 Pay for Performance</w:t>
      </w:r>
    </w:p>
    <w:p>
      <w:pPr>
        <w:spacing w:after="0" w:line="121"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based on a strong alignment between pay and performance and designed to reward both financial and operational successes as well as actions that drive stockholder value creation. We believe our executive compensation programs are acting as intended, to properly incentivize and compensate our executive officers when our financial objectives are met and to hold our executive officers accountable when they are not.</w:t>
      </w:r>
    </w:p>
    <w:p>
      <w:pPr>
        <w:sectPr>
          <w:pgSz w:w="11900" w:h="16838" w:orient="portrait"/>
          <w:cols w:equalWidth="0" w:num="1">
            <w:col w:w="11240"/>
          </w:cols>
          <w:pgMar w:left="320" w:top="1089" w:right="339" w:bottom="1440" w:gutter="0" w:footer="0" w:header="0"/>
        </w:sectPr>
      </w:pP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089" w:right="339" w:bottom="1440" w:gutter="0" w:footer="0" w:header="0"/>
          <w:type w:val="continuous"/>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year ended December 31, 2021, we had the following six named executive officers (NEOs):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3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Michael C. Felcher </w:t>
            </w:r>
            <w:r>
              <w:rPr>
                <w:rFonts w:ascii="Times New Roman" w:cs="Times New Roman" w:eastAsia="Times New Roman" w:hAnsi="Times New Roman"/>
                <w:sz w:val="23"/>
                <w:szCs w:val="23"/>
                <w:color w:val="auto"/>
                <w:vertAlign w:val="superscript"/>
              </w:rPr>
              <w:t>(1)</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5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Buchan</w:t>
            </w: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 Mobile Solutions and Power Solutions</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S. Heiter</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Human Resources Officer</w:t>
            </w:r>
          </w:p>
        </w:tc>
      </w:tr>
      <w:tr>
        <w:trPr>
          <w:trHeight w:val="31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Thomas D. DeByle </w:t>
            </w:r>
            <w:r>
              <w:rPr>
                <w:rFonts w:ascii="Times New Roman" w:cs="Times New Roman" w:eastAsia="Times New Roman" w:hAnsi="Times New Roman"/>
                <w:sz w:val="23"/>
                <w:szCs w:val="23"/>
                <w:color w:val="auto"/>
                <w:vertAlign w:val="superscript"/>
              </w:rPr>
              <w:t>(2)</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Senior Vice President – Chief Financial Officer</w:t>
            </w:r>
          </w:p>
        </w:tc>
      </w:tr>
      <w:tr>
        <w:trPr>
          <w:trHeight w:val="26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00" w:type="dxa"/>
            <w:vAlign w:val="bottom"/>
          </w:tcPr>
          <w:p>
            <w:pPr>
              <w:spacing w:after="0"/>
              <w:rPr>
                <w:sz w:val="23"/>
                <w:szCs w:val="23"/>
                <w:color w:val="auto"/>
              </w:rPr>
            </w:pPr>
          </w:p>
        </w:tc>
        <w:tc>
          <w:tcPr>
            <w:tcW w:w="7400" w:type="dxa"/>
            <w:vAlign w:val="bottom"/>
          </w:tcPr>
          <w:p>
            <w:pPr>
              <w:spacing w:after="0"/>
              <w:rPr>
                <w:sz w:val="23"/>
                <w:szCs w:val="23"/>
                <w:color w:val="auto"/>
              </w:rPr>
            </w:pPr>
          </w:p>
        </w:tc>
      </w:tr>
    </w:tbl>
    <w:p>
      <w:pPr>
        <w:spacing w:after="0" w:line="90" w:lineRule="exact"/>
        <w:rPr>
          <w:sz w:val="20"/>
          <w:szCs w:val="20"/>
          <w:color w:val="auto"/>
        </w:rPr>
      </w:pPr>
    </w:p>
    <w:p>
      <w:pPr>
        <w:ind w:left="400" w:hanging="393"/>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was promoted to Senior Vice President – Chief Financial Officer, effective as of July 1, 2021.</w:t>
      </w:r>
    </w:p>
    <w:p>
      <w:pPr>
        <w:spacing w:after="0" w:line="63"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21"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76"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54" w:lineRule="exact"/>
        <w:rPr>
          <w:sz w:val="20"/>
          <w:szCs w:val="20"/>
          <w:color w:val="auto"/>
        </w:rPr>
      </w:pPr>
    </w:p>
    <w:p>
      <w:pPr>
        <w:ind w:left="1800" w:hanging="253"/>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17" w:lineRule="exact"/>
        <w:rPr>
          <w:rFonts w:ascii="Times New Roman" w:cs="Times New Roman" w:eastAsia="Times New Roman" w:hAnsi="Times New Roman"/>
          <w:sz w:val="18"/>
          <w:szCs w:val="18"/>
          <w:color w:val="auto"/>
        </w:rPr>
      </w:pPr>
    </w:p>
    <w:p>
      <w:pPr>
        <w:ind w:left="1960" w:right="320" w:hanging="413"/>
        <w:spacing w:after="0" w:line="282" w:lineRule="auto"/>
        <w:tabs>
          <w:tab w:leader="none" w:pos="17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 including our competitors;</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the Company’s and the individual’s performance;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the interests of management with the interests of our stockholders through stock-based compensation arrangements.</w:t>
      </w:r>
    </w:p>
    <w:p>
      <w:pPr>
        <w:spacing w:after="0" w:line="117"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In 2021, our NEOs received a compensation package that consisted of an annual base salary, annual incentive award opportunities and long-term equity incentive award opportunities. The components of our compensation program align the interests of our NEOs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80"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We believe our executive compensation program incorporates market best practices, creates long-term stockholder value and increases management accountability via:</w:t>
      </w:r>
    </w:p>
    <w:p>
      <w:pPr>
        <w:spacing w:after="0" w:line="54" w:lineRule="exact"/>
        <w:rPr>
          <w:sz w:val="20"/>
          <w:szCs w:val="20"/>
          <w:color w:val="auto"/>
        </w:rPr>
      </w:pPr>
    </w:p>
    <w:p>
      <w:pPr>
        <w:ind w:left="1960" w:right="60" w:hanging="413"/>
        <w:spacing w:after="0" w:line="282" w:lineRule="auto"/>
        <w:tabs>
          <w:tab w:leader="none" w:pos="17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or PSUs, that vest based on our total shareholder return (TSR) ranking relative to the S&amp;P SmallCap 600 Index over a three-year performance period and require a median TSR ranking for target payout;</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that vest based on our return on invested capital (ROIC) over a three-year performance period; and</w:t>
      </w:r>
    </w:p>
    <w:p>
      <w:pPr>
        <w:spacing w:after="0" w:line="117" w:lineRule="exact"/>
        <w:rPr>
          <w:rFonts w:ascii="Times New Roman" w:cs="Times New Roman" w:eastAsia="Times New Roman" w:hAnsi="Times New Roman"/>
          <w:sz w:val="18"/>
          <w:szCs w:val="18"/>
          <w:color w:val="auto"/>
        </w:rPr>
      </w:pPr>
    </w:p>
    <w:p>
      <w:pPr>
        <w:ind w:left="1960" w:right="220" w:hanging="413"/>
        <w:spacing w:after="0" w:line="261" w:lineRule="auto"/>
        <w:tabs>
          <w:tab w:leader="none" w:pos="17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intended to hold our executive officers accountable for our financial performance. In 2021, the short-term incentive performance metrics established by the Compensation Committee related to promoting organic sales growth, encouraging sales growth in the electric vehicle and power markets, developing a sustainability strategy, enhancing safety and product quality and generating and conserving cash.</w:t>
      </w: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981" w:right="3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color w:val="auto"/>
        </w:rPr>
        <w:t>The following highlights practices that we utilize in support of our pay-for-performance philosophy:</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121" w:lineRule="exact"/>
        <w:rPr>
          <w:sz w:val="20"/>
          <w:szCs w:val="20"/>
          <w:color w:val="auto"/>
        </w:rPr>
      </w:pPr>
    </w:p>
    <w:p>
      <w:pPr>
        <w:ind w:left="1780" w:hanging="233"/>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pay with Company performance;</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performance metrics that correlate to stockholder value creation;</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undue risk in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meaningful vesting periods on equity awards;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performance gate that must be achieved as a condition to any payout of short-term incentive compensation;</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maximum payout limits on all variable, performance-based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an independent compensation consultant;</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post-employment/change in control provisions in employment/separation agreements;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executive stock ownership guidelines; and</w:t>
      </w:r>
    </w:p>
    <w:p>
      <w:pPr>
        <w:spacing w:after="0" w:line="117" w:lineRule="exact"/>
        <w:rPr>
          <w:rFonts w:ascii="Times New Roman" w:cs="Times New Roman" w:eastAsia="Times New Roman" w:hAnsi="Times New Roman"/>
          <w:sz w:val="18"/>
          <w:szCs w:val="18"/>
          <w:color w:val="auto"/>
        </w:rPr>
      </w:pPr>
    </w:p>
    <w:p>
      <w:pPr>
        <w:ind w:left="1960" w:right="60" w:hanging="413"/>
        <w:spacing w:after="0" w:line="282" w:lineRule="auto"/>
        <w:tabs>
          <w:tab w:leader="none" w:pos="17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incentive compensation recoupment (clawback) policy applicable to all incentive compensation awards granted under our compensation plans, including equity awards.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What We Don’t Do</w:t>
      </w:r>
    </w:p>
    <w:p>
      <w:pPr>
        <w:spacing w:after="0" w:line="121" w:lineRule="exact"/>
        <w:rPr>
          <w:sz w:val="20"/>
          <w:szCs w:val="20"/>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 underwater stock options;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underwater stock options for cash;</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multi-year guaranteed bonuses;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excessive perquisites; or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hedging, pledging or short-sale transactions by our executive officers and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68" w:lineRule="exact"/>
        <w:rPr>
          <w:sz w:val="20"/>
          <w:szCs w:val="20"/>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administers all of our executive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performance objectives under our executive incentive compensation and long-term equity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attainment of those performance objectives and the awards to be made under our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base salary and incentive opportunities for our CEO and other senior executives;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CEO;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employment and severance agreements for our CEO and other senior executives to the Board.</w:t>
      </w:r>
    </w:p>
    <w:p>
      <w:pPr>
        <w:spacing w:after="0" w:line="225"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has engaged Willis Towers Watson as its independent consultant since 2015. We conducted a conflict of interest assessment prior to the Compensation Committee engaging Willis Towers Watson (and on an annual basis thereafter), which verified, in the Compensation Committee’s judgment, Willis Towers Watson’s independence and that no conflicts of interest existed.</w:t>
      </w: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85" w:right="339" w:bottom="1440" w:gutter="0" w:footer="0" w:header="0"/>
        </w:sectPr>
      </w:pPr>
    </w:p>
    <w:bookmarkStart w:id="33" w:name="page34"/>
    <w:bookmarkEnd w:id="33"/>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In fiscal 2021, Willis Towers Watson provided services to us in the areas of executive compensation, benefits and corporate risk and broking consulting services. During fiscal 2021, we paid Willis Towers Watson the following amounts for such services:</w:t>
      </w:r>
    </w:p>
    <w:p>
      <w:pPr>
        <w:spacing w:after="0" w:line="160"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Executive Compensation Consulting Fees. </w:t>
      </w:r>
      <w:r>
        <w:rPr>
          <w:rFonts w:ascii="Times New Roman" w:cs="Times New Roman" w:eastAsia="Times New Roman" w:hAnsi="Times New Roman"/>
          <w:sz w:val="18"/>
          <w:szCs w:val="18"/>
          <w:color w:val="auto"/>
        </w:rPr>
        <w:t>Fees for executive compensation consulting services totaled approximately $70,992,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associated with services provided to management and the Compensation Committee.</w:t>
      </w:r>
    </w:p>
    <w:p>
      <w:pPr>
        <w:spacing w:after="0" w:line="158"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Consulting Fees. </w:t>
      </w:r>
      <w:r>
        <w:rPr>
          <w:rFonts w:ascii="Times New Roman" w:cs="Times New Roman" w:eastAsia="Times New Roman" w:hAnsi="Times New Roman"/>
          <w:sz w:val="18"/>
          <w:szCs w:val="18"/>
          <w:color w:val="auto"/>
        </w:rPr>
        <w:t>Fees for other consulting services totaled approximately $964,752 related to the NN, Inc.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Plan and Voluntary benefit offerings and Global Property, Casualty and Management Liability Insurance programs.</w:t>
      </w:r>
    </w:p>
    <w:p>
      <w:pPr>
        <w:spacing w:after="0" w:line="160" w:lineRule="exact"/>
        <w:rPr>
          <w:sz w:val="20"/>
          <w:szCs w:val="20"/>
          <w:color w:val="auto"/>
        </w:rPr>
      </w:pPr>
    </w:p>
    <w:p>
      <w:pPr>
        <w:ind w:right="540" w:firstLine="1296"/>
        <w:spacing w:after="0" w:line="261" w:lineRule="auto"/>
        <w:rPr>
          <w:sz w:val="20"/>
          <w:szCs w:val="20"/>
          <w:color w:val="auto"/>
        </w:rPr>
      </w:pPr>
      <w:r>
        <w:rPr>
          <w:rFonts w:ascii="Times New Roman" w:cs="Times New Roman" w:eastAsia="Times New Roman" w:hAnsi="Times New Roman"/>
          <w:sz w:val="18"/>
          <w:szCs w:val="18"/>
          <w:color w:val="auto"/>
        </w:rPr>
        <w:t>The Compensation Committee engaged Willis Towers Watson to perform a competitive review our executive pay programs in comparison to competitive market practices. Willis Towers Watson also advised on selecting a peer group of companies for executive compensation benchmarking, provided comparative data for the annual executive compensation review and assisted with other compensation matters as requested. Representatives from Willis Towers Watson also attend Compensation Committee meetings on request.</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Our Human Resources Department also provides compensation data, research and analysis that the Compensation Committee may request, and our Chief Human Resources Officer, along with our CEO and our General Counsel, regularly attend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80"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 Compensation Analysis</w:t>
      </w:r>
    </w:p>
    <w:p>
      <w:pPr>
        <w:spacing w:after="0" w:line="121"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worked with Willis Towers Watson to develop a peer group for purposes of assessing competitive compensation practices, and periodically reviews compensation data for the peer group derived from publicly filed proxy statements. In 2021, the Compensation Committee identified companies in our industry and with a market capitalization and assets in size similar to ours, for our peer selection. The Compensation Committee conducted an analysis of comparable peer compensation as a general frame of reference in considering the appropriateness of our executive compensation programs and to ensure that our CEO and other senior executive officers compensation is aligned with our peers.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Our peer group for our 2021 executive compensation program consists of the companies set forth below:</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Circor International, Inc.</w:t>
            </w:r>
          </w:p>
        </w:tc>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Kadant Inc.</w:t>
            </w:r>
          </w:p>
        </w:tc>
        <w:tc>
          <w:tcPr>
            <w:tcW w:w="3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RBC Bearings Incorporated</w:t>
            </w:r>
          </w:p>
        </w:tc>
      </w:tr>
      <w:tr>
        <w:trPr>
          <w:trHeight w:val="27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Columbus Mckinnon Corporation</w:t>
            </w:r>
          </w:p>
        </w:tc>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 B. Foster Company</w:t>
            </w:r>
          </w:p>
        </w:tc>
        <w:tc>
          <w:tcPr>
            <w:tcW w:w="30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Standex International Corporation</w:t>
            </w:r>
          </w:p>
        </w:tc>
      </w:tr>
      <w:tr>
        <w:trPr>
          <w:trHeight w:val="27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Enerpac Tool Group Corp.</w:t>
            </w:r>
          </w:p>
        </w:tc>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Lydall, Inc.</w:t>
            </w:r>
          </w:p>
        </w:tc>
        <w:tc>
          <w:tcPr>
            <w:tcW w:w="3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Eastern Company</w:t>
            </w:r>
          </w:p>
        </w:tc>
      </w:tr>
      <w:tr>
        <w:trPr>
          <w:trHeight w:val="27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Esco Technologies Inc.</w:t>
            </w:r>
          </w:p>
        </w:tc>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Mayville Engineering Company, Inc</w:t>
            </w:r>
          </w:p>
        </w:tc>
        <w:tc>
          <w:tcPr>
            <w:tcW w:w="3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Gorman- Rupp Company</w:t>
            </w:r>
          </w:p>
        </w:tc>
      </w:tr>
      <w:tr>
        <w:trPr>
          <w:trHeight w:val="27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Helios Technologies, Inc.</w:t>
            </w:r>
          </w:p>
        </w:tc>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Mueller Water Products, Inc.</w:t>
            </w:r>
          </w:p>
        </w:tc>
        <w:tc>
          <w:tcPr>
            <w:tcW w:w="3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27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Hurco Companies, Inc.</w:t>
            </w:r>
          </w:p>
        </w:tc>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Proto Labs, Inc.</w:t>
            </w:r>
          </w:p>
        </w:tc>
        <w:tc>
          <w:tcPr>
            <w:tcW w:w="3020" w:type="dxa"/>
            <w:vAlign w:val="bottom"/>
          </w:tcPr>
          <w:p>
            <w:pPr>
              <w:spacing w:after="0"/>
              <w:rPr>
                <w:sz w:val="23"/>
                <w:szCs w:val="23"/>
                <w:color w:val="auto"/>
              </w:rPr>
            </w:pPr>
          </w:p>
        </w:tc>
      </w:tr>
      <w:tr>
        <w:trPr>
          <w:trHeight w:val="662"/>
        </w:trPr>
        <w:tc>
          <w:tcPr>
            <w:tcW w:w="3080" w:type="dxa"/>
            <w:vAlign w:val="bottom"/>
          </w:tcPr>
          <w:p>
            <w:pPr>
              <w:spacing w:after="0"/>
              <w:rPr>
                <w:sz w:val="24"/>
                <w:szCs w:val="24"/>
                <w:color w:val="auto"/>
              </w:rPr>
            </w:pPr>
          </w:p>
        </w:tc>
        <w:tc>
          <w:tcPr>
            <w:tcW w:w="38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29</w:t>
            </w:r>
          </w:p>
        </w:tc>
        <w:tc>
          <w:tcPr>
            <w:tcW w:w="3020" w:type="dxa"/>
            <w:vAlign w:val="bottom"/>
          </w:tcPr>
          <w:p>
            <w:pPr>
              <w:spacing w:after="0"/>
              <w:rPr>
                <w:sz w:val="24"/>
                <w:szCs w:val="24"/>
                <w:color w:val="auto"/>
              </w:rPr>
            </w:pPr>
          </w:p>
        </w:tc>
      </w:tr>
    </w:tbl>
    <w:p>
      <w:pPr>
        <w:sectPr>
          <w:pgSz w:w="11900" w:h="16838" w:orient="portrait"/>
          <w:cols w:equalWidth="0" w:num="1">
            <w:col w:w="11220"/>
          </w:cols>
          <w:pgMar w:left="320" w:top="98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What We Pay and Why: Elements of Compensation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have three elements of total direct compensation: base salary, annual incentive compensation and long-term equity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3" w:lineRule="exact"/>
        <w:rPr>
          <w:sz w:val="20"/>
          <w:szCs w:val="20"/>
          <w:color w:val="auto"/>
        </w:rPr>
      </w:pPr>
    </w:p>
    <w:p>
      <w:pPr>
        <w:ind w:right="22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We pay base salaries to attract talented executives and to provide a fixed base of cash compensation. The salary levels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indicates the base salaries for 2020 and 2021, and the percentage increase from the prior year for our NEOs: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2020 Base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2021 Base</w:t>
            </w:r>
          </w:p>
        </w:tc>
        <w:tc>
          <w:tcPr>
            <w:tcW w:w="15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3"/>
        </w:trPr>
        <w:tc>
          <w:tcPr>
            <w:tcW w:w="6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$257,500</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312"/>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DeByle </w:t>
            </w:r>
            <w:r>
              <w:rPr>
                <w:rFonts w:ascii="Times New Roman" w:cs="Times New Roman" w:eastAsia="Times New Roman" w:hAnsi="Times New Roman"/>
                <w:sz w:val="23"/>
                <w:szCs w:val="23"/>
                <w:color w:val="auto"/>
                <w:vertAlign w:val="superscript"/>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200" w:type="dxa"/>
            <w:vAlign w:val="bottom"/>
          </w:tcPr>
          <w:p>
            <w:pPr>
              <w:spacing w:after="0"/>
              <w:rPr>
                <w:sz w:val="24"/>
                <w:szCs w:val="24"/>
                <w:color w:val="auto"/>
              </w:rPr>
            </w:pP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63"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was promoted to Senior Vice President – Chief Financial Officer, effective as of July 1, 2021.</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w:t>
      </w:r>
    </w:p>
    <w:p>
      <w:pPr>
        <w:spacing w:after="0" w:line="221" w:lineRule="exact"/>
        <w:rPr>
          <w:sz w:val="20"/>
          <w:szCs w:val="20"/>
          <w:color w:val="auto"/>
        </w:rPr>
      </w:pPr>
    </w:p>
    <w:p>
      <w:pPr>
        <w:ind w:right="16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Incentive Compensation (EIC). </w:t>
      </w:r>
      <w:r>
        <w:rPr>
          <w:rFonts w:ascii="Times New Roman" w:cs="Times New Roman" w:eastAsia="Times New Roman" w:hAnsi="Times New Roman"/>
          <w:sz w:val="18"/>
          <w:szCs w:val="18"/>
          <w:color w:val="auto"/>
        </w:rPr>
        <w:t>We pay annual incentives to drive the achievement of key business results and to recognize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based on their contributions to those results. The Compensation Committee believes that this feature of compensation motivates executive officers to realize difficult, yet attainable, annual goals. Each fiscal year, the Compensation Committee establishes objectives for the upcoming fiscal year which are tied to achieving our strategic plan. These objectives are within the following categories:</w:t>
      </w:r>
    </w:p>
    <w:p>
      <w:pPr>
        <w:spacing w:after="0" w:line="72" w:lineRule="exact"/>
        <w:rPr>
          <w:sz w:val="20"/>
          <w:szCs w:val="20"/>
          <w:color w:val="auto"/>
        </w:rPr>
      </w:pPr>
    </w:p>
    <w:p>
      <w:pPr>
        <w:ind w:left="1800" w:hanging="253"/>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Achieve our annual business plan of growing revenue and EBITDA and generating cash;</w:t>
      </w:r>
    </w:p>
    <w:p>
      <w:pPr>
        <w:spacing w:after="0" w:line="117" w:lineRule="exact"/>
        <w:rPr>
          <w:rFonts w:ascii="Times New Roman" w:cs="Times New Roman" w:eastAsia="Times New Roman" w:hAnsi="Times New Roman"/>
          <w:sz w:val="18"/>
          <w:szCs w:val="18"/>
          <w:color w:val="auto"/>
        </w:rPr>
      </w:pPr>
    </w:p>
    <w:p>
      <w:pPr>
        <w:ind w:left="1960" w:right="580" w:hanging="413"/>
        <w:spacing w:after="0" w:line="282" w:lineRule="auto"/>
        <w:tabs>
          <w:tab w:leader="none" w:pos="17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Attain excellence in workplace safety, maintain and improve product quality, and improve on-time delivery of products; and</w:t>
      </w:r>
    </w:p>
    <w:p>
      <w:pPr>
        <w:spacing w:after="0" w:line="53" w:lineRule="exact"/>
        <w:rPr>
          <w:rFonts w:ascii="Times New Roman" w:cs="Times New Roman" w:eastAsia="Times New Roman" w:hAnsi="Times New Roman"/>
          <w:sz w:val="18"/>
          <w:szCs w:val="18"/>
          <w:color w:val="auto"/>
        </w:rPr>
      </w:pPr>
    </w:p>
    <w:p>
      <w:pPr>
        <w:ind w:left="1960" w:right="340" w:hanging="413"/>
        <w:spacing w:after="0" w:line="282" w:lineRule="auto"/>
        <w:tabs>
          <w:tab w:leader="none" w:pos="17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Excellence: Develop a sustainability strategy and begin development of a comprehensive sustainability report to be published in Q2 2022, heighten cybersecurity protections, and enhance internal and external communications.</w:t>
      </w:r>
    </w:p>
    <w:p>
      <w:pPr>
        <w:spacing w:after="0" w:line="54" w:lineRule="exact"/>
        <w:rPr>
          <w:sz w:val="20"/>
          <w:szCs w:val="20"/>
          <w:color w:val="auto"/>
        </w:rPr>
      </w:pPr>
    </w:p>
    <w:p>
      <w:pPr>
        <w:ind w:right="200" w:firstLine="1296"/>
        <w:spacing w:after="0" w:line="273" w:lineRule="auto"/>
        <w:rPr>
          <w:sz w:val="20"/>
          <w:szCs w:val="20"/>
          <w:color w:val="auto"/>
        </w:rPr>
      </w:pPr>
      <w:r>
        <w:rPr>
          <w:rFonts w:ascii="Times New Roman" w:cs="Times New Roman" w:eastAsia="Times New Roman" w:hAnsi="Times New Roman"/>
          <w:sz w:val="18"/>
          <w:szCs w:val="18"/>
          <w:color w:val="auto"/>
        </w:rPr>
        <w:t>In 2021, the Compensation Committee changed the Company and Group financial goals from those in 2020 that were designed specifically to address the dramatic impact that the COVID 19 pandemic had on the Company and the global economy as a whole. The metrics chosen in</w:t>
      </w:r>
    </w:p>
    <w:p>
      <w:pPr>
        <w:spacing w:after="0" w:line="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2020 were uniquely designed to ensure that the Company maintained sufficient liquidity until such time that the economic situation normalized. Company financial goals, group financial goals and operational and functional performance goals selected by the Compensation Committee in 2021 were designed to</w:t>
      </w:r>
    </w:p>
    <w:p>
      <w:pPr>
        <w:ind w:right="100"/>
        <w:spacing w:after="0" w:line="273" w:lineRule="auto"/>
        <w:rPr>
          <w:sz w:val="20"/>
          <w:szCs w:val="20"/>
          <w:color w:val="auto"/>
        </w:rPr>
      </w:pPr>
      <w:r>
        <w:rPr>
          <w:rFonts w:ascii="Times New Roman" w:cs="Times New Roman" w:eastAsia="Times New Roman" w:hAnsi="Times New Roman"/>
          <w:sz w:val="18"/>
          <w:szCs w:val="18"/>
          <w:color w:val="auto"/>
        </w:rPr>
        <w:t>maintain financial security, drive profitable growth in strategic markets and generate and conserve cash. The goals included the metrics of adjusted EBITDA, free cash flow and adjusted earnings per share, all of which were adjusted in 2021 to reflect the smaller revenue base of the Company as a result</w:t>
      </w:r>
    </w:p>
    <w:p>
      <w:pPr>
        <w:spacing w:after="0" w:line="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of the sale of its Life Sciences business in October 2020. In addition, a new business wins goal was established in order to drive organic growth in both groups, particularly in the strategic markets of electric vehicles and the electric grid. In order to qualify as a new business win, the business must relate to business awarded from a new customer or for a new component for an existing customer, incremental volume that requires added installed capacity or business where the customer requires a competitive quote to maintain existing volume. Renewal of base business included in the 2021 budget, market driven volume increases and price increases to cover material and other cost increases do not qualify as new business wins. For all of our NEOs, attainment of their respective financial goals was weighted at 85%, and attainment of operational and functional goals were weighted at 15%, in the aggregate.</w:t>
      </w:r>
    </w:p>
    <w:p>
      <w:pPr>
        <w:spacing w:after="0" w:line="3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089" w:right="339" w:bottom="1440" w:gutter="0" w:footer="0" w:header="0"/>
        </w:sectPr>
      </w:pPr>
    </w:p>
    <w:bookmarkStart w:id="35" w:name="page36"/>
    <w:bookmarkEnd w:id="35"/>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We provide our executive officers with targeted executive incentive compensation of 45% to 100% of base salary, as shown in the table below. In 2021, the Compensation Committee established the following targeted award levels for our NEOs:</w:t>
      </w:r>
    </w:p>
    <w:p>
      <w:pPr>
        <w:spacing w:after="0" w:line="101"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Award</w:t>
            </w:r>
          </w:p>
        </w:tc>
      </w:tr>
      <w:tr>
        <w:trPr>
          <w:trHeight w:val="162"/>
        </w:trPr>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Opportunity</w:t>
            </w:r>
          </w:p>
        </w:tc>
      </w:tr>
      <w:tr>
        <w:trPr>
          <w:trHeight w:val="162"/>
        </w:trPr>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w:t>
            </w:r>
          </w:p>
        </w:tc>
      </w:tr>
      <w:tr>
        <w:trPr>
          <w:trHeight w:val="19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23"/>
        </w:trPr>
        <w:tc>
          <w:tcPr>
            <w:tcW w:w="5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31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DeByle </w:t>
            </w:r>
            <w:r>
              <w:rPr>
                <w:rFonts w:ascii="Times New Roman" w:cs="Times New Roman" w:eastAsia="Times New Roman" w:hAnsi="Times New Roman"/>
                <w:sz w:val="23"/>
                <w:szCs w:val="23"/>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bl>
    <w:p>
      <w:pPr>
        <w:spacing w:after="0" w:line="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w:t>
      </w:r>
    </w:p>
    <w:p>
      <w:pPr>
        <w:spacing w:after="0" w:line="63" w:lineRule="exact"/>
        <w:rPr>
          <w:sz w:val="20"/>
          <w:szCs w:val="20"/>
          <w:color w:val="auto"/>
        </w:rPr>
      </w:pPr>
    </w:p>
    <w:p>
      <w:pPr>
        <w:ind w:left="1700" w:hanging="396"/>
        <w:spacing w:after="0"/>
        <w:tabs>
          <w:tab w:leader="none" w:pos="1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Compensation Committee established a performance gate for 2021 of Company free cash flow of $6.4 million or EBITDA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$45.9 million, either of which must be met or exceeded before any payout under this program would be made. With respect to the approach used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to establish the threshold, target and maximum performance goals, the Compensation Committee considered multiple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included, but were not limited to, the impact of COVID-19, historical performance, budget performance for fiscal 2021 and targeted levels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improvement over multiple years. Performance metrics are established at a level that focuses on key business success factors that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and challenge management to achieve higher operational performance. Target performance is considered challenging, yet attainable, when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goals are set.</w:t>
      </w:r>
    </w:p>
    <w:p>
      <w:pPr>
        <w:spacing w:after="0" w:line="207"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The Company exceeded both of the performance gates in 2021. The specific Company and business group financial goals for 2021, weighting of the goals and actual achievement by the Company, the Mobile Solutions and the Power Solutions groups in relation to the performance levels previously set by the Compensation Committee is reflected in the following tables: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0"/>
        </w:trPr>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by Goal</w:t>
            </w:r>
          </w:p>
        </w:tc>
        <w:tc>
          <w:tcPr>
            <w:tcW w:w="5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 Goals</w:t>
            </w: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 w:type="dxa"/>
            <w:vAlign w:val="bottom"/>
          </w:tcPr>
          <w:p>
            <w:pPr>
              <w:spacing w:after="0"/>
              <w:rPr>
                <w:sz w:val="16"/>
                <w:szCs w:val="16"/>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23"/>
        </w:trPr>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100%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180" w:type="dxa"/>
            <w:vAlign w:val="bottom"/>
            <w:shd w:val="clear" w:color="auto" w:fill="CCEEFF"/>
          </w:tcPr>
          <w:p>
            <w:pPr>
              <w:spacing w:after="0"/>
              <w:rPr>
                <w:sz w:val="23"/>
                <w:szCs w:val="23"/>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r>
      <w:tr>
        <w:trPr>
          <w:trHeight w:val="27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180" w:type="dxa"/>
            <w:vAlign w:val="bottom"/>
          </w:tcPr>
          <w:p>
            <w:pPr>
              <w:spacing w:after="0"/>
              <w:rPr>
                <w:sz w:val="23"/>
                <w:szCs w:val="23"/>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70"/>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80" w:type="dxa"/>
            <w:vAlign w:val="bottom"/>
            <w:shd w:val="clear" w:color="auto" w:fill="CCEEFF"/>
          </w:tcPr>
          <w:p>
            <w:pPr>
              <w:spacing w:after="0"/>
              <w:rPr>
                <w:sz w:val="23"/>
                <w:szCs w:val="23"/>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r>
              <w:rPr>
                <w:rFonts w:ascii="Times New Roman" w:cs="Times New Roman" w:eastAsia="Times New Roman" w:hAnsi="Times New Roman"/>
                <w:sz w:val="23"/>
                <w:szCs w:val="23"/>
                <w:color w:val="auto"/>
                <w:vertAlign w:val="superscript"/>
              </w:rPr>
              <w:t>(3)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8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Business Wins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$53.16</w:t>
            </w:r>
          </w:p>
        </w:tc>
      </w:tr>
      <w:tr>
        <w:trPr>
          <w:trHeight w:val="27"/>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8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ESG &amp; External Messaging; People &amp; Culture; Cybersecurity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515"/>
        </w:trPr>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by Goal</w:t>
            </w:r>
          </w:p>
        </w:tc>
        <w:tc>
          <w:tcPr>
            <w:tcW w:w="5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Mobile Solutions Group Goals</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 w:type="dxa"/>
            <w:vAlign w:val="bottom"/>
          </w:tcPr>
          <w:p>
            <w:pPr>
              <w:spacing w:after="0"/>
              <w:rPr>
                <w:sz w:val="16"/>
                <w:szCs w:val="16"/>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23"/>
        </w:trPr>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100%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80" w:type="dxa"/>
            <w:vAlign w:val="bottom"/>
            <w:shd w:val="clear" w:color="auto" w:fill="CCEEFF"/>
          </w:tcPr>
          <w:p>
            <w:pPr>
              <w:spacing w:after="0"/>
              <w:rPr>
                <w:sz w:val="23"/>
                <w:szCs w:val="23"/>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8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as a Percentage of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8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as a Percentage of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8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Business Wins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w:t>
            </w:r>
          </w:p>
        </w:tc>
      </w:tr>
      <w:tr>
        <w:trPr>
          <w:trHeight w:val="27"/>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8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 Quality Delivery ESG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529"/>
        </w:trPr>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by Goal</w:t>
            </w:r>
          </w:p>
        </w:tc>
        <w:tc>
          <w:tcPr>
            <w:tcW w:w="5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Power Solutions Group Goals</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 w:type="dxa"/>
            <w:vAlign w:val="bottom"/>
          </w:tcPr>
          <w:p>
            <w:pPr>
              <w:spacing w:after="0"/>
              <w:rPr>
                <w:sz w:val="16"/>
                <w:szCs w:val="16"/>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24"/>
        </w:trPr>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100%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70"/>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80" w:type="dxa"/>
            <w:vAlign w:val="bottom"/>
            <w:shd w:val="clear" w:color="auto" w:fill="CCEEFF"/>
          </w:tcPr>
          <w:p>
            <w:pPr>
              <w:spacing w:after="0"/>
              <w:rPr>
                <w:sz w:val="23"/>
                <w:szCs w:val="23"/>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8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as a Percentage of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7"/>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8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as a Percentage of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8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Business Wins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7"/>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43"/>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8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 Quality Delivery ESG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7"/>
        </w:trPr>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ectPr>
          <w:pgSz w:w="11900" w:h="16838" w:orient="portrait"/>
          <w:cols w:equalWidth="0" w:num="1">
            <w:col w:w="11240"/>
          </w:cols>
          <w:pgMar w:left="320" w:top="985" w:right="339" w:bottom="1440" w:gutter="0" w:footer="0" w:header="0"/>
        </w:sectPr>
      </w:pPr>
    </w:p>
    <w:p>
      <w:pPr>
        <w:spacing w:after="0" w:line="33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985" w:right="339" w:bottom="1440" w:gutter="0" w:footer="0" w:header="0"/>
          <w:type w:val="continuous"/>
        </w:sectPr>
      </w:pPr>
    </w:p>
    <w:bookmarkStart w:id="36" w:name="page37"/>
    <w:bookmarkEnd w:id="36"/>
    <w:p>
      <w:pPr>
        <w:ind w:left="420" w:right="80" w:hanging="412"/>
        <w:spacing w:after="0" w:line="258" w:lineRule="auto"/>
        <w:tabs>
          <w:tab w:leader="none" w:pos="3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GAAP net income (loss), adjusted to exclude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Amounts reported in millions of U.S. dollars.</w:t>
      </w:r>
    </w:p>
    <w:p>
      <w:pPr>
        <w:spacing w:after="0" w:line="21" w:lineRule="exact"/>
        <w:rPr>
          <w:rFonts w:ascii="Times New Roman" w:cs="Times New Roman" w:eastAsia="Times New Roman" w:hAnsi="Times New Roman"/>
          <w:sz w:val="18"/>
          <w:szCs w:val="18"/>
          <w:color w:val="auto"/>
        </w:rPr>
      </w:pPr>
    </w:p>
    <w:p>
      <w:pPr>
        <w:ind w:left="420" w:right="160" w:hanging="412"/>
        <w:spacing w:after="0" w:line="281" w:lineRule="auto"/>
        <w:tabs>
          <w:tab w:leader="none" w:pos="4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GAAP net cash provided by operating activities less capital expenditures and before certain one-time payments associated with the sale of the Life Sciences group. Amounts reported in millions of U.S. dollars.</w:t>
      </w:r>
    </w:p>
    <w:p>
      <w:pPr>
        <w:spacing w:after="0" w:line="1" w:lineRule="exact"/>
        <w:rPr>
          <w:rFonts w:ascii="Times New Roman" w:cs="Times New Roman" w:eastAsia="Times New Roman" w:hAnsi="Times New Roman"/>
          <w:sz w:val="18"/>
          <w:szCs w:val="18"/>
          <w:color w:val="auto"/>
        </w:rPr>
      </w:pPr>
    </w:p>
    <w:p>
      <w:pPr>
        <w:ind w:left="420" w:right="20" w:hanging="412"/>
        <w:spacing w:after="0" w:line="256" w:lineRule="auto"/>
        <w:tabs>
          <w:tab w:leader="none" w:pos="3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 represents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divided by weighted average shares of common stock outstanding.</w:t>
      </w:r>
    </w:p>
    <w:p>
      <w:pPr>
        <w:spacing w:after="0" w:line="187" w:lineRule="exact"/>
        <w:rPr>
          <w:sz w:val="20"/>
          <w:szCs w:val="20"/>
          <w:color w:val="auto"/>
        </w:rPr>
      </w:pPr>
    </w:p>
    <w:p>
      <w:pPr>
        <w:jc w:val="both"/>
        <w:ind w:right="540" w:firstLine="1296"/>
        <w:spacing w:after="0" w:line="312" w:lineRule="auto"/>
        <w:rPr>
          <w:sz w:val="20"/>
          <w:szCs w:val="20"/>
          <w:color w:val="auto"/>
        </w:rPr>
      </w:pPr>
      <w:r>
        <w:rPr>
          <w:rFonts w:ascii="Times New Roman" w:cs="Times New Roman" w:eastAsia="Times New Roman" w:hAnsi="Times New Roman"/>
          <w:sz w:val="17"/>
          <w:szCs w:val="17"/>
          <w:color w:val="auto"/>
        </w:rPr>
        <w:t>The Compensation Committee selected the weighting, financial goals and payout levels in order to align the interests of the named executive officers with the interest of our stockholders. Payouts based on the actual results will be linearly interpolated between performance levels.</w:t>
      </w:r>
    </w:p>
    <w:p>
      <w:pPr>
        <w:spacing w:after="0" w:line="140" w:lineRule="exact"/>
        <w:rPr>
          <w:sz w:val="20"/>
          <w:szCs w:val="20"/>
          <w:color w:val="auto"/>
        </w:rPr>
      </w:pPr>
    </w:p>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In March 2022, the Compensation Committee met to consider the payment of executive incentive compensation. The Compensation Committee reviewed our executive officer performances and goal attainment levels, which resulted in the following payout levels and total awards, as reflected in the table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EIC Target Bonus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EIC</w:t>
            </w: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 EIC</w:t>
            </w:r>
          </w:p>
        </w:tc>
      </w:tr>
      <w:tr>
        <w:trPr>
          <w:trHeight w:val="19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Award</w:t>
            </w:r>
          </w:p>
        </w:tc>
      </w:tr>
      <w:tr>
        <w:trPr>
          <w:trHeight w:val="23"/>
        </w:trPr>
        <w:tc>
          <w:tcPr>
            <w:tcW w:w="6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$550,906</w:t>
            </w:r>
          </w:p>
        </w:tc>
      </w:tr>
      <w:tr>
        <w:trPr>
          <w:trHeight w:val="24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$108,195</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$173,655</w:t>
            </w:r>
          </w:p>
        </w:tc>
      </w:tr>
      <w:tr>
        <w:trPr>
          <w:trHeight w:val="24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$159,683</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w:t>
            </w:r>
          </w:p>
        </w:tc>
      </w:tr>
      <w:tr>
        <w:trPr>
          <w:trHeight w:val="312"/>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DeByle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$180,250</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20" w:right="220" w:hanging="412"/>
        <w:spacing w:after="0" w:line="282" w:lineRule="auto"/>
        <w:tabs>
          <w:tab w:leader="none" w:pos="4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 and per his separation agreement was eligible to receive a payment equal to his target annual bonus, prorated for the portion of the year during which he was employed.</w:t>
      </w:r>
    </w:p>
    <w:p>
      <w:pPr>
        <w:spacing w:after="0" w:line="158" w:lineRule="exact"/>
        <w:rPr>
          <w:sz w:val="20"/>
          <w:szCs w:val="20"/>
          <w:color w:val="auto"/>
        </w:rPr>
      </w:pPr>
    </w:p>
    <w:p>
      <w:pPr>
        <w:ind w:right="10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Compensation. </w:t>
      </w:r>
      <w:r>
        <w:rPr>
          <w:rFonts w:ascii="Times New Roman" w:cs="Times New Roman" w:eastAsia="Times New Roman" w:hAnsi="Times New Roman"/>
          <w:sz w:val="18"/>
          <w:szCs w:val="18"/>
          <w:color w:val="auto"/>
        </w:rPr>
        <w:t>We provide performance-based long-term incentive compensation to certain employees,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NEOs, to directly tie the interests of these individuals to the interests of our stockholders. In addition, this program allows us to provide competitive pay packages to attract and retain a highly talented management team.</w:t>
      </w:r>
    </w:p>
    <w:p>
      <w:pPr>
        <w:spacing w:after="0" w:line="175"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Our long-term incentive compensation includes performance stock units, or PSUs, that vest based on our total shareholder return (TSR Awards, relative to the S&amp;P SmallCap 600 Index), and on our return on invested capital (ROIC Awards), over a three-year performance period (Performance Period). In addition, our NEOs receive long-term incentive compensation in the form of shares of restricted stock. Such long-term incentive compensation is based on the NEO’s target opportunity as a percentage of base salary and is equally allocated one-third each among TSR Awards, ROIC Awards and restricted stock awards. Our long-term incentive compensation is designed to directly align the interests of executives to the interests of our stockholders and to drive long-term stockholder value creation.</w:t>
      </w:r>
    </w:p>
    <w:p>
      <w:pPr>
        <w:spacing w:after="0" w:line="187"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chose the S&amp;P SmallCap 600 Index as a relative TSR comparison group because it is a broad and stable index group that is comprised of companies with similar market capitalizations as ours. TSR is calculated by taking a total of share price appreciation plus dividends over the three-year period compared to our share price at the beginning of the</w:t>
      </w:r>
    </w:p>
    <w:p>
      <w:pPr>
        <w:spacing w:after="0" w:line="28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85" w:right="339" w:bottom="1440" w:gutter="0" w:footer="0" w:header="0"/>
        </w:sectPr>
      </w:pPr>
    </w:p>
    <w:bookmarkStart w:id="37" w:name="page38"/>
    <w:bookmarkEnd w:id="37"/>
    <w:p>
      <w:pPr>
        <w:ind w:right="200"/>
        <w:spacing w:after="0" w:line="282" w:lineRule="auto"/>
        <w:rPr>
          <w:sz w:val="20"/>
          <w:szCs w:val="20"/>
          <w:color w:val="auto"/>
        </w:rPr>
      </w:pPr>
      <w:r>
        <w:rPr>
          <w:rFonts w:ascii="Times New Roman" w:cs="Times New Roman" w:eastAsia="Times New Roman" w:hAnsi="Times New Roman"/>
          <w:sz w:val="18"/>
          <w:szCs w:val="18"/>
          <w:color w:val="auto"/>
        </w:rPr>
        <w:t>period. The performance metrics and corresponding payouts for TSR Awards are based on our ranking within the S&amp;P SmallCap 600 for all performance cycles that are currently outstanding, and are as follows:</w:t>
      </w:r>
    </w:p>
    <w:p>
      <w:pPr>
        <w:spacing w:after="0" w:line="10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48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4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23"/>
        </w:trPr>
        <w:tc>
          <w:tcPr>
            <w:tcW w:w="3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8"/>
        </w:trPr>
        <w:tc>
          <w:tcPr>
            <w:tcW w:w="34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Threshold - At 35th</w:t>
            </w:r>
          </w:p>
        </w:tc>
        <w:tc>
          <w:tcPr>
            <w:tcW w:w="2400" w:type="dxa"/>
            <w:vAlign w:val="bottom"/>
            <w:shd w:val="clear" w:color="auto" w:fill="CCEEFF"/>
          </w:tcPr>
          <w:p>
            <w:pPr>
              <w:spacing w:after="0"/>
              <w:rPr>
                <w:sz w:val="18"/>
                <w:szCs w:val="18"/>
                <w:color w:val="auto"/>
              </w:rPr>
            </w:pPr>
          </w:p>
        </w:tc>
      </w:tr>
      <w:tr>
        <w:trPr>
          <w:trHeight w:val="241"/>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percentile</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of target</w:t>
            </w:r>
          </w:p>
        </w:tc>
      </w:tr>
      <w:tr>
        <w:trPr>
          <w:trHeight w:val="225"/>
        </w:trPr>
        <w:tc>
          <w:tcPr>
            <w:tcW w:w="34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Target - At 50th</w:t>
            </w:r>
          </w:p>
        </w:tc>
        <w:tc>
          <w:tcPr>
            <w:tcW w:w="2400" w:type="dxa"/>
            <w:vAlign w:val="bottom"/>
          </w:tcPr>
          <w:p>
            <w:pPr>
              <w:spacing w:after="0"/>
              <w:rPr>
                <w:sz w:val="19"/>
                <w:szCs w:val="19"/>
                <w:color w:val="auto"/>
              </w:rPr>
            </w:pPr>
          </w:p>
        </w:tc>
      </w:tr>
      <w:tr>
        <w:trPr>
          <w:trHeight w:val="23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percentile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of target</w:t>
            </w: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5"/>
        </w:trPr>
        <w:tc>
          <w:tcPr>
            <w:tcW w:w="34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Maximum - At 75th</w:t>
            </w:r>
          </w:p>
        </w:tc>
        <w:tc>
          <w:tcPr>
            <w:tcW w:w="2400" w:type="dxa"/>
            <w:vAlign w:val="bottom"/>
            <w:shd w:val="clear" w:color="auto" w:fill="CCEEFF"/>
          </w:tcPr>
          <w:p>
            <w:pPr>
              <w:spacing w:after="0"/>
              <w:rPr>
                <w:sz w:val="19"/>
                <w:szCs w:val="19"/>
                <w:color w:val="auto"/>
              </w:rPr>
            </w:pPr>
          </w:p>
        </w:tc>
      </w:tr>
      <w:tr>
        <w:trPr>
          <w:trHeight w:val="234"/>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percentile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of target</w:t>
            </w:r>
          </w:p>
        </w:tc>
      </w:tr>
      <w:tr>
        <w:trPr>
          <w:trHeight w:val="27"/>
        </w:trPr>
        <w:tc>
          <w:tcPr>
            <w:tcW w:w="3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performance is below the 35th percentile, no award will be earned or paid as it relates to that measure.</w:t>
      </w:r>
    </w:p>
    <w:p>
      <w:pPr>
        <w:spacing w:after="0" w:line="225"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In 2021, ROIC is the quotient of (i) adjusted net operating profit after taxes, divided by (ii) total invested capital. The performance metrics and corresponding payouts for ROIC Awards granted in 2021 are based on our achieving a specified average return on invested capital during the Performance Period as follows: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48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4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23"/>
        </w:trPr>
        <w:tc>
          <w:tcPr>
            <w:tcW w:w="3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Threshold – 6.3%</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of target</w:t>
            </w:r>
          </w:p>
        </w:tc>
      </w:tr>
      <w:tr>
        <w:trPr>
          <w:trHeight w:val="243"/>
        </w:trPr>
        <w:tc>
          <w:tcPr>
            <w:tcW w:w="34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Target – 7.0%</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of target</w:t>
            </w: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34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Maximum – 8.6%</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of target</w:t>
            </w:r>
          </w:p>
        </w:tc>
      </w:tr>
      <w:tr>
        <w:trPr>
          <w:trHeight w:val="27"/>
        </w:trPr>
        <w:tc>
          <w:tcPr>
            <w:tcW w:w="3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we do not achieve at least a 6.3% return on invested capital during the Performance Period, no award will be earned or paid.</w:t>
      </w:r>
    </w:p>
    <w:p>
      <w:pPr>
        <w:spacing w:after="0" w:line="225"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83"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The Restricted Stock will vest ratably over three years in accordance with historical compensation practice, subject to continued employment. Dividends will be paid on outstanding Restricted Stock during the vesting period.</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For 2021, the Compensation Committee established a long-term incentive compensation target opportunity for each executive that ranged between 65% and 255% of the respective NEO’s base salary and was intended to approximate the market values of long-term equity awards granted within our peer group. Each NEO’s long-term incentive opportunity award value in 2021 is shown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62"/>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Long-</w:t>
            </w:r>
          </w:p>
        </w:tc>
      </w:tr>
      <w:tr>
        <w:trPr>
          <w:trHeight w:val="162"/>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Value of TSR</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ROIC</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Incentive</w:t>
            </w:r>
          </w:p>
        </w:tc>
      </w:tr>
      <w:tr>
        <w:trPr>
          <w:trHeight w:val="19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3"/>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$586,498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$586,498</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$1,749,418</w:t>
            </w:r>
          </w:p>
        </w:tc>
      </w:tr>
      <w:tr>
        <w:trPr>
          <w:trHeight w:val="27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(1)</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$114,371</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$114,371</w:t>
            </w: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$144,994</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$432,493</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$131,034</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$397,694</w:t>
            </w:r>
          </w:p>
        </w:tc>
      </w:tr>
      <w:tr>
        <w:trPr>
          <w:trHeight w:val="27"/>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$62,827</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$187,404</w:t>
            </w:r>
          </w:p>
        </w:tc>
      </w:tr>
      <w:tr>
        <w:trPr>
          <w:trHeight w:val="325"/>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DeByle </w:t>
            </w:r>
            <w:r>
              <w:rPr>
                <w:rFonts w:ascii="Times New Roman" w:cs="Times New Roman" w:eastAsia="Times New Roman" w:hAnsi="Times New Roman"/>
                <w:sz w:val="23"/>
                <w:szCs w:val="23"/>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$286,812</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$291,830</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$353,401</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$932,043</w:t>
            </w:r>
          </w:p>
        </w:tc>
      </w:tr>
      <w:tr>
        <w:trPr>
          <w:trHeight w:val="25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90" w:lineRule="exact"/>
        <w:rPr>
          <w:sz w:val="20"/>
          <w:szCs w:val="20"/>
          <w:color w:val="auto"/>
        </w:rPr>
      </w:pPr>
    </w:p>
    <w:p>
      <w:pPr>
        <w:ind w:left="420" w:right="680" w:hanging="412"/>
        <w:spacing w:after="0" w:line="282" w:lineRule="auto"/>
        <w:tabs>
          <w:tab w:leader="none" w:pos="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Felcher's long-term incentive opportunity award granted in 2021 was based on his previous role as the Company's Vice President – Chief Accounting Officer.</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 and the TSR awards and ROIC awards were forfeited at that time.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985" w:right="339" w:bottom="1440" w:gutter="0" w:footer="0" w:header="0"/>
          <w:type w:val="continuous"/>
        </w:sectPr>
      </w:pPr>
    </w:p>
    <w:bookmarkStart w:id="38" w:name="page39"/>
    <w:bookmarkEnd w:id="38"/>
    <w:p>
      <w:pPr>
        <w:ind w:right="40"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TSR and ROIC Metrics and Actual Performance Attainment – 2019-2021 Performance Period. </w:t>
      </w:r>
      <w:r>
        <w:rPr>
          <w:rFonts w:ascii="Times New Roman" w:cs="Times New Roman" w:eastAsia="Times New Roman" w:hAnsi="Times New Roman"/>
          <w:sz w:val="18"/>
          <w:szCs w:val="18"/>
          <w:color w:val="auto"/>
        </w:rPr>
        <w:t>In 2019,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the TSR and ROIC performance thresholds to be measured over the 2019-2021 performance period. In March 2022, we certified to the Compensation Committee that during the 2019-2021 performance period Relative TSR was 31.59% (10th percentile) and ROIC was 1.6%, both of which were below the threshold requirements. As a result of the Relative TSR and ROIC results, no performance shares were earned by our NEOs under the 2019 Long-Term Incentive Compensation Plan.</w:t>
      </w:r>
    </w:p>
    <w:p>
      <w:pPr>
        <w:spacing w:after="0" w:line="179"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Benefits. </w:t>
      </w:r>
      <w:r>
        <w:rPr>
          <w:rFonts w:ascii="Times New Roman" w:cs="Times New Roman" w:eastAsia="Times New Roman" w:hAnsi="Times New Roman"/>
          <w:sz w:val="17"/>
          <w:szCs w:val="17"/>
          <w:color w:val="auto"/>
        </w:rPr>
        <w:t>In addition to the three elements of total direct compensation (base salary, annual incentive compensation and long-term equity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incentive compensation), we provide certain other benefits to our NEOs, including Company-matched contributions under a 401(k) savings plan, premium payments relating to supplemental disability insurance, health savings accounts, group term life insurance, housing allowance and employee travel allowance. We do not provide our NEO’s with excessive perquisites, such as use of a company airplane, club memberships, and tax and financial planning.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 on Pay Analysis</w:t>
      </w:r>
    </w:p>
    <w:p>
      <w:pPr>
        <w:spacing w:after="0" w:line="12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At our 2021 Annual Meeting, we held an annual advisory vote on executive compensation, and approximately 99% of our stockholders voted in favor of our named executive officer compensation for 2020. 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 Furthermore, based on the results of the advisory vote held at our 2017 Annual Meeting on the frequency of advisory votes on executive compensation, we intend to continue our practice to hold an advisory vote to approve our named executive officer compensation annually.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Considerations</w:t>
      </w:r>
    </w:p>
    <w:p>
      <w:pPr>
        <w:spacing w:after="0" w:line="121"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We structure our executive compensation arrangements to encourage executives to take appropriate risks designed to enhance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respect to specific elements of compensation:</w:t>
      </w:r>
    </w:p>
    <w:p>
      <w:pPr>
        <w:spacing w:after="0" w:line="117" w:lineRule="exact"/>
        <w:rPr>
          <w:sz w:val="20"/>
          <w:szCs w:val="20"/>
          <w:color w:val="auto"/>
        </w:rPr>
      </w:pPr>
    </w:p>
    <w:p>
      <w:pPr>
        <w:ind w:left="1700" w:right="20" w:hanging="396"/>
        <w:spacing w:after="0" w:line="282" w:lineRule="auto"/>
        <w:tabs>
          <w:tab w:leader="none" w:pos="15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does not encourage risk-taking as it is a fixed amount and but one component of a balanced, multi-component approach to compensation and rewards.</w:t>
      </w:r>
    </w:p>
    <w:p>
      <w:pPr>
        <w:spacing w:after="0" w:line="53" w:lineRule="exact"/>
        <w:rPr>
          <w:rFonts w:ascii="Times New Roman" w:cs="Times New Roman" w:eastAsia="Times New Roman" w:hAnsi="Times New Roman"/>
          <w:sz w:val="18"/>
          <w:szCs w:val="18"/>
          <w:color w:val="auto"/>
        </w:rPr>
      </w:pPr>
    </w:p>
    <w:p>
      <w:pPr>
        <w:ind w:left="1700" w:right="100" w:hanging="396"/>
        <w:spacing w:after="0" w:line="266" w:lineRule="auto"/>
        <w:tabs>
          <w:tab w:leader="none" w:pos="15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incentive compensation for executive officers is designed to reward achievement of performance metrics that take into account the expense of such compensation, which we believe facilitates the creation of stockholder value. Through a combination of plan design, such as a cap on potential payouts, and management procedures, undue risk-taking is mitigated.</w:t>
      </w:r>
    </w:p>
    <w:p>
      <w:pPr>
        <w:spacing w:after="0" w:line="67" w:lineRule="exact"/>
        <w:rPr>
          <w:rFonts w:ascii="Times New Roman" w:cs="Times New Roman" w:eastAsia="Times New Roman" w:hAnsi="Times New Roman"/>
          <w:sz w:val="18"/>
          <w:szCs w:val="18"/>
          <w:color w:val="auto"/>
        </w:rPr>
      </w:pPr>
    </w:p>
    <w:p>
      <w:pPr>
        <w:ind w:left="1700" w:hanging="396"/>
        <w:spacing w:after="0" w:line="261" w:lineRule="auto"/>
        <w:tabs>
          <w:tab w:leader="none" w:pos="15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our long-term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in addition to a payout cap on performance share units, negates any motivation to take inappropriate risks associated with business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our Executive Officers</w:t>
      </w:r>
    </w:p>
    <w:p>
      <w:pPr>
        <w:spacing w:after="0" w:line="121" w:lineRule="exact"/>
        <w:rPr>
          <w:sz w:val="20"/>
          <w:szCs w:val="20"/>
          <w:color w:val="auto"/>
        </w:rPr>
      </w:pPr>
    </w:p>
    <w:p>
      <w:pPr>
        <w:ind w:right="200" w:firstLine="1296"/>
        <w:spacing w:after="0" w:line="281" w:lineRule="auto"/>
        <w:rPr>
          <w:sz w:val="20"/>
          <w:szCs w:val="20"/>
          <w:color w:val="auto"/>
        </w:rPr>
      </w:pPr>
      <w:r>
        <w:rPr>
          <w:rFonts w:ascii="Times New Roman" w:cs="Times New Roman" w:eastAsia="Times New Roman" w:hAnsi="Times New Roman"/>
          <w:sz w:val="17"/>
          <w:szCs w:val="17"/>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3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Compensation of the Chief Executive Officer</w:t>
      </w:r>
    </w:p>
    <w:p>
      <w:pPr>
        <w:spacing w:after="0" w:line="121"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with respect to our annual business plan and progress made on long term objectives and compares the CEO’s compensation to the peer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Policies</w:t>
      </w:r>
    </w:p>
    <w:p>
      <w:pPr>
        <w:spacing w:after="0" w:line="117"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Requirements. </w:t>
      </w:r>
      <w:r>
        <w:rPr>
          <w:rFonts w:ascii="Times New Roman" w:cs="Times New Roman" w:eastAsia="Times New Roman" w:hAnsi="Times New Roman"/>
          <w:sz w:val="18"/>
          <w:szCs w:val="18"/>
          <w:color w:val="auto"/>
        </w:rPr>
        <w:t>To further align management and stockholder interests and discourage inappropriate or excessive risk-taking, our stock ownership policy requires each executive officer to obtain a substantial equity stake in the Company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 In light of the recent downturn in the price of the Company’s common stock and the fact that some of the NEO’s are new to their roles, the Company has extended the timeframe for compliance with the policy to provide for additional time for the stock price to normalize and for the NEO’s to accumulate a sufficient amount of shares to satisfy the policy requirements.</w:t>
      </w:r>
    </w:p>
    <w:p>
      <w:pPr>
        <w:spacing w:after="0" w:line="188" w:lineRule="exact"/>
        <w:rPr>
          <w:sz w:val="20"/>
          <w:szCs w:val="20"/>
          <w:color w:val="auto"/>
        </w:rPr>
      </w:pPr>
    </w:p>
    <w:p>
      <w:pPr>
        <w:jc w:val="both"/>
        <w:ind w:right="1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Pledging Policy. </w:t>
      </w:r>
      <w:r>
        <w:rPr>
          <w:rFonts w:ascii="Times New Roman" w:cs="Times New Roman" w:eastAsia="Times New Roman" w:hAnsi="Times New Roman"/>
          <w:sz w:val="18"/>
          <w:szCs w:val="18"/>
          <w:color w:val="auto"/>
        </w:rPr>
        <w:t>Our insider trading policy prohibits any director or officer (including the NEOs) from pledging any of our securities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collateral for a loan without first obtaining approval from our Chief Executive Officer and our General Counsel. To date, none of our NEO's have pledged any of our securities as collateral for a loan, nor have any requests for approval been made.</w:t>
      </w:r>
    </w:p>
    <w:p>
      <w:pPr>
        <w:spacing w:after="0" w:line="171" w:lineRule="exact"/>
        <w:rPr>
          <w:sz w:val="20"/>
          <w:szCs w:val="20"/>
          <w:color w:val="auto"/>
        </w:rPr>
      </w:pPr>
    </w:p>
    <w:p>
      <w:pPr>
        <w:ind w:right="720" w:firstLine="129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Policy. </w:t>
      </w:r>
      <w:r>
        <w:rPr>
          <w:rFonts w:ascii="Times New Roman" w:cs="Times New Roman" w:eastAsia="Times New Roman" w:hAnsi="Times New Roman"/>
          <w:sz w:val="18"/>
          <w:szCs w:val="18"/>
          <w:color w:val="auto"/>
        </w:rPr>
        <w:t>Also, our insider trading policy prohibits our directors and officers (including the NEOs) from engaging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involving a derivative of our securities, including hedging transactions.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Recoupment (Claw-Back) Policy</w:t>
      </w:r>
    </w:p>
    <w:p>
      <w:pPr>
        <w:spacing w:after="0" w:line="12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To further discourage inappropriate or excessive risk-taking, 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089" w:right="35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Raynard D. Benvenuti, Chair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Robert E. Brunner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Dr. Rajeev Gautam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Jeri J. Harman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Dr. Shihab Kuran</w:t>
      </w:r>
    </w:p>
    <w:p>
      <w:pPr>
        <w:spacing w:after="0" w:line="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w:t>
      </w:r>
    </w:p>
    <w:p>
      <w:pPr>
        <w:spacing w:after="0" w:line="200" w:lineRule="exact"/>
        <w:rPr>
          <w:sz w:val="20"/>
          <w:szCs w:val="20"/>
          <w:color w:val="auto"/>
        </w:rPr>
      </w:pPr>
    </w:p>
    <w:p>
      <w:pPr>
        <w:spacing w:after="0" w:line="20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80"/>
          </w:cols>
          <w:pgMar w:left="320" w:top="1089" w:right="3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year ended December 31, 2021 information concerning the compensation paid for services rendered in all capacities by the named executive officers.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Value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sation</w:t>
            </w:r>
          </w:p>
        </w:tc>
        <w:tc>
          <w:tcPr>
            <w:tcW w:w="12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(3)</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(4)</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(5)</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(6)</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Warren A. Veltman</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685,962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1,749,418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550,906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3,289,451</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664,904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1,730,612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581,967</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3,275,852</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2019</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426,865</w:t>
            </w:r>
          </w:p>
        </w:tc>
        <w:tc>
          <w:tcPr>
            <w:tcW w:w="12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496,712</w:t>
            </w: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20,466</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944,043</w:t>
            </w:r>
          </w:p>
        </w:tc>
        <w:tc>
          <w:tcPr>
            <w:tcW w:w="0" w:type="dxa"/>
            <w:vAlign w:val="bottom"/>
          </w:tcPr>
          <w:p>
            <w:pPr>
              <w:spacing w:after="0"/>
              <w:rPr>
                <w:sz w:val="1"/>
                <w:szCs w:val="1"/>
                <w:color w:val="auto"/>
              </w:rPr>
            </w:pPr>
          </w:p>
        </w:tc>
      </w:tr>
      <w:tr>
        <w:trPr>
          <w:trHeight w:val="73"/>
        </w:trPr>
        <w:tc>
          <w:tcPr>
            <w:tcW w:w="2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9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Michael C. Felcher </w:t>
            </w:r>
            <w:r>
              <w:rPr>
                <w:rFonts w:ascii="Times New Roman" w:cs="Times New Roman" w:eastAsia="Times New Roman" w:hAnsi="Times New Roman"/>
                <w:sz w:val="21"/>
                <w:szCs w:val="21"/>
                <w:color w:val="auto"/>
                <w:vertAlign w:val="superscript"/>
              </w:rPr>
              <w:t>(1)</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307,294</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2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114,371</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108,195</w:t>
            </w:r>
          </w:p>
        </w:tc>
        <w:tc>
          <w:tcPr>
            <w:tcW w:w="12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580,305</w:t>
            </w:r>
          </w:p>
        </w:tc>
        <w:tc>
          <w:tcPr>
            <w:tcW w:w="0" w:type="dxa"/>
            <w:vAlign w:val="bottom"/>
          </w:tcPr>
          <w:p>
            <w:pPr>
              <w:spacing w:after="0"/>
              <w:rPr>
                <w:sz w:val="1"/>
                <w:szCs w:val="1"/>
                <w:color w:val="auto"/>
              </w:rPr>
            </w:pPr>
          </w:p>
        </w:tc>
      </w:tr>
      <w:tr>
        <w:trPr>
          <w:trHeight w:val="189"/>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 Chief</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58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R. Buchan</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432,308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432,493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173,655</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1,170,339</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Executive Vice President – Mobile</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432,308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852,305</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183,212</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1,609,064</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Solutions and Power Solutions</w:t>
            </w:r>
          </w:p>
        </w:tc>
        <w:tc>
          <w:tcPr>
            <w:tcW w:w="1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2019</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328,942</w:t>
            </w:r>
          </w:p>
        </w:tc>
        <w:tc>
          <w:tcPr>
            <w:tcW w:w="12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108,181</w:t>
            </w:r>
          </w:p>
        </w:tc>
        <w:tc>
          <w:tcPr>
            <w:tcW w:w="1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38,553</w:t>
            </w:r>
          </w:p>
        </w:tc>
        <w:tc>
          <w:tcPr>
            <w:tcW w:w="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25,393</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501,069</w:t>
            </w:r>
          </w:p>
        </w:tc>
        <w:tc>
          <w:tcPr>
            <w:tcW w:w="0" w:type="dxa"/>
            <w:vAlign w:val="bottom"/>
          </w:tcPr>
          <w:p>
            <w:pPr>
              <w:spacing w:after="0"/>
              <w:rPr>
                <w:sz w:val="1"/>
                <w:szCs w:val="1"/>
                <w:color w:val="auto"/>
              </w:rPr>
            </w:pPr>
          </w:p>
        </w:tc>
      </w:tr>
      <w:tr>
        <w:trPr>
          <w:trHeight w:val="54"/>
        </w:trPr>
        <w:tc>
          <w:tcPr>
            <w:tcW w:w="2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vMerge w:val="continue"/>
            <w:shd w:val="clear" w:color="auto" w:fill="CCEEFF"/>
          </w:tcPr>
          <w:p>
            <w:pPr>
              <w:spacing w:after="0"/>
              <w:rPr>
                <w:sz w:val="4"/>
                <w:szCs w:val="4"/>
                <w:color w:val="auto"/>
              </w:rPr>
            </w:pPr>
          </w:p>
        </w:tc>
        <w:tc>
          <w:tcPr>
            <w:tcW w:w="84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gridSpan w:val="2"/>
            <w:vMerge w:val="continue"/>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gridSpan w:val="2"/>
            <w:vMerge w:val="continue"/>
            <w:shd w:val="clear" w:color="auto" w:fill="CCEEFF"/>
          </w:tcPr>
          <w:p>
            <w:pPr>
              <w:spacing w:after="0"/>
              <w:rPr>
                <w:sz w:val="4"/>
                <w:szCs w:val="4"/>
                <w:color w:val="auto"/>
              </w:rPr>
            </w:pPr>
          </w:p>
        </w:tc>
        <w:tc>
          <w:tcPr>
            <w:tcW w:w="1260" w:type="dxa"/>
            <w:vAlign w:val="bottom"/>
            <w:gridSpan w:val="2"/>
            <w:vMerge w:val="continue"/>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S. Heiter</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397,500</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397,694</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159,683</w:t>
            </w:r>
          </w:p>
        </w:tc>
        <w:tc>
          <w:tcPr>
            <w:tcW w:w="12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37,907</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1,192,784</w:t>
            </w:r>
          </w:p>
        </w:tc>
        <w:tc>
          <w:tcPr>
            <w:tcW w:w="0" w:type="dxa"/>
            <w:vAlign w:val="bottom"/>
          </w:tcPr>
          <w:p>
            <w:pPr>
              <w:spacing w:after="0"/>
              <w:rPr>
                <w:sz w:val="1"/>
                <w:szCs w:val="1"/>
                <w:color w:val="auto"/>
              </w:rPr>
            </w:pPr>
          </w:p>
        </w:tc>
      </w:tr>
      <w:tr>
        <w:trPr>
          <w:trHeight w:val="220"/>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General</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387,612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782,107</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168,124</w:t>
            </w:r>
          </w:p>
        </w:tc>
        <w:tc>
          <w:tcPr>
            <w:tcW w:w="12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1,546,746</w:t>
            </w:r>
          </w:p>
        </w:tc>
        <w:tc>
          <w:tcPr>
            <w:tcW w:w="0" w:type="dxa"/>
            <w:vAlign w:val="bottom"/>
          </w:tcPr>
          <w:p>
            <w:pPr>
              <w:spacing w:after="0"/>
              <w:rPr>
                <w:sz w:val="1"/>
                <w:szCs w:val="1"/>
                <w:color w:val="auto"/>
              </w:rPr>
            </w:pPr>
          </w:p>
        </w:tc>
      </w:tr>
      <w:tr>
        <w:trPr>
          <w:trHeight w:val="212"/>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Counsel and Secretary</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2019</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366,026</w:t>
            </w:r>
          </w:p>
        </w:tc>
        <w:tc>
          <w:tcPr>
            <w:tcW w:w="120" w:type="dxa"/>
            <w:vAlign w:val="bottom"/>
          </w:tcPr>
          <w:p>
            <w:pPr>
              <w:spacing w:after="0"/>
              <w:rPr>
                <w:sz w:val="18"/>
                <w:szCs w:val="18"/>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293,051</w:t>
            </w:r>
          </w:p>
        </w:tc>
        <w:tc>
          <w:tcPr>
            <w:tcW w:w="100" w:type="dxa"/>
            <w:vAlign w:val="bottom"/>
          </w:tcPr>
          <w:p>
            <w:pPr>
              <w:spacing w:after="0"/>
              <w:rPr>
                <w:sz w:val="18"/>
                <w:szCs w:val="1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12,678</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671,755</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 Gail Nixon</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288,750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187,404</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104,193</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670,766</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 Chief</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284,051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314,492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110,574</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796,918</w:t>
            </w:r>
          </w:p>
        </w:tc>
        <w:tc>
          <w:tcPr>
            <w:tcW w:w="0" w:type="dxa"/>
            <w:vAlign w:val="bottom"/>
          </w:tcPr>
          <w:p>
            <w:pPr>
              <w:spacing w:after="0"/>
              <w:rPr>
                <w:sz w:val="1"/>
                <w:szCs w:val="1"/>
                <w:color w:val="auto"/>
              </w:rPr>
            </w:pPr>
          </w:p>
        </w:tc>
      </w:tr>
      <w:tr>
        <w:trPr>
          <w:trHeight w:val="225"/>
        </w:trPr>
        <w:tc>
          <w:tcPr>
            <w:tcW w:w="2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Human Resources Officer</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4"/>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Thomas D. DeByle </w:t>
            </w:r>
            <w:r>
              <w:rPr>
                <w:rFonts w:ascii="Times New Roman" w:cs="Times New Roman" w:eastAsia="Times New Roman" w:hAnsi="Times New Roman"/>
                <w:sz w:val="21"/>
                <w:szCs w:val="21"/>
                <w:color w:val="auto"/>
                <w:vertAlign w:val="superscript"/>
              </w:rPr>
              <w:t>(2)</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263,442</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932,043</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180,250</w:t>
            </w:r>
          </w:p>
        </w:tc>
        <w:tc>
          <w:tcPr>
            <w:tcW w:w="12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306,345</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1,882,080</w:t>
            </w:r>
          </w:p>
        </w:tc>
        <w:tc>
          <w:tcPr>
            <w:tcW w:w="0" w:type="dxa"/>
            <w:vAlign w:val="bottom"/>
          </w:tcPr>
          <w:p>
            <w:pPr>
              <w:spacing w:after="0"/>
              <w:rPr>
                <w:sz w:val="1"/>
                <w:szCs w:val="1"/>
                <w:color w:val="auto"/>
              </w:rPr>
            </w:pPr>
          </w:p>
        </w:tc>
      </w:tr>
      <w:tr>
        <w:trPr>
          <w:trHeight w:val="189"/>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515,000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16"/>
                <w:szCs w:val="16"/>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680,260</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310,814</w:t>
            </w:r>
          </w:p>
        </w:tc>
        <w:tc>
          <w:tcPr>
            <w:tcW w:w="12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32,757</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1,738,831</w:t>
            </w:r>
          </w:p>
        </w:tc>
        <w:tc>
          <w:tcPr>
            <w:tcW w:w="0" w:type="dxa"/>
            <w:vAlign w:val="bottom"/>
          </w:tcPr>
          <w:p>
            <w:pPr>
              <w:spacing w:after="0"/>
              <w:rPr>
                <w:sz w:val="1"/>
                <w:szCs w:val="1"/>
                <w:color w:val="auto"/>
              </w:rPr>
            </w:pPr>
          </w:p>
        </w:tc>
      </w:tr>
      <w:tr>
        <w:trPr>
          <w:trHeight w:val="212"/>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2019</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138,654</w:t>
            </w:r>
          </w:p>
        </w:tc>
        <w:tc>
          <w:tcPr>
            <w:tcW w:w="120" w:type="dxa"/>
            <w:vAlign w:val="bottom"/>
          </w:tcPr>
          <w:p>
            <w:pPr>
              <w:spacing w:after="0"/>
              <w:rPr>
                <w:sz w:val="18"/>
                <w:szCs w:val="18"/>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348,999</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was promoted to Senior Vice President – Chief Financial Officer, effective as of July 1, 2021.</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w:t>
      </w:r>
    </w:p>
    <w:p>
      <w:pPr>
        <w:spacing w:after="0" w:line="117" w:lineRule="exact"/>
        <w:rPr>
          <w:rFonts w:ascii="Times New Roman" w:cs="Times New Roman" w:eastAsia="Times New Roman" w:hAnsi="Times New Roman"/>
          <w:sz w:val="18"/>
          <w:szCs w:val="18"/>
          <w:color w:val="auto"/>
        </w:rPr>
      </w:pPr>
    </w:p>
    <w:p>
      <w:pPr>
        <w:ind w:left="420" w:right="40" w:hanging="412"/>
        <w:spacing w:after="0" w:line="282" w:lineRule="auto"/>
        <w:tabs>
          <w:tab w:leader="none" w:pos="3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Bonus column for 2021 represent the second payment of a retention award approved by the Committee in October 2020 in connection with the sale of our Life Sciences business.</w:t>
      </w:r>
    </w:p>
    <w:p>
      <w:pPr>
        <w:spacing w:after="0" w:line="53" w:lineRule="exact"/>
        <w:rPr>
          <w:rFonts w:ascii="Times New Roman" w:cs="Times New Roman" w:eastAsia="Times New Roman" w:hAnsi="Times New Roman"/>
          <w:sz w:val="18"/>
          <w:szCs w:val="18"/>
          <w:color w:val="auto"/>
        </w:rPr>
      </w:pPr>
    </w:p>
    <w:p>
      <w:pPr>
        <w:ind w:left="420" w:right="60" w:hanging="412"/>
        <w:spacing w:after="0" w:line="254" w:lineRule="auto"/>
        <w:tabs>
          <w:tab w:leader="none" w:pos="3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16 of the Notes to Consolidated Financial Statements included in our Annual Report on Form 10-K for the year ended December 31, 2021 filed with the SEC on March 11, 2022.</w:t>
      </w:r>
    </w:p>
    <w:p>
      <w:pPr>
        <w:spacing w:after="0" w:line="2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089" w:right="339" w:bottom="1440" w:gutter="0" w:footer="0" w:header="0"/>
        </w:sectPr>
      </w:pPr>
    </w:p>
    <w:bookmarkStart w:id="42" w:name="page43"/>
    <w:bookmarkEnd w:id="42"/>
    <w:p>
      <w:pPr>
        <w:ind w:left="4040"/>
        <w:spacing w:after="0"/>
        <w:rPr>
          <w:sz w:val="20"/>
          <w:szCs w:val="20"/>
          <w:color w:val="auto"/>
        </w:rPr>
      </w:pPr>
      <w:r>
        <w:rPr>
          <w:rFonts w:ascii="Times New Roman" w:cs="Times New Roman" w:eastAsia="Times New Roman" w:hAnsi="Times New Roman"/>
          <w:sz w:val="14"/>
          <w:szCs w:val="14"/>
          <w:b w:val="1"/>
          <w:bCs w:val="1"/>
          <w:color w:val="auto"/>
        </w:rPr>
        <w:t>Grant Date Fair Value of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5803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Target Value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Value</w:t>
            </w:r>
          </w:p>
        </w:tc>
      </w:tr>
      <w:tr>
        <w:trPr>
          <w:trHeight w:val="19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40" w:type="dxa"/>
            <w:vAlign w:val="bottom"/>
            <w:gridSpan w:val="3"/>
          </w:tcPr>
          <w:p>
            <w:pPr>
              <w:jc w:val="center"/>
              <w:ind w:left="417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2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5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864,633</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5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142,505</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213,758</w:t>
            </w:r>
          </w:p>
        </w:tc>
      </w:tr>
      <w:tr>
        <w:trPr>
          <w:trHeight w:val="27"/>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5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131,034</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196,551</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5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61,750</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92,625</w:t>
            </w:r>
          </w:p>
        </w:tc>
      </w:tr>
      <w:tr>
        <w:trPr>
          <w:trHeight w:val="27"/>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DeByle</w:t>
            </w:r>
          </w:p>
        </w:tc>
        <w:tc>
          <w:tcPr>
            <w:tcW w:w="5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286,812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430,218</w:t>
            </w:r>
          </w:p>
        </w:tc>
      </w:tr>
      <w:tr>
        <w:trPr>
          <w:trHeight w:val="557"/>
        </w:trPr>
        <w:tc>
          <w:tcPr>
            <w:tcW w:w="2120" w:type="dxa"/>
            <w:vAlign w:val="bottom"/>
          </w:tcPr>
          <w:p>
            <w:pPr>
              <w:spacing w:after="0"/>
              <w:rPr>
                <w:sz w:val="24"/>
                <w:szCs w:val="24"/>
                <w:color w:val="auto"/>
              </w:rPr>
            </w:pPr>
          </w:p>
        </w:tc>
        <w:tc>
          <w:tcPr>
            <w:tcW w:w="574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Grant Date Fair Value of ROIC Awards</w:t>
            </w:r>
          </w:p>
        </w:tc>
        <w:tc>
          <w:tcPr>
            <w:tcW w:w="1280" w:type="dxa"/>
            <w:vAlign w:val="bottom"/>
          </w:tcPr>
          <w:p>
            <w:pPr>
              <w:spacing w:after="0"/>
              <w:rPr>
                <w:sz w:val="24"/>
                <w:szCs w:val="24"/>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8"/>
        </w:trPr>
        <w:tc>
          <w:tcPr>
            <w:tcW w:w="21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 Value</w:t>
            </w:r>
          </w:p>
        </w:tc>
        <w:tc>
          <w:tcPr>
            <w:tcW w:w="12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Maximum Value</w:t>
            </w:r>
          </w:p>
        </w:tc>
      </w:tr>
      <w:tr>
        <w:trPr>
          <w:trHeight w:val="19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40" w:type="dxa"/>
            <w:vAlign w:val="bottom"/>
            <w:gridSpan w:val="3"/>
          </w:tcPr>
          <w:p>
            <w:pPr>
              <w:jc w:val="center"/>
              <w:ind w:left="417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2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5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586,498</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879,747</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5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144,994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217,491</w:t>
            </w:r>
          </w:p>
        </w:tc>
      </w:tr>
      <w:tr>
        <w:trPr>
          <w:trHeight w:val="27"/>
        </w:trPr>
        <w:tc>
          <w:tcPr>
            <w:tcW w:w="2120" w:type="dxa"/>
            <w:vAlign w:val="bottom"/>
          </w:tcPr>
          <w:p>
            <w:pPr>
              <w:spacing w:after="0"/>
              <w:rPr>
                <w:sz w:val="2"/>
                <w:szCs w:val="2"/>
                <w:color w:val="auto"/>
              </w:rPr>
            </w:pPr>
          </w:p>
        </w:tc>
        <w:tc>
          <w:tcPr>
            <w:tcW w:w="5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5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199,995</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5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62,827</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94,241</w:t>
            </w:r>
          </w:p>
        </w:tc>
      </w:tr>
      <w:tr>
        <w:trPr>
          <w:trHeight w:val="27"/>
        </w:trPr>
        <w:tc>
          <w:tcPr>
            <w:tcW w:w="2120" w:type="dxa"/>
            <w:vAlign w:val="bottom"/>
          </w:tcPr>
          <w:p>
            <w:pPr>
              <w:spacing w:after="0"/>
              <w:rPr>
                <w:sz w:val="2"/>
                <w:szCs w:val="2"/>
                <w:color w:val="auto"/>
              </w:rPr>
            </w:pPr>
          </w:p>
        </w:tc>
        <w:tc>
          <w:tcPr>
            <w:tcW w:w="5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DeByle</w:t>
            </w:r>
          </w:p>
        </w:tc>
        <w:tc>
          <w:tcPr>
            <w:tcW w:w="5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291,830</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437,745</w:t>
            </w:r>
          </w:p>
        </w:tc>
      </w:tr>
      <w:tr>
        <w:trPr>
          <w:trHeight w:val="27"/>
        </w:trPr>
        <w:tc>
          <w:tcPr>
            <w:tcW w:w="2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left="420" w:right="240" w:hanging="412"/>
        <w:spacing w:after="0" w:line="261" w:lineRule="auto"/>
        <w:tabs>
          <w:tab w:leader="none" w:pos="3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16 of the Notes to Consolidated Financial Statements included in our Annual Report on Form 10-K for the year ended December 31, 2021 filed with the SEC on March 11, 2022.</w:t>
      </w:r>
    </w:p>
    <w:p>
      <w:pPr>
        <w:spacing w:after="0" w:line="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non-equity incentive plan compensation is earned in one fiscal year and paid in the first half of the next year.</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all other compensation, as summarized in the following table, for 2021: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401(k)</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Health</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Excess Group Term</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Savings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Life Insurance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Housing</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Match</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Account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Premiums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Reimbursement</w:t>
            </w:r>
          </w:p>
        </w:tc>
        <w:tc>
          <w:tcPr>
            <w:tcW w:w="1140" w:type="dxa"/>
            <w:vAlign w:val="bottom"/>
            <w:gridSpan w:val="2"/>
          </w:tcPr>
          <w:p>
            <w:pPr>
              <w:ind w:left="200"/>
              <w:spacing w:after="0" w:line="148" w:lineRule="exact"/>
              <w:rPr>
                <w:sz w:val="20"/>
                <w:szCs w:val="20"/>
                <w:color w:val="auto"/>
              </w:rPr>
            </w:pPr>
            <w:r>
              <w:rPr>
                <w:rFonts w:ascii="Times New Roman" w:cs="Times New Roman" w:eastAsia="Times New Roman" w:hAnsi="Times New Roman"/>
                <w:sz w:val="13"/>
                <w:szCs w:val="13"/>
                <w:b w:val="1"/>
                <w:bCs w:val="1"/>
                <w:color w:val="auto"/>
              </w:rPr>
              <w:t>Severance</w:t>
            </w:r>
            <w:r>
              <w:rPr>
                <w:rFonts w:ascii="Times New Roman" w:cs="Times New Roman" w:eastAsia="Times New Roman" w:hAnsi="Times New Roman"/>
                <w:sz w:val="16"/>
                <w:szCs w:val="16"/>
                <w:b w:val="1"/>
                <w:bCs w:val="1"/>
                <w:color w:val="auto"/>
                <w:vertAlign w:val="superscript"/>
              </w:rPr>
              <w:t>(1)</w:t>
            </w:r>
          </w:p>
        </w:tc>
        <w:tc>
          <w:tcPr>
            <w:tcW w:w="1140" w:type="dxa"/>
            <w:vAlign w:val="bottom"/>
            <w:gridSpan w:val="2"/>
          </w:tcPr>
          <w:p>
            <w:pPr>
              <w:ind w:left="300"/>
              <w:spacing w:after="0" w:line="148" w:lineRule="exact"/>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6"/>
                <w:szCs w:val="16"/>
                <w:b w:val="1"/>
                <w:bCs w:val="1"/>
                <w:color w:val="auto"/>
                <w:vertAlign w:val="superscript"/>
              </w:rPr>
              <w:t>(2)</w:t>
            </w:r>
          </w:p>
        </w:tc>
        <w:tc>
          <w:tcPr>
            <w:tcW w:w="114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2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104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4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1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0"/>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Mr. Veltman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53,165</w:t>
            </w:r>
          </w:p>
        </w:tc>
      </w:tr>
      <w:tr>
        <w:trPr>
          <w:trHeight w:val="23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Mr. Felcher</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20" w:type="dxa"/>
            <w:vAlign w:val="bottom"/>
          </w:tcPr>
          <w:p>
            <w:pPr>
              <w:spacing w:after="0"/>
              <w:rPr>
                <w:sz w:val="20"/>
                <w:szCs w:val="20"/>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7,945</w:t>
            </w:r>
          </w:p>
        </w:tc>
      </w:tr>
      <w:tr>
        <w:trPr>
          <w:trHeight w:val="25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Mr. Buchan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r>
      <w:tr>
        <w:trPr>
          <w:trHeight w:val="23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Mr. Heiter</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28,424</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37,907</w:t>
            </w:r>
          </w:p>
        </w:tc>
      </w:tr>
      <w:tr>
        <w:trPr>
          <w:trHeight w:val="25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 Nixon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w:t>
            </w: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Mr. DeByle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120" w:type="dxa"/>
            <w:vAlign w:val="bottom"/>
          </w:tcPr>
          <w:p>
            <w:pPr>
              <w:spacing w:after="0"/>
              <w:rPr>
                <w:sz w:val="19"/>
                <w:szCs w:val="19"/>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282,423</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306,345</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ind w:left="420" w:right="280" w:hanging="412"/>
        <w:spacing w:after="0" w:line="281" w:lineRule="auto"/>
        <w:tabs>
          <w:tab w:leader="none" w:pos="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DeByle retired from the Company effective as of June 30, 2021 and received an agreed upon severance, transition assistance and the payout of vested vacation time.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include a service award for Mr. Veltman and a gym membership for Mr. Felcher.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0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plan-based awards granted during 2021 to the named executive officers.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For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All Other Stock</w:t>
            </w:r>
          </w:p>
        </w:tc>
        <w:tc>
          <w:tcPr>
            <w:tcW w:w="118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Grant Date Fair</w:t>
            </w:r>
          </w:p>
        </w:tc>
      </w:tr>
      <w:tr>
        <w:trPr>
          <w:trHeight w:val="148"/>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2020" w:type="dxa"/>
            <w:vAlign w:val="bottom"/>
            <w:gridSpan w:val="5"/>
          </w:tcPr>
          <w:p>
            <w:pPr>
              <w:jc w:val="center"/>
              <w:ind w:left="429"/>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Number of Shares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of Stock and</w:t>
            </w:r>
          </w:p>
        </w:tc>
      </w:tr>
      <w:tr>
        <w:trPr>
          <w:trHeight w:val="148"/>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Under Non-Equity Incentive</w:t>
            </w:r>
          </w:p>
        </w:tc>
        <w:tc>
          <w:tcPr>
            <w:tcW w:w="2020" w:type="dxa"/>
            <w:vAlign w:val="bottom"/>
            <w:gridSpan w:val="5"/>
          </w:tcPr>
          <w:p>
            <w:pPr>
              <w:jc w:val="center"/>
              <w:ind w:left="409"/>
              <w:spacing w:after="0"/>
              <w:rPr>
                <w:sz w:val="20"/>
                <w:szCs w:val="20"/>
                <w:color w:val="auto"/>
              </w:rPr>
            </w:pPr>
            <w:r>
              <w:rPr>
                <w:rFonts w:ascii="Times New Roman" w:cs="Times New Roman" w:eastAsia="Times New Roman" w:hAnsi="Times New Roman"/>
                <w:sz w:val="13"/>
                <w:szCs w:val="13"/>
                <w:b w:val="1"/>
                <w:bCs w:val="1"/>
                <w:color w:val="auto"/>
                <w:w w:val="96"/>
              </w:rPr>
              <w:t>Under Equity Incentive Plan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Stock or Units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r>
      <w:tr>
        <w:trPr>
          <w:trHeight w:val="19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Plan Awards</w:t>
            </w:r>
            <w:r>
              <w:rPr>
                <w:rFonts w:ascii="Times New Roman" w:cs="Times New Roman" w:eastAsia="Times New Roman" w:hAnsi="Times New Roman"/>
                <w:sz w:val="16"/>
                <w:szCs w:val="16"/>
                <w:b w:val="1"/>
                <w:bCs w:val="1"/>
                <w:color w:val="auto"/>
                <w:w w:val="92"/>
                <w:vertAlign w:val="superscript"/>
              </w:rPr>
              <w:t>(1)</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89"/>
              </w:rPr>
              <w:t>Awards</w:t>
            </w:r>
            <w:r>
              <w:rPr>
                <w:rFonts w:ascii="Times New Roman" w:cs="Times New Roman" w:eastAsia="Times New Roman" w:hAnsi="Times New Roman"/>
                <w:sz w:val="16"/>
                <w:szCs w:val="16"/>
                <w:b w:val="1"/>
                <w:bCs w:val="1"/>
                <w:color w:val="auto"/>
                <w:w w:val="89"/>
                <w:vertAlign w:val="superscript"/>
              </w:rPr>
              <w:t>(2)</w:t>
            </w: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0"/>
                <w:vertAlign w:val="subscript"/>
              </w:rPr>
              <w:t>(#)</w:t>
            </w:r>
            <w:r>
              <w:rPr>
                <w:rFonts w:ascii="Times New Roman" w:cs="Times New Roman" w:eastAsia="Times New Roman" w:hAnsi="Times New Roman"/>
                <w:sz w:val="8"/>
                <w:szCs w:val="8"/>
                <w:b w:val="1"/>
                <w:bCs w:val="1"/>
                <w:color w:val="auto"/>
                <w:w w:val="90"/>
              </w:rPr>
              <w:t>(3)</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0"/>
                <w:vertAlign w:val="subscript"/>
              </w:rPr>
              <w:t>($)</w:t>
            </w:r>
            <w:r>
              <w:rPr>
                <w:rFonts w:ascii="Times New Roman" w:cs="Times New Roman" w:eastAsia="Times New Roman" w:hAnsi="Times New Roman"/>
                <w:sz w:val="8"/>
                <w:szCs w:val="8"/>
                <w:b w:val="1"/>
                <w:bCs w:val="1"/>
                <w:color w:val="auto"/>
                <w:w w:val="90"/>
              </w:rPr>
              <w:t>(4)</w:t>
            </w:r>
          </w:p>
        </w:tc>
      </w:tr>
      <w:tr>
        <w:trPr>
          <w:trHeight w:val="149"/>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6"/>
        </w:trPr>
        <w:tc>
          <w:tcPr>
            <w:tcW w:w="2500" w:type="dxa"/>
            <w:vAlign w:val="bottom"/>
          </w:tcPr>
          <w:p>
            <w:pPr>
              <w:ind w:left="124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7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9"/>
        </w:trPr>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Veltman</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81,458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586,498</w:t>
            </w: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864,633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576,422</w:t>
            </w: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ROIC Award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293,249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879,747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586,498</w:t>
            </w:r>
          </w:p>
        </w:tc>
      </w:tr>
      <w:tr>
        <w:trPr>
          <w:trHeight w:val="219"/>
        </w:trPr>
        <w:tc>
          <w:tcPr>
            <w:tcW w:w="2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345,000</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1,035,000</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Felcher</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64,375</w:t>
            </w: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6/14/2021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49,996</w:t>
            </w: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88,750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266,250</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Buchan</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144,994</w:t>
            </w: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213,758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142,505</w:t>
            </w: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ROIC Award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217,491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144,994</w:t>
            </w:r>
          </w:p>
        </w:tc>
      </w:tr>
      <w:tr>
        <w:trPr>
          <w:trHeight w:val="220"/>
        </w:trPr>
        <w:tc>
          <w:tcPr>
            <w:tcW w:w="2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108,750</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217,500</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326,250</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Heiter</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133,330</w:t>
            </w: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65,517</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196,551</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131,034</w:t>
            </w: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ROIC Award</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66,665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199,995</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133,330</w:t>
            </w: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 Nixon</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62,827</w:t>
            </w: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92,625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61,750</w:t>
            </w:r>
          </w:p>
        </w:tc>
      </w:tr>
      <w:tr>
        <w:trPr>
          <w:trHeight w:val="216"/>
        </w:trPr>
        <w:tc>
          <w:tcPr>
            <w:tcW w:w="2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ROIC Award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94,241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62,827</w:t>
            </w:r>
          </w:p>
        </w:tc>
      </w:tr>
      <w:tr>
        <w:trPr>
          <w:trHeight w:val="220"/>
        </w:trPr>
        <w:tc>
          <w:tcPr>
            <w:tcW w:w="2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65,250</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130,500</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195,750</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DeByle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353,401</w:t>
            </w: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143,406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430,218</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286,812</w:t>
            </w: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ROIC Award</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3/23/2021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145,915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437,745</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291,830</w:t>
            </w:r>
          </w:p>
        </w:tc>
      </w:tr>
      <w:tr>
        <w:trPr>
          <w:trHeight w:val="216"/>
        </w:trPr>
        <w:tc>
          <w:tcPr>
            <w:tcW w:w="2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180,250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540,750</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20" w:right="20" w:hanging="412"/>
        <w:spacing w:after="0" w:line="258"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21" w:lineRule="exact"/>
        <w:rPr>
          <w:rFonts w:ascii="Times New Roman" w:cs="Times New Roman" w:eastAsia="Times New Roman" w:hAnsi="Times New Roman"/>
          <w:sz w:val="18"/>
          <w:szCs w:val="18"/>
          <w:color w:val="auto"/>
        </w:rPr>
      </w:pPr>
    </w:p>
    <w:p>
      <w:pPr>
        <w:ind w:left="420" w:right="100" w:hanging="412"/>
        <w:spacing w:after="0" w:line="258" w:lineRule="auto"/>
        <w:tabs>
          <w:tab w:leader="none" w:pos="3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as computed in accordance with FASB ASC Topic 718. The grant date fair value of TSR Awards was determined using a Monte Carlo simulation model. The grant date fair value of ROIC Awards was based on the closing price of our stock on the date of grant. The PSUs vest over a three-year performance period. Additional information regarding the PSUs are set forth under Note 16 of the Notes to Consolidated Financial Statements included in our Annual Report on Form 10-K for the year ended December 31, 2021 filed with the SEC on March 11, 2022.</w:t>
      </w:r>
    </w:p>
    <w:p>
      <w:pPr>
        <w:spacing w:after="0" w:line="21" w:lineRule="exact"/>
        <w:rPr>
          <w:rFonts w:ascii="Times New Roman" w:cs="Times New Roman" w:eastAsia="Times New Roman" w:hAnsi="Times New Roman"/>
          <w:sz w:val="18"/>
          <w:szCs w:val="18"/>
          <w:color w:val="auto"/>
        </w:rPr>
      </w:pPr>
    </w:p>
    <w:p>
      <w:pPr>
        <w:ind w:left="420" w:right="180" w:hanging="412"/>
        <w:spacing w:after="0" w:line="281"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“Compensation Discussion &amp; Analysis — What We Pay and Why: Elements of Compensation — Long-Term Incentive Compensation” for additional information regarding our PSUs, including information regarding performance criteria.</w:t>
      </w:r>
    </w:p>
    <w:p>
      <w:pPr>
        <w:spacing w:after="0" w:line="1" w:lineRule="exact"/>
        <w:rPr>
          <w:rFonts w:ascii="Times New Roman" w:cs="Times New Roman" w:eastAsia="Times New Roman" w:hAnsi="Times New Roman"/>
          <w:sz w:val="18"/>
          <w:szCs w:val="18"/>
          <w:color w:val="auto"/>
        </w:rPr>
      </w:pPr>
    </w:p>
    <w:p>
      <w:pPr>
        <w:ind w:left="420" w:right="340" w:hanging="412"/>
        <w:spacing w:after="0" w:line="282" w:lineRule="auto"/>
        <w:tabs>
          <w:tab w:leader="none" w:pos="3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as computed in accordance with ASC Topic 718. Shares of restricted stock vest over a period of three years beginning on the first anniversary of the date of grant.</w:t>
      </w: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8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as of December 31, 2021.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3"/>
          </w:tcPr>
          <w:p>
            <w:pPr>
              <w:jc w:val="right"/>
              <w:ind w:right="849"/>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29"/>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9"/>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8"/>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r>
      <w:tr>
        <w:trPr>
          <w:trHeight w:val="148"/>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Number of Shares or</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or Units of</w:t>
            </w:r>
          </w:p>
        </w:tc>
      </w:tr>
      <w:tr>
        <w:trPr>
          <w:trHeight w:val="148"/>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Underlying Unexercised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Option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Units of Stock That</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 That Have Not</w:t>
            </w:r>
          </w:p>
        </w:tc>
      </w:tr>
      <w:tr>
        <w:trPr>
          <w:trHeight w:val="148"/>
        </w:trPr>
        <w:tc>
          <w:tcPr>
            <w:tcW w:w="250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Exercisable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Unearned 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66"/>
        </w:trPr>
        <w:tc>
          <w:tcPr>
            <w:tcW w:w="250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Award Type</w:t>
            </w:r>
          </w:p>
        </w:tc>
        <w:tc>
          <w:tcPr>
            <w:tcW w:w="1120" w:type="dxa"/>
            <w:vAlign w:val="bottom"/>
            <w:gridSpan w:val="2"/>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260" w:type="dxa"/>
            <w:vAlign w:val="bottom"/>
            <w:gridSpan w:val="3"/>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54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60" w:type="dxa"/>
            <w:vAlign w:val="bottom"/>
            <w:gridSpan w:val="3"/>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r>
      <w:tr>
        <w:trPr>
          <w:trHeight w:val="29"/>
        </w:trPr>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Veltman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2014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10/20/2024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2019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166,124</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TSR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219,744</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ROIC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249,190</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81,458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333,978</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TSR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67,182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275,446</w:t>
            </w:r>
          </w:p>
        </w:tc>
      </w:tr>
      <w:tr>
        <w:trPr>
          <w:trHeight w:val="219"/>
        </w:trPr>
        <w:tc>
          <w:tcPr>
            <w:tcW w:w="2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ROIC Award</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81,458</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333,978</w:t>
            </w: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Felcher</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2019 Option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18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color w:val="auto"/>
              </w:rPr>
              <w:t>3/14/2029</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2020 Option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18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color w:val="auto"/>
              </w:rPr>
              <w:t>2/18/2030</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2020 RS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12,489</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2021 RS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64,661</w:t>
            </w:r>
          </w:p>
        </w:tc>
      </w:tr>
      <w:tr>
        <w:trPr>
          <w:trHeight w:val="2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Buchan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2014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10/20/2024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2015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4/30/2025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2016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3/16/2026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2017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3/17/2027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2018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3/14/2028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2019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3/14/2029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2019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18,643</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41,016</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TSR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54,255</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ROIC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61,529</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82,566</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TSR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68,097</w:t>
            </w:r>
          </w:p>
        </w:tc>
      </w:tr>
      <w:tr>
        <w:trPr>
          <w:trHeight w:val="220"/>
        </w:trPr>
        <w:tc>
          <w:tcPr>
            <w:tcW w:w="2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ROIC Award</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20,138</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82,566</w:t>
            </w: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Heiter</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2019 RS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17,339</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2020 RS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37,638</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2020 TSR Award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49,786</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2020 ROIC Award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56,461</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2021 RS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75,924</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2021 TSR Award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62,615</w:t>
            </w: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2021 ROIC Award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75,924</w:t>
            </w:r>
          </w:p>
        </w:tc>
      </w:tr>
      <w:tr>
        <w:trPr>
          <w:trHeight w:val="2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 Nixon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2012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3/21/2022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2013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3/25/2023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2014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3/19/2024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2017 Option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180" w:type="dxa"/>
            <w:vAlign w:val="bottom"/>
            <w:gridSpan w:val="3"/>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3/17/2027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2019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10,033</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TSR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23,649</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2020 ROIC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26,818</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35,777</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TSR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29,508</w:t>
            </w:r>
          </w:p>
        </w:tc>
      </w:tr>
      <w:tr>
        <w:trPr>
          <w:trHeight w:val="216"/>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2021 ROIC Award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35,777</w:t>
            </w:r>
          </w:p>
        </w:tc>
      </w:tr>
      <w:tr>
        <w:trPr>
          <w:trHeight w:val="24"/>
        </w:trPr>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ectPr>
          <w:pgSz w:w="11900" w:h="16838" w:orient="portrait"/>
          <w:cols w:equalWidth="0" w:num="1">
            <w:col w:w="11240"/>
          </w:cols>
          <w:pgMar w:left="320" w:top="1093" w:right="339" w:bottom="1440" w:gutter="0" w:footer="0" w:header="0"/>
        </w:sectPr>
      </w:pPr>
    </w:p>
    <w:p>
      <w:pPr>
        <w:spacing w:after="0" w:line="33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093" w:right="339" w:bottom="1440" w:gutter="0" w:footer="0" w:header="0"/>
          <w:type w:val="continuous"/>
        </w:sectPr>
      </w:pPr>
    </w:p>
    <w:bookmarkStart w:id="45" w:name="page46"/>
    <w:bookmarkEnd w:id="45"/>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vest in three equal annual installments beginning on the first anniversary of the date of grant.</w:t>
      </w:r>
    </w:p>
    <w:p>
      <w:pPr>
        <w:spacing w:after="0" w:line="63" w:lineRule="exact"/>
        <w:rPr>
          <w:rFonts w:ascii="Times New Roman" w:cs="Times New Roman" w:eastAsia="Times New Roman" w:hAnsi="Times New Roman"/>
          <w:sz w:val="18"/>
          <w:szCs w:val="18"/>
          <w:color w:val="auto"/>
        </w:rPr>
      </w:pPr>
    </w:p>
    <w:p>
      <w:pPr>
        <w:ind w:left="420" w:right="40" w:hanging="412"/>
        <w:spacing w:after="0" w:line="266"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vest in three equal annual installments beginning on the first anniversary of the date of grant. Performance share units granted on February 18, 2020 and March 23, 2021 will, subject to the achievement of the performance goals applicable thereto, vest on December 31, 2022 and December 31, 2023, respectively.</w:t>
      </w:r>
    </w:p>
    <w:p>
      <w:pPr>
        <w:spacing w:after="0" w:line="13" w:lineRule="exact"/>
        <w:rPr>
          <w:rFonts w:ascii="Times New Roman" w:cs="Times New Roman" w:eastAsia="Times New Roman" w:hAnsi="Times New Roman"/>
          <w:sz w:val="18"/>
          <w:szCs w:val="18"/>
          <w:color w:val="auto"/>
        </w:rPr>
      </w:pPr>
    </w:p>
    <w:p>
      <w:pPr>
        <w:ind w:left="420" w:right="160" w:hanging="412"/>
        <w:spacing w:after="0" w:line="282" w:lineRule="auto"/>
        <w:tabs>
          <w:tab w:leader="none" w:pos="4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unvested shares of restricted stock and unvested shares issuable in respect of PSUs is based on the closing price of our common stock on December 31, 2021, which was $4.10 and, with respect to PSUs, assumes target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option exercises and stock vesting as of December 31, 2021.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720" w:type="dxa"/>
            <w:vAlign w:val="bottom"/>
            <w:gridSpan w:val="3"/>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3"/>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36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14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2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Value Realized on</w:t>
            </w: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182,271</w:t>
            </w: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42,876</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387,333</w:t>
            </w: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355,859</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132,132</w:t>
            </w: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DeByle</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83,656</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 with Named Executive Officers</w:t>
      </w:r>
    </w:p>
    <w:p>
      <w:pPr>
        <w:spacing w:after="0" w:line="121"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Each of our named executive officers has either a separation agreement or a written employment agreement to serve in his respective position that extends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either (i) eighteen months, or (ii) twelve months, subject to the increase noted below,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agreements for each of our named executive officers also include a non-competition term that ends two years after the conclusion of each executive’s employment with the Company.</w:t>
      </w:r>
    </w:p>
    <w:p>
      <w:pPr>
        <w:spacing w:after="0" w:line="192"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(except for Mr. Felcher) will receive: (i) a lump sum payment equal to the sum of two-times the named executive officer’s base salary (as of the date of termination) plus the named executive officer’s median bonus available at a specified percentage (target or below); (ii) a lump sum payment equal to the target annual bonus to which the named executive officer would have been entitled for the year of termination, if any, pro-rated for the portion of the year during which the named executive officer was employed with the Company; and (iii) a lump sum payment of $12,000 as a transition assistance payment. Mr. Felcher will receive (i) a lump sum payment equal to the sum of one and a half times his base salary (as of the date of termination) plus 50% of Mr. Felcher’s target bonus; (ii) a lump sum payment equal to the target annual bonus to which Mr. Felcher would have been entitled for the year of termination, if any, pro-rated for the portion of the year during which he was employed with the Company; and (iii) a lump sum payment of $12,000 as a transition assistance payment.</w:t>
      </w:r>
    </w:p>
    <w:p>
      <w:pPr>
        <w:spacing w:after="0" w:line="200" w:lineRule="exact"/>
        <w:rPr>
          <w:sz w:val="20"/>
          <w:szCs w:val="20"/>
          <w:color w:val="auto"/>
        </w:rPr>
      </w:pPr>
    </w:p>
    <w:p>
      <w:pPr>
        <w:spacing w:after="0" w:line="21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985" w:right="339" w:bottom="1440" w:gutter="0" w:footer="0" w:header="0"/>
        </w:sectPr>
      </w:pPr>
    </w:p>
    <w:bookmarkStart w:id="46" w:name="page47"/>
    <w:bookmarkEnd w:id="46"/>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compensation each named executive officer would have received under their respective agreements had a change in control and the termination of the executive’s service occurred, each as of December 31,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And</w:t>
            </w:r>
          </w:p>
        </w:tc>
        <w:tc>
          <w:tcPr>
            <w:tcW w:w="136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1360" w:type="dxa"/>
            <w:vAlign w:val="bottom"/>
          </w:tcPr>
          <w:p>
            <w:pPr>
              <w:spacing w:after="0"/>
              <w:rPr>
                <w:sz w:val="14"/>
                <w:szCs w:val="14"/>
                <w:color w:val="auto"/>
              </w:rPr>
            </w:pPr>
          </w:p>
        </w:tc>
      </w:tr>
      <w:tr>
        <w:trPr>
          <w:trHeight w:val="159"/>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46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88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1360" w:type="dxa"/>
            <w:vAlign w:val="bottom"/>
          </w:tcPr>
          <w:p>
            <w:pPr>
              <w:jc w:val="right"/>
              <w:ind w:right="435"/>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7"/>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4,023,012</w:t>
            </w: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810,750</w:t>
            </w:r>
          </w:p>
        </w:tc>
        <w:tc>
          <w:tcPr>
            <w:tcW w:w="100" w:type="dxa"/>
            <w:vAlign w:val="bottom"/>
          </w:tcPr>
          <w:p>
            <w:pPr>
              <w:spacing w:after="0"/>
              <w:rPr>
                <w:sz w:val="21"/>
                <w:szCs w:val="21"/>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887,900</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Buchan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408,672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1,703,922</w:t>
            </w: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Heiter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1,212,000</w:t>
            </w:r>
          </w:p>
        </w:tc>
        <w:tc>
          <w:tcPr>
            <w:tcW w:w="100" w:type="dxa"/>
            <w:vAlign w:val="bottom"/>
          </w:tcPr>
          <w:p>
            <w:pPr>
              <w:spacing w:after="0"/>
              <w:rPr>
                <w:sz w:val="21"/>
                <w:szCs w:val="21"/>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375,687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1,587,687</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1,032,438</w:t>
            </w:r>
          </w:p>
        </w:tc>
      </w:tr>
      <w:tr>
        <w:trPr>
          <w:trHeight w:val="3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90" w:lineRule="exact"/>
        <w:rPr>
          <w:sz w:val="20"/>
          <w:szCs w:val="20"/>
          <w:color w:val="auto"/>
        </w:rPr>
      </w:pPr>
    </w:p>
    <w:p>
      <w:pPr>
        <w:ind w:left="420" w:right="20" w:hanging="412"/>
        <w:spacing w:after="0" w:line="255" w:lineRule="auto"/>
        <w:tabs>
          <w:tab w:leader="none" w:pos="4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acceleration is calculated based on the difference between: (a) the market value of the shares of common stock underlying the above named executive officer’s unvested options on December 31, 2021, and (b) the exercise price of the unvested options held by such executive officer. The market value as of December 31, 2021 is deemed to have been $4.10 per share, which is the closing sale price of our common stock reported for transactions effected on the Nasdaq Global Select Market on December 31, 2021. Mr. Buchan held unvested options as of December 31, 2021 with an exercise price of $7.93 per share. Mr. Felcher held unvested options as of December 31, 2021 with exercise prices of $7.93 per share and $9.44 per share. However, no compensation is reflected in this column for Messrs. Buchan's and Felcher's unvested options since the exercise price of such unvested options is greater than the market value.</w:t>
      </w:r>
    </w:p>
    <w:p>
      <w:pPr>
        <w:spacing w:after="0" w:line="26" w:lineRule="exact"/>
        <w:rPr>
          <w:rFonts w:ascii="Times New Roman" w:cs="Times New Roman" w:eastAsia="Times New Roman" w:hAnsi="Times New Roman"/>
          <w:sz w:val="18"/>
          <w:szCs w:val="18"/>
          <w:color w:val="auto"/>
        </w:rPr>
      </w:pPr>
    </w:p>
    <w:p>
      <w:pPr>
        <w:ind w:left="420" w:right="60" w:hanging="412"/>
        <w:spacing w:after="0" w:line="256" w:lineRule="auto"/>
        <w:tabs>
          <w:tab w:leader="none" w:pos="4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acceleration is calculated based on the market value of the above named executive officers’ unvested restricted stock and performance share units on December 31, 2021. The market value as of December 31, 2021 is deemed to have been $4.10 per share, which is the closing sale price of our common stock reported for transactions effected on the Nasdaq Global Select Market on December 31, 2021.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All compensation decisions during the fiscal year ended December 31, 2021 for each of the named executive officers were made by the Compensation Committee, consisting of, from time to time, Messrs. Benvenuti, Brunner, Doctors Gautam and Kuran and Ms. Harman,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For 2021, the annualized total compensation of Mr. Veltman as CEO was $3,289,451, and the median of the annual total compensation of all employees, other than the CEO, was $16,693, resulting in a ratio of 197:1, or the Pay Ratio.</w:t>
      </w:r>
    </w:p>
    <w:p>
      <w:pPr>
        <w:spacing w:after="0" w:line="162"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In determining the median employee, we collected information regarding gross earnings for all 3,415 employees of the Company and its consolidated subsidiaries as of December 31, 2021 for the period beginning January 1, 2021 and ending December 31, 2021. A substantial majority of our employees work outside the United States, including the median employee. Gross earnings generally included an employee’s actual income, including base wages, overtime, bonuses and other cash incentives. We converted earnings paid in local currencies to U.S. dollars by applying the exchange rate at December 31, 2021.</w:t>
      </w:r>
    </w:p>
    <w:p>
      <w:pPr>
        <w:spacing w:after="0" w:line="183"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We did not utilize the “de minimis” exception, statistical sampling or other similar methods, or any cost-of-living adjustment, as permitted by applicable SEC regulations, in calculating the Pay Ratio.</w:t>
      </w:r>
    </w:p>
    <w:p>
      <w:pPr>
        <w:spacing w:after="0" w:line="16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093"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III: RATIFICATION OF SELECTION OF OUR REGISTERED INDEPENDENT PUBLIC ACCOUNTING FIRM</w:t>
      </w:r>
    </w:p>
    <w:p>
      <w:pPr>
        <w:spacing w:after="0" w:line="121"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Grant Thornton LLP (“Grant Thornton”) has been selected by the Audit Committee as our registered independent public accounting firm for 2022. Although it is not required to do so, the Board has determined that it is desirable to seek stockholders’ ratification of the selection Grant Thornton. If the stockholders should not ratify the appointment of Grant Thornton, the Audit Committee will reconsider the appointment. Representatives of Grant Thornton will not be present at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Registered Independent Public Accounting Firm</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sets forth the aggregate fees and expenses billed by Grant Thornton for fiscal years 2021 and 2020.</w:t>
      </w:r>
    </w:p>
    <w:p>
      <w:pPr>
        <w:spacing w:after="0" w:line="16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1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6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6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5"/>
        </w:trPr>
        <w:tc>
          <w:tcPr>
            <w:tcW w:w="1820" w:type="dxa"/>
            <w:vAlign w:val="bottom"/>
            <w:shd w:val="clear" w:color="auto" w:fill="CCEEFF"/>
          </w:tcPr>
          <w:p>
            <w:pPr>
              <w:ind w:left="1320"/>
              <w:spacing w:after="0" w:line="205" w:lineRule="exact"/>
              <w:rPr>
                <w:sz w:val="20"/>
                <w:szCs w:val="20"/>
                <w:color w:val="auto"/>
              </w:rPr>
            </w:pPr>
            <w:r>
              <w:rPr>
                <w:rFonts w:ascii="Times New Roman" w:cs="Times New Roman" w:eastAsia="Times New Roman" w:hAnsi="Times New Roman"/>
                <w:sz w:val="18"/>
                <w:szCs w:val="18"/>
                <w:color w:val="auto"/>
              </w:rPr>
              <w:t>Audit</w:t>
            </w:r>
          </w:p>
        </w:tc>
        <w:tc>
          <w:tcPr>
            <w:tcW w:w="18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41"/>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18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1,442,234</w:t>
            </w: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1,999,657</w:t>
            </w:r>
          </w:p>
        </w:tc>
      </w:tr>
      <w:tr>
        <w:trPr>
          <w:trHeight w:val="225"/>
        </w:trPr>
        <w:tc>
          <w:tcPr>
            <w:tcW w:w="18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Audit-</w:t>
            </w:r>
          </w:p>
        </w:tc>
        <w:tc>
          <w:tcPr>
            <w:tcW w:w="1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Fees</w:t>
            </w:r>
          </w:p>
        </w:tc>
        <w:tc>
          <w:tcPr>
            <w:tcW w:w="1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1,013,807</w:t>
            </w:r>
          </w:p>
        </w:tc>
      </w:tr>
      <w:tr>
        <w:trPr>
          <w:trHeight w:val="27"/>
        </w:trPr>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18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Tax</w:t>
            </w:r>
          </w:p>
        </w:tc>
        <w:tc>
          <w:tcPr>
            <w:tcW w:w="18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1"/>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18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36,662</w:t>
            </w:r>
          </w:p>
        </w:tc>
      </w:tr>
      <w:tr>
        <w:trPr>
          <w:trHeight w:val="225"/>
        </w:trPr>
        <w:tc>
          <w:tcPr>
            <w:tcW w:w="18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All</w:t>
            </w:r>
          </w:p>
        </w:tc>
        <w:tc>
          <w:tcPr>
            <w:tcW w:w="1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1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152,101</w:t>
            </w:r>
          </w:p>
        </w:tc>
      </w:tr>
      <w:tr>
        <w:trPr>
          <w:trHeight w:val="27"/>
        </w:trPr>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182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1,452,584</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3,202,227</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1296"/>
        <w:spacing w:after="0" w:line="277" w:lineRule="auto"/>
        <w:rPr>
          <w:sz w:val="20"/>
          <w:szCs w:val="20"/>
          <w:color w:val="auto"/>
        </w:rPr>
      </w:pPr>
      <w:r>
        <w:rPr>
          <w:rFonts w:ascii="Times New Roman" w:cs="Times New Roman" w:eastAsia="Times New Roman" w:hAnsi="Times New Roman"/>
          <w:sz w:val="17"/>
          <w:szCs w:val="17"/>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subscriptions to online accounting and tax information services.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Audit Committee pre-approves all audit and permissible non-audit services to be provided to us by its registered independent public accounting firm prior to commencement of services. The Chair of the Audit Committee has the authority to pre-approve such services, and these pre-approved decisions are presented to the full Audit Committee at its next scheduled meeting. All of the audit and tax services by Grant Thornton were pre-approved in accordance with the Audit Committee’s policies and procedures.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3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089" w:right="35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 TO STOCKHOLDERS</w:t>
      </w:r>
    </w:p>
    <w:p>
      <w:pPr>
        <w:spacing w:after="0" w:line="121"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80"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Grant Thornton LLP, our registered independent public accounting firm, the audited financial statements of the Company for 2021; has discussed with Grant Thornton LLP matters required to be discussed by Public Company Accounting Oversight Board (PCAOB) standards; has received the written disclosures and the letter from Grant Thornton LLP required by the applicable requirements of the PCAOB regarding its communications with the Audit Committee concerning independence; and has discussed with Grant Thornton LLP their independence from the Company, including whether Grant Thornton LLP’s provision of non-audit services to the Company was compatible with maintaining Grant Thornton LLP’s independence. Based on the review and discussions described above, the Audit Committee recommended to the Board that the audited financial statements be included in our Annual Report on Form 10-K for the fiscal year ended December 31, 2021, which was filed with the SEC on March 11, 2022.</w:t>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Thomas H Wilson, Jr., Chair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João Faria</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Dr. Rajeev Gautam</w:t>
      </w:r>
    </w:p>
    <w:p>
      <w:pPr>
        <w:spacing w:after="0" w:line="207" w:lineRule="exact"/>
        <w:rPr>
          <w:sz w:val="20"/>
          <w:szCs w:val="20"/>
          <w:color w:val="auto"/>
        </w:rPr>
      </w:pPr>
    </w:p>
    <w:p>
      <w:pPr>
        <w:ind w:right="220" w:firstLine="8"/>
        <w:spacing w:after="0" w:line="282" w:lineRule="auto"/>
        <w:tabs>
          <w:tab w:leader="none" w:pos="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the foregoing Audit Committee report is not “soliciting material,” is not deemed “filed” with the SEC, and is not to be incorporated by reference into any of our filings under the Securities Act or the Exchange Act, whether made before or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1089" w:right="379" w:bottom="1440" w:gutter="0" w:footer="0" w:header="0"/>
        </w:sectPr>
      </w:pPr>
    </w:p>
    <w:bookmarkStart w:id="49" w:name="page50"/>
    <w:bookmarkEnd w:id="4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2021 is being mailed together with this Proxy Statement or made accessible pursuant to the instructions contained in the Notice of Internet Availability. Exhibits to our Annual Report on Form 10-K may be obtained by contacting our Secretary at 6210 Ardrey Kell Road, Suite 600, Charlotte, North Carolina 28277.</w:t>
      </w:r>
    </w:p>
    <w:p>
      <w:pPr>
        <w:spacing w:after="0" w:line="176"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1089" w:right="519" w:bottom="1440" w:gutter="0" w:footer="0" w:header="0"/>
        </w:sectPr>
      </w:pPr>
    </w:p>
    <w:bookmarkStart w:id="50" w:name="page51"/>
    <w:bookmarkEnd w:id="50"/>
    <w:p>
      <w:pPr>
        <w:spacing w:after="0" w:line="2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94615</wp:posOffset>
            </wp:positionV>
            <wp:extent cx="150876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87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Matthew S. Heiter</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w:t>
      </w:r>
    </w:p>
    <w:p>
      <w:pPr>
        <w:spacing w:after="0" w:line="1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April 15, 2022</w:t>
      </w:r>
    </w:p>
    <w:p>
      <w:pPr>
        <w:spacing w:after="0" w:line="343"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STOCKHOLDERS ARE REQUESTED TO MARK, DATE AND SIGN THE ENCLOSED PROXY CARD AND RETURN IT IN THE ENCLOSED ENVELOPE. YOUR PROMPT RESPONSE WILL BE HELPFUL, AND YOUR COOPERATION WILL BE APPRECIATED.</w:t>
      </w:r>
    </w:p>
    <w:p>
      <w:pPr>
        <w:spacing w:after="0" w:line="1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20"/>
          </w:cols>
          <w:pgMar w:left="320" w:top="1440" w:right="7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Omnibus Incentive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Purpose.</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plan shall be known as the “NN, Inc. 2022 Omnibus Incentive Plan” (the “Plan”). The purpose of the Plan is to promote the interests of NN,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22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Appreciation Award</w:t>
      </w:r>
      <w:r>
        <w:rPr>
          <w:rFonts w:ascii="Times New Roman" w:cs="Times New Roman" w:eastAsia="Times New Roman" w:hAnsi="Times New Roman"/>
          <w:sz w:val="18"/>
          <w:szCs w:val="18"/>
          <w:color w:val="auto"/>
        </w:rPr>
        <w:t>” means an Award that is payable in Shares and that accretes value only if the Fair Market Value of a Share increases above an amount stated upon the grant date of the Award, which amount shall not be less than the Fair Market Value of a Share on the applicable grant date. Options and SARs are examples of Appreciation Awards.</w:t>
      </w:r>
    </w:p>
    <w:p>
      <w:pPr>
        <w:spacing w:after="0" w:line="171"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Option, Stock Appreciation Right, Restricted Share Award, Restricted Share Unit, Performance Award, or Other Stock-Based Award granted under the Plan, whether singly, in combination or in tandem, to a Participant by the Committee pursuant to such terms, conditions, restrictions and/or limitations, if any, as the Committee may establish.</w:t>
      </w:r>
    </w:p>
    <w:p>
      <w:pPr>
        <w:spacing w:after="0" w:line="171"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any written agreement, contract or other instrument or document evidencing any Award, which may, but need not, be executed or acknowledged by a Participant.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(i) conviction of, or plea of nolo contendere by, the Participant under applicable law of a felony or any crime involving moral turpitude; (ii) unauthorized acts intended to result in the Participant’s personal enrichment at the material expense of the Company or a Subsidiary or Affiliate; (iii) any willful breach of any written policy of the Company or a Subsidiary or Affiliate; or (iv) any violation of the Participant’s duties or responsibilities to the Company or a Subsidiary or Affiliate which constitutes willful misconduct or dereliction of duty. For purposes of this definition,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unless otherwise provided in the applicable Award Agreement, the happening of one of the following:</w:t>
      </w:r>
    </w:p>
    <w:p>
      <w:pPr>
        <w:spacing w:after="0" w:line="229" w:lineRule="exact"/>
        <w:rPr>
          <w:sz w:val="20"/>
          <w:szCs w:val="20"/>
          <w:color w:val="auto"/>
        </w:rPr>
      </w:pPr>
    </w:p>
    <w:p>
      <w:pPr>
        <w:ind w:left="660" w:right="240" w:firstLine="644"/>
        <w:spacing w:after="0" w:line="256" w:lineRule="auto"/>
        <w:tabs>
          <w:tab w:leader="none" w:pos="15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other than a trustee or other fiduciary holding securities of the Company under an employee benefit plan maintained by the Company or any corporation owned, directly or indirectly, by the Company’s stockholders in substantially the same proportions as their ownership of the Company’s stock, becomes the “beneficial owner” (as defined in Rule 13d-3 under the Exchange Act), directly or indirectly, of securities of the Company representing 30% or more of the total combined voting power of the Company’s then-outstanding securities pursuant to a tender or exchange offer made directly to the Company’s stockholders and which the Board does not recommend such stockholders to accept;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981" w:right="339" w:bottom="1440" w:gutter="0" w:footer="0" w:header="0"/>
        </w:sectPr>
      </w:pPr>
    </w:p>
    <w:bookmarkStart w:id="52" w:name="page53"/>
    <w:bookmarkEnd w:id="52"/>
    <w:p>
      <w:pPr>
        <w:ind w:left="660" w:right="380" w:firstLine="644"/>
        <w:spacing w:after="0" w:line="282" w:lineRule="auto"/>
        <w:tabs>
          <w:tab w:leader="none" w:pos="15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directors, whose election or nomination for election is not approved by a majority of the members of the Incumbent Board then serving as members of the Board, are elected within any single 24-month period to serve on the Board; or</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w:t>
      </w:r>
    </w:p>
    <w:p>
      <w:pPr>
        <w:spacing w:after="0" w:line="225" w:lineRule="exact"/>
        <w:rPr>
          <w:rFonts w:ascii="Times New Roman" w:cs="Times New Roman" w:eastAsia="Times New Roman" w:hAnsi="Times New Roman"/>
          <w:sz w:val="18"/>
          <w:szCs w:val="18"/>
          <w:color w:val="auto"/>
        </w:rPr>
      </w:pPr>
    </w:p>
    <w:p>
      <w:pPr>
        <w:ind w:left="1300" w:right="640" w:firstLine="652"/>
        <w:spacing w:after="0" w:line="282" w:lineRule="auto"/>
        <w:tabs>
          <w:tab w:leader="none" w:pos="21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tender or exchange offer, reorganization, merger or other business combination or contested election, or any combination of the foregoing involving the Company, unless:</w:t>
      </w:r>
    </w:p>
    <w:p>
      <w:pPr>
        <w:spacing w:after="0" w:line="161" w:lineRule="exact"/>
        <w:rPr>
          <w:rFonts w:ascii="Times New Roman" w:cs="Times New Roman" w:eastAsia="Times New Roman" w:hAnsi="Times New Roman"/>
          <w:sz w:val="18"/>
          <w:szCs w:val="18"/>
          <w:color w:val="auto"/>
        </w:rPr>
      </w:pPr>
    </w:p>
    <w:p>
      <w:pPr>
        <w:ind w:left="1960" w:right="300" w:firstLine="640"/>
        <w:spacing w:after="0" w:line="261" w:lineRule="auto"/>
        <w:tabs>
          <w:tab w:leader="none" w:pos="290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immediately before such transaction or series of transactions, own, directly or indirectly immediately following such transactions, more than 50% of the combined voting power of the outstanding voting securities of the corporation resulting from such transactions in substantially the same proportion as their ownership of the voting securities immediately before such transactions;</w:t>
      </w:r>
    </w:p>
    <w:p>
      <w:pPr>
        <w:spacing w:after="0" w:line="179" w:lineRule="exact"/>
        <w:rPr>
          <w:rFonts w:ascii="Times New Roman" w:cs="Times New Roman" w:eastAsia="Times New Roman" w:hAnsi="Times New Roman"/>
          <w:sz w:val="18"/>
          <w:szCs w:val="18"/>
          <w:color w:val="auto"/>
        </w:rPr>
      </w:pPr>
    </w:p>
    <w:p>
      <w:pPr>
        <w:ind w:left="1960" w:firstLine="640"/>
        <w:spacing w:after="0" w:line="266" w:lineRule="auto"/>
        <w:tabs>
          <w:tab w:leader="none" w:pos="289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were members of the Incumbent Board immediately prior to the execution of the agreement providing for such transaction or series of transactions constitute a majority of the board of directors of the surviving corporation immediately following such transactions; and</w:t>
      </w:r>
    </w:p>
    <w:p>
      <w:pPr>
        <w:spacing w:after="0" w:line="175" w:lineRule="exact"/>
        <w:rPr>
          <w:rFonts w:ascii="Times New Roman" w:cs="Times New Roman" w:eastAsia="Times New Roman" w:hAnsi="Times New Roman"/>
          <w:sz w:val="18"/>
          <w:szCs w:val="18"/>
          <w:color w:val="auto"/>
        </w:rPr>
      </w:pPr>
    </w:p>
    <w:p>
      <w:pPr>
        <w:ind w:left="1960" w:right="60" w:firstLine="640"/>
        <w:spacing w:after="0" w:line="256" w:lineRule="auto"/>
        <w:tabs>
          <w:tab w:leader="none" w:pos="289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(I) the Company or any Subsidiary thereof, (II) any employee benefit plan (or any trust forming a part thereof) maintained by the Company, any Subsidiary thereof, or the surviving corporation, or (III) any person who, immediately prior to such transaction or series of transactions, had beneficial ownership of securities representing 30% or more of the combined voting power of the Company’s then-outstanding securities) has beneficial ownership of securities immediately following such transactions representing 30% or more of the combined voting power of the surviving corporation’s then outstanding voting securities;</w:t>
      </w:r>
    </w:p>
    <w:p>
      <w:pPr>
        <w:spacing w:after="0" w:line="187" w:lineRule="exact"/>
        <w:rPr>
          <w:sz w:val="20"/>
          <w:szCs w:val="20"/>
          <w:color w:val="auto"/>
        </w:rPr>
      </w:pPr>
    </w:p>
    <w:p>
      <w:pPr>
        <w:ind w:left="1560" w:hanging="256"/>
        <w:spacing w:after="0"/>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assets of the Company to any person (other than a transfer to a</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w:t>
      </w:r>
    </w:p>
    <w:p>
      <w:pPr>
        <w:spacing w:after="0" w:line="2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For purposes of this definition,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means those persons who either (A) have been members of the Board since the Effective Date or (B) are new directors whose election by the Board or nomination for election by the stockholders of the Company was approved by a vote of at least three-fourths of the members of the Board then in office who either were directors described in clause (A) hereof or whose election or nomination for election was previously so approved, provided that an individual whose election or nomination for election is approved as a result of either an actual or threatened election contest or proxy contest, including by reason of any agreement intended to avoid or settle any election contest or proxy contest, will be deemed not to have been so approved for purposes of this definition.</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applicable Award Agreement, 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 No Award Agreement shall define a Change in Control in such a manner that a Change in Control would be deemed to occur prior to the actual consummation of the event or transaction that results in a change in control of the Company (e.g., upon the announcement, commencement, or stockholder approval of any event or transaction that, if completed, would result in a change in control of the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the Board composed of not less than two Non-Employee Directors, each of whom shall be (i) a “non-employee director” for purposes of Exchange Act Section 16 and Rule 16b-3 thereunder, and (ii) “independent” within the meaning of the listing standards of the Nasdaq Stock Market (or such other such market or exchange as is the principal trading market for the Shares) and the rules and regulations of the SEC.</w:t>
      </w:r>
    </w:p>
    <w:p>
      <w:pPr>
        <w:spacing w:after="0" w:line="176"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consultant to the Company or its Affiliates, provided that such person is a natural person and that such services are not in connection with the offer or sale of securities in a capital-raising transaction and do not directly or indirectly promote or maintain a market for any securities of the Company.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985"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unless otherwise defined in the applicable Award Agreement, a disability that would qualify as a total and permanent disability under the Company’s then current long-term disability plan; provided, that solely for the purpose of determining the timing of any payments pursuant to any Awards constituting a “deferral of compensation” subject to Section 409A of the Code, unless otherwise defined in the applicable Award Agreement, the term “Disability” shall have the meaning set forth in Section 409A of the Code.</w:t>
      </w:r>
    </w:p>
    <w:p>
      <w:pPr>
        <w:spacing w:after="0" w:line="176"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Early Retirement</w:t>
      </w:r>
      <w:r>
        <w:rPr>
          <w:rFonts w:ascii="Times New Roman" w:cs="Times New Roman" w:eastAsia="Times New Roman" w:hAnsi="Times New Roman"/>
          <w:sz w:val="18"/>
          <w:szCs w:val="18"/>
          <w:color w:val="auto"/>
        </w:rPr>
        <w:t>” means, unless otherwise provided in the applicable Award Agreement, retirement of a Participant with the express consent of the Committee at or before the time of such retirement, from active employment with the Company and any Subsidiary or Affiliate prior to age 55 and/or without ten years of continuous service, in accordance with any applicable retirement policy of the Company then in effect (or in effect at the time of a previous Change in Control) or as may be approved by the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provided in Section 16.1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 current or prospective officer or employee of the Company or of any Subsidiary or Affiliate.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22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with respect to the Shares, means, for purposes of a grant of an Award as of any date, (i) the reported closing sales price of the Shares on the Nasdaq Stock Market, or any other such market or exchange as is the principal trading market for the Shares, on such date, or in the absence of reported sales on such date, the closing sales price on the immediately preceding date on which sales were reported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p>
    <w:p>
      <w:pPr>
        <w:spacing w:after="0" w:line="17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the assignment to a Participant following a Change in Control of any duties inconsistent with the Participant’s duties, responsibilities, title, or any other action by the Company that results in a material diminution in the Participant’s annual compensation and other benefits, position, authority, duties or responsibilities, excluding in each case any assignment or action that is remedied by the Company within thirty days of receipt of notice from the Participant.</w:t>
      </w:r>
    </w:p>
    <w:p>
      <w:pPr>
        <w:spacing w:after="0" w:line="182"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Grant Price</w:t>
      </w:r>
      <w:r>
        <w:rPr>
          <w:rFonts w:ascii="Times New Roman" w:cs="Times New Roman" w:eastAsia="Times New Roman" w:hAnsi="Times New Roman"/>
          <w:sz w:val="18"/>
          <w:szCs w:val="18"/>
          <w:color w:val="auto"/>
        </w:rPr>
        <w:t>” means the price established at the time of grant of an SAR pursuant to Section 6 used to determine whether there is any payment due upon exercise of the SAR.</w:t>
      </w:r>
    </w:p>
    <w:p>
      <w:pPr>
        <w:spacing w:after="0" w:line="15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to purchase Shares from the Company that is granted under Section 6 of the Plan and that is intended to meet the requirements of Section 422 of the Code or any successor provision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member of the Board who is not an officer or employee of the Company or any Subsidiary or Affiliate.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to purchase Shares from the Company that is granted under Sections 6 or 10 of the Plan and is not intended to be an Incentive Stock Option.</w:t>
      </w:r>
    </w:p>
    <w:p>
      <w:pPr>
        <w:spacing w:after="0" w:line="15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unless otherwise defined in the applicable Award Agreement, retirement of a Participant from active employment with the Company or any of its Subsidiaries or Affiliates on or after such Participant’s 55th birthday and with ten years of continuous service, in accordance with any applicable retirement policy of the Company then in effect (or in effect at the time of a previous Change in Control) or as may be approved by the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Non-Qualified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purchase price payable to purchase one Share upon the exercise of an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any Award granted under Sections 9 or 10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with respect to the grant of an Award, a member of the Board then serving on the Committee.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20"/>
          </w:cols>
          <w:pgMar w:left="320" w:top="981" w:right="35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means the NN, Inc. Amended and Restated 2011 Stock Incentive Plan and/or the NN, Inc. 2016 Omnibus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any Employee, Director or Consultant who receives an Award under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any Award granted under Section 8 of the Plan.</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association, joint-stock company, trust, unincorporated organization, government or political subdivision thereof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means any Share granted under Section 7, 8 or 10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means any unit granted under Section 7, 8 or 10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Normal or Early Retirement.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successor thereto.</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means Section 16 of the Exchange Act and the rules promulgated thereunder and any successor provision thereto as in effect from time to time.</w:t>
      </w:r>
    </w:p>
    <w:p>
      <w:pPr>
        <w:spacing w:after="0" w:line="15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Separates from Service</w:t>
      </w:r>
      <w:r>
        <w:rPr>
          <w:rFonts w:ascii="Times New Roman" w:cs="Times New Roman" w:eastAsia="Times New Roman" w:hAnsi="Times New Roman"/>
          <w:sz w:val="18"/>
          <w:szCs w:val="18"/>
          <w:color w:val="auto"/>
        </w:rPr>
        <w:t>” shall have the meaning ascribed to such term pursuant to Section 409A of the Code and the regulations promulgated thereunder.</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shares of the common stock, par value $0.01 per share, of the Company, or any security into which such shares may be converted by reason of any event of the type referred to in Sections 4.2, 13.3 and 14.3.</w:t>
      </w:r>
    </w:p>
    <w:p>
      <w:pPr>
        <w:spacing w:after="0" w:line="15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has the meaning ascribed to such term pursuant to Section 409A of the Code and the regulations promulgated thereunder.</w:t>
      </w:r>
    </w:p>
    <w:p>
      <w:pPr>
        <w:spacing w:after="0" w:line="158"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 stock appreciation right granted under Section 6, 8 or 10 of the Plan that entitles the holder to receive, with respect to each Share encompassed by the exercise of such SAR, an amount equal to the excess of the Fair Market Value of such Share on the date of exercise over the Grant Price.</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Person (other than the Company) of which 50% or more of its voting power, its equity securities or equity interest is owned directly or indirectly by the Company.</w:t>
      </w:r>
    </w:p>
    <w:p>
      <w:pPr>
        <w:spacing w:after="0" w:line="15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means Awards granted solely in assumption of, or in substitution for, outstanding awards previously granted by a company acquired by the Company or with which the Company combines.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11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Authority of Committee</w:t>
      </w:r>
      <w:r>
        <w:rPr>
          <w:rFonts w:ascii="Times New Roman" w:cs="Times New Roman" w:eastAsia="Times New Roman" w:hAnsi="Times New Roman"/>
          <w:sz w:val="18"/>
          <w:szCs w:val="18"/>
          <w:color w:val="auto"/>
        </w:rPr>
        <w:t>. The Plan shall be administered by a Committee, which shall be appointed by and serve at the pleasure of the Board; provided, however, with respect to Awards to Outside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and final power and authority in its discretion (and in accordance with Section 409A of the Code with respect to Awards subject thereto) to: (i) designate Participants; (ii) determine eligibility for participation in the Plan and decide all questions concerning eligibility for and the amount of Awards under the Plan; (iii) determine the type or types of Awards to be granted to a Participant; (iv) determine the number of Shares to be covered by, or with respect to which payments, rights or other matters are to be calculated in connection with Awards; (v) determine the timing, terms, and conditions of any Award; (vi) accelerate the time at which all or any part of an Award may be settled or exercised; (vii)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(viii) determine whether, to what extent, and under what circumstances cash, Shares, other securities, other Awards, other property, and other amounts payable with respect to an Award shall be deferred either automatically or at the election of the holder thereof or of the Committee; (ix) grant Awards as an alternative to, or as the form of payment for grants or rights earned or payable under, other bonus or compensation plans, arrangements or policies of the Company or a Subsidiary or Affiliate; (x) grant Substitute Awards on such terms and conditions as the Committee may prescribe, subject to compliance with the Incentive Stock Option rules under Section 422 of the Code and the nonqualified deferred compensation rules under Section 409A of the Code, where applicable; (xi) make all determinations under the Plan concerning any Participant’s</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1220"/>
          </w:cols>
          <w:pgMar w:left="320" w:top="981" w:right="359" w:bottom="1440" w:gutter="0" w:footer="0" w:header="0"/>
          <w:type w:val="continuous"/>
        </w:sectPr>
      </w:pPr>
    </w:p>
    <w:bookmarkStart w:id="55" w:name="page56"/>
    <w:bookmarkEnd w:id="55"/>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Separation from Service with the Company or a Subsidiary or Affiliate, including whether such separation occurs by reason of Cause, Good Reason, Disability, Retirement, or in connection with a Change in Control and whether a leave constitutes a Separation from Service; (xii) interpret and administer the Plan and any instrument or agreement relating to, or Award made under, the Plan; (xiii) except to the extent prohibited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amend or modify the terms of any Award at or after grant; (xiv) establish, amend, suspend or waive such rules and regulations and appoint such agents as it shall deem appropriate for the proper administration of the Plan; (xv) adopt special guidelines and provisions for Persons who are residing in, employed in or subject to the taxes of any domestic or foreign jurisdiction to comply with applicable tax and securities laws of such domestic or foreign jurisdiction; and (xvi) correct any defect, supply any omission, or reconcile any inconsistency in the Plan or in any agreement related thereto or make any other determination and take any other action that the Committee deems necessary or desirable for the administration of the Plan, subject to the exclusive authority of the Board under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hereunder to amend or terminate the Plan.</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Committee Discretion Binding</w:t>
      </w:r>
      <w:r>
        <w:rPr>
          <w:rFonts w:ascii="Times New Roman" w:cs="Times New Roman" w:eastAsia="Times New Roman" w:hAnsi="Times New Roman"/>
          <w:sz w:val="18"/>
          <w:szCs w:val="18"/>
          <w:color w:val="auto"/>
        </w:rPr>
        <w:t>.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The Committee shall have no obligation to treat Participants or eligible Participants uniformly, and the Committee may make determinations under the Plan selectively among Participants who receive, or Employees, Directors or Consultants who are eligible to receive, Awards (whether or not such Participants or eligible Persons are similarly situated).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185" w:lineRule="exact"/>
        <w:rPr>
          <w:sz w:val="20"/>
          <w:szCs w:val="20"/>
          <w:color w:val="auto"/>
        </w:rPr>
      </w:pPr>
    </w:p>
    <w:p>
      <w:pPr>
        <w:ind w:right="260" w:firstLine="648"/>
        <w:spacing w:after="0" w:line="281"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i w:val="1"/>
          <w:iCs w:val="1"/>
          <w:color w:val="auto"/>
        </w:rPr>
        <w:t>Delegation</w:t>
      </w:r>
      <w:r>
        <w:rPr>
          <w:rFonts w:ascii="Times New Roman" w:cs="Times New Roman" w:eastAsia="Times New Roman" w:hAnsi="Times New Roman"/>
          <w:sz w:val="17"/>
          <w:szCs w:val="17"/>
          <w:color w:val="auto"/>
        </w:rPr>
        <w:t xml:space="preserve">. Subject to the terms of the Plan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or who are otherwise not subject to such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i w:val="1"/>
          <w:iCs w:val="1"/>
          <w:color w:val="auto"/>
        </w:rPr>
        <w:t>No Liability</w:t>
      </w:r>
      <w:r>
        <w:rPr>
          <w:rFonts w:ascii="Times New Roman" w:cs="Times New Roman" w:eastAsia="Times New Roman" w:hAnsi="Times New Roman"/>
          <w:sz w:val="18"/>
          <w:szCs w:val="18"/>
          <w:color w:val="auto"/>
        </w:rPr>
        <w:t>. No member of the Board or Committee shall be liable for any action taken or determination made in good faith with respect to the Plan or any Award granted hereunder.</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i w:val="1"/>
          <w:iCs w:val="1"/>
          <w:color w:val="auto"/>
        </w:rPr>
        <w:t>Minimum Vesting Period</w:t>
      </w:r>
      <w:r>
        <w:rPr>
          <w:rFonts w:ascii="Times New Roman" w:cs="Times New Roman" w:eastAsia="Times New Roman" w:hAnsi="Times New Roman"/>
          <w:sz w:val="18"/>
          <w:szCs w:val="18"/>
          <w:color w:val="auto"/>
        </w:rPr>
        <w:t xml:space="preserve">. Except for Substitute Awards, no portion of any Option or SAR Award shall have a vesting period of less than 12 months from the Grant Date; provided, however, that up to five percent (5%) of the number of Shares authorized for grant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may be subject to Options or SARs that do not meet the minimum vesting requirement set forth in the previous clause.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Shares Available for Awards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20" w:firstLine="656"/>
        <w:spacing w:after="0" w:line="256" w:lineRule="auto"/>
        <w:tabs>
          <w:tab w:leader="none" w:pos="8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 total of 3.7 million Shares shall be authorized for grant under the Plan, less one (1) Share for every Share that was subject to an option or stock appreciation right granted after March 31, 2022 under a Prior Plan and one and one-half (1.5) Shares for every Share that was subject to an award other than an option or stock appreciation right granted after March 31, 2022 under a Prior Plan, all of which Shares may be used for the granting of ISOs. Any Shares that are subject to Awards other than Options or Stock Appreciation Rights shall be counted against this limit by one and one-half (1.5) Shares for every one (1) Share granted. After the Effective Date, no awards may be granted under any Prior Plan.</w:t>
      </w:r>
    </w:p>
    <w:p>
      <w:pPr>
        <w:spacing w:after="0" w:line="187"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Shares subject to an Award are forfeited, an Award expires or an Award is settled for cash (in whole or in part), or (ii) after March 31, 2022, any Shares subject to an award under the Prior Plan are forfeited, an Award expires or an award under the Prior Plan is settled for cash (in whole or in part), the Shares subject to such Award or award under the Prior Plan shall, to the extent of such forfeiture, expiration or cash settlement, again be available for Awards under the Plan, in accordance with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below. Notwithstanding anything to the contrary contained herein, the following Shares shall not be added to the Shares authorized for grant under paragraph (a) of this Section: (I) Shares tendered by the Participant or withheld by the Company in payment of the purchase price of an Option or an option under a Prior Plan, or to satisfy any tax withholding obligation with respect to an Award or an award under a Prior Plan, and (II) Shares subject to a Stock Appreciation Right that are not issued in connection with the stock settlement of the Stock Appreciation Right on exercise thereof, or a stock appreciation right under a Prior Plan and (III) Shares reacquired by the Company on the open market or otherwise using cash proceeds from the exercise of Options or options granted under a Prior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985" w:right="339" w:bottom="1440" w:gutter="0" w:footer="0" w:header="0"/>
        </w:sectPr>
      </w:pPr>
    </w:p>
    <w:bookmarkStart w:id="56" w:name="page57"/>
    <w:bookmarkEnd w:id="56"/>
    <w:p>
      <w:pPr>
        <w:ind w:right="40" w:firstLine="656"/>
        <w:spacing w:after="0" w:line="253" w:lineRule="auto"/>
        <w:tabs>
          <w:tab w:leader="none" w:pos="8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shall not reduce the Shares authorized for grant under the Plan, nor shall Shares subject to a Substitute Award again be available for Awards under the Plan to the extent of any forfeiture, expiration or cash settlement as provided in paragraph (b) above.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shall only be made to individuals who were not Employees or Directors prior to such acquisition or combination, and shall otherwise comply with the applicable exemption from the stockholder approval requirements of the principle national securities market or exchange on which the Company’s Shares are listed.</w:t>
      </w:r>
    </w:p>
    <w:p>
      <w:pPr>
        <w:spacing w:after="0" w:line="191" w:lineRule="exact"/>
        <w:rPr>
          <w:rFonts w:ascii="Times New Roman" w:cs="Times New Roman" w:eastAsia="Times New Roman" w:hAnsi="Times New Roman"/>
          <w:sz w:val="18"/>
          <w:szCs w:val="18"/>
          <w:color w:val="auto"/>
        </w:rPr>
      </w:pPr>
    </w:p>
    <w:p>
      <w:pPr>
        <w:ind w:right="40" w:firstLine="656"/>
        <w:spacing w:after="0" w:line="261" w:lineRule="auto"/>
        <w:tabs>
          <w:tab w:leader="none" w:pos="9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that again become available for grant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added back as (i) one (1) Share for every Share subject to Options or Stock Appreciation Right granted under the Plan or options or stock appreciation rights granted under the Prior Plan, and (ii) as one and one-half (1.5) Shares for every Share subject to Awards other than Options or Stock Appreciation Rights granted under the Plan or awards other than options or stock appreciation rights granted under the Prior Plan.</w:t>
      </w:r>
    </w:p>
    <w:p>
      <w:pPr>
        <w:spacing w:after="0" w:line="17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xml:space="preserve">. Without limiting the Committee’s discretion as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 if there shall occur any change in the capital structure of the Company by reason of any extraordinary dividend or other distribution (whether in the form of cash, Shares, other securities or other property, and other than a normal cash dividend),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corporate transaction or event having an effect similar to the foregoing, affects the Shares, then the Committee shall, in an equitable and proportionate manner as determined by the Committee (and, as applicable, in such manner as is consistent with Sections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provided that the number of Shares subject to any Award shall always be a whole number; and (3) the grant or exercise price with respect to any Award under the Plan; (ii) provide for an equivalent award in respect of securities of the surviving entity of any merger, consolidation or other transaction or event having a similar effect; or (iii) make provision for a cash payment to the holder of an outstanding Award. Any such adjustments to outstanding Awards shall be effected in a manner that precludes the material enlargement or dilution of rights and benefits under such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Eligibility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current or prospective Employee, Director or Consultant shall be eligible to be designated a Participant; provided, however, that Non-Employee Directors shall only be eligible to receive Awards granted consistent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provided further, that the vesting and exercise of an Award to a prospective Employee, Director or Consultant are conditioned upon such individual attaining such status.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Stock Options and Stock Appreciation Rights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Grant</w:t>
      </w:r>
      <w:r>
        <w:rPr>
          <w:rFonts w:ascii="Times New Roman" w:cs="Times New Roman" w:eastAsia="Times New Roman" w:hAnsi="Times New Roman"/>
          <w:sz w:val="18"/>
          <w:szCs w:val="18"/>
          <w:color w:val="auto"/>
        </w:rPr>
        <w:t>. Subject to the provisions of the Plan, the Committee shall have sole and complete authority to determine the Participants to whom Options and SARs shall be granted, the number of Shares subject to each Award, the Option Price or Grant Price and the conditions and limitations applicable to the exercise of each Option and SAR. An Option may be granted with or without a related SAR. An SAR may be granted with or without a related Option. The grant of an Option or SAR shall occur when the Committee by resolution, written consent or other appropriate action determines to grant such Option or SAR for a particular number of Shares to a particular Participant at a particular Option Price or Grant Price, as the case may be, or such later date as the Committee shall specify in such resolution, written consent or other appropriate action. In the case of Incentive Stock Options, the terms and conditions of such grants shall be subject to and comply with Section 422 of the Code, as from time to time amended, and any regulations implementing such statute. An Employee who has been granted an Option under the Plan may be granted additional Options under the Plan if the Committee shall so determine; provided, however, that if Options intended to qualify as Incentive Stock Options fail to so qualify for any reason, such Options shall constitute Non-Qualified Stock Options.</w:t>
      </w:r>
    </w:p>
    <w:p>
      <w:pPr>
        <w:spacing w:after="0" w:line="18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The Committee in its sole discretion shall establish the Option Price at the time each Option is granted and the Grant Price at the time each SAR is granted. Except in the case of Substitute Awards, the Option Price of an Option may not be less than the Fair Market Value of a Share on the date such Option is granted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Grant Price of an SAR may not be less than the Fair Market Value of a Share on the date such SAR is granted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the case of Substitute Awards or Awards granted in connection with an adjustment provided for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in the form of Options or SARS, such grants shall have an Option Price (or Grant Price) per Share that is intended to maintain the economic value of the Award that was</w:t>
      </w:r>
    </w:p>
    <w:p>
      <w:pPr>
        <w:sectPr>
          <w:pgSz w:w="11900" w:h="16838" w:orient="portrait"/>
          <w:cols w:equalWidth="0" w:num="1">
            <w:col w:w="11220"/>
          </w:cols>
          <w:pgMar w:left="320" w:top="985" w:right="35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11220"/>
          </w:cols>
          <w:pgMar w:left="320" w:top="985" w:right="359" w:bottom="1440" w:gutter="0" w:footer="0" w:header="0"/>
          <w:type w:val="continuous"/>
        </w:sectPr>
      </w:pPr>
    </w:p>
    <w:bookmarkStart w:id="57" w:name="page58"/>
    <w:bookmarkEnd w:id="57"/>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replaced or adjusted as determined by the Committee. Notwithstanding the foregoing and except as permitted by the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the Committee shall not have the power to (i) lower the Option Price of an Option after it is granted, (ii) lower the Grant Price of an SAR after it is granted,</w:t>
      </w:r>
    </w:p>
    <w:p>
      <w:pPr>
        <w:ind w:right="140" w:firstLine="8"/>
        <w:spacing w:after="0" w:line="253"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 Option when the Option Price exceeds the Fair Market Value of the underlying Shares in exchange for cash or another Award (other than in connection with a Change in Control or a Substitute Award), (iv) cancel an SAR when the Grant Price exceeds the Fair Market Value of the underlying Shares in exchange for cash or another Award (other than in connection with a Change in Control or a Substitute Award), or (v) take any other action with respect to an Option or SAR that would be treated as a repricing under the rules and regulations of the principal securities exchange on which the Shares are traded, in each case without the approval of the Company’s stockholders.</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xml:space="preserve">. Subject to the Committee’s authority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each Option and SAR and all rights and obligations thereunder shall expire on the date determined by the Committee and specified in the Award Agreement. The Committee shall be under no duty to provide terms of like duration for Options or SARs granted under the Plan. Notwithstanding the foregoing, but subject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hereof, no Option or SAR shall be exercisable after the expiration of ten years from the date such Option or SAR was granted.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firstLine="656"/>
        <w:spacing w:after="0" w:line="261" w:lineRule="auto"/>
        <w:tabs>
          <w:tab w:leader="none" w:pos="8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and SAR shall be exercisable at such times and subject to such terms and conditions as the Committee may, in its sole discretion, specify in the applicable Award Agreement or thereafter. The Committee shall have full and complete authority to determine whether an Option or SAR will be exercisable in full at any time or from time to time during the term of the Option or SAR, or to provide for the exercise thereof in such installments, upon the occurrence of such events and at such times during the term of the Option or SAR as the Committee may determine.</w:t>
      </w:r>
    </w:p>
    <w:p>
      <w:pPr>
        <w:spacing w:after="0" w:line="179" w:lineRule="exact"/>
        <w:rPr>
          <w:rFonts w:ascii="Times New Roman" w:cs="Times New Roman" w:eastAsia="Times New Roman" w:hAnsi="Times New Roman"/>
          <w:sz w:val="18"/>
          <w:szCs w:val="18"/>
          <w:color w:val="auto"/>
        </w:rPr>
      </w:pPr>
    </w:p>
    <w:p>
      <w:pPr>
        <w:ind w:right="140" w:firstLine="656"/>
        <w:spacing w:after="0" w:line="282" w:lineRule="auto"/>
        <w:tabs>
          <w:tab w:leader="none" w:pos="90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impose such conditions with respect to the exercise of Options or SARs, including without limitation, any relating to the application of federal, state or foreign securities laws or the Code, as it may deem necessary or advisable.</w:t>
      </w:r>
    </w:p>
    <w:p>
      <w:pPr>
        <w:spacing w:after="0" w:line="161" w:lineRule="exact"/>
        <w:rPr>
          <w:rFonts w:ascii="Times New Roman" w:cs="Times New Roman" w:eastAsia="Times New Roman" w:hAnsi="Times New Roman"/>
          <w:sz w:val="18"/>
          <w:szCs w:val="18"/>
          <w:color w:val="auto"/>
        </w:rPr>
      </w:pPr>
    </w:p>
    <w:p>
      <w:pPr>
        <w:ind w:right="20" w:firstLine="656"/>
        <w:spacing w:after="0" w:line="254" w:lineRule="auto"/>
        <w:tabs>
          <w:tab w:leader="none" w:pos="8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in the case of an Option, payment in full to the Company at the direction of the Committee of the amount of the Option Price for the number of Shares with respect to which the Option is then being exercised. Notwithstanding the foregoing, an Award Agreement may provide, or be amended to provide, that if on the last day of the term of an Option or SAR the Fair Market Value of one Share exceeds the Option Price or Grant Price, as applicable, of such Award by an amount as may be determined by the Committee, the Participant has not exercised the Option or SAR and the Option or SAR has not otherwise expired, the Option or SAR shall be deemed to have been exercised by the Participant on such day pursuant to such procedures as may be determined by the Committee.</w:t>
      </w:r>
    </w:p>
    <w:p>
      <w:pPr>
        <w:spacing w:after="0" w:line="191"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Option Price shall be made in (i) cash or cash equivalents, (ii) at the discretion of the Committee, by transfer, either actually or by attestation, to the Company of unencumbered Shares previously acquired by the Participant, valued at the Fair Market Value of such Shares on the date of exercise (or next succeeding trading date, if the date of exercise is not a trading date), together with any applicable withholding taxes (which taxes may be satisfied in accordance with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of the Plan),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having an aggregate Fair Market Value at the time of exercise equal to the total Option Price together with any applicable withholding taxes (which taxes may be satisfied in accordance with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100" w:firstLine="656"/>
        <w:spacing w:after="0" w:line="261" w:lineRule="auto"/>
        <w:tabs>
          <w:tab w:leader="none" w:pos="8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Shares subject to the exercise of an Option or SAR have been issued, the Participant exercising such Award shall possess no rights as a stockholder with respect to such Shares. The Company reserves, at any and all times in the Company’s sole discretion, the right to establish, decline to approve or terminate any program or procedures for the exercise of Options by means of a method set forth in subsection (d) above, including with respect to one or more Participants specified by the Company notwithstanding that such program or procedures may be available to other Participants.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Committee’s discretion, the amount payable as a result of the exercise of an SAR may be settled in cash, Shares or a combination of cash and Shares. A fractional Share shall not be deliverable upon the exercise of a SAR but a cash payment will be made in lieu thereof.</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Separation from Service</w:t>
      </w:r>
      <w:r>
        <w:rPr>
          <w:rFonts w:ascii="Times New Roman" w:cs="Times New Roman" w:eastAsia="Times New Roman" w:hAnsi="Times New Roman"/>
          <w:sz w:val="18"/>
          <w:szCs w:val="18"/>
          <w:color w:val="auto"/>
        </w:rPr>
        <w:t>. Except as otherwise provided in the applicable Award Agreement, an Option or SAR may be exercised only to the extent that it is then exercisable, and if at all times during the period beginning with the date of granting such Award (or if later, the date on which the Participant first became an Employee, Director or Consultant) and ending on the date of exercise of such Award the Participant is an Employee, Director or Consultant, and shall terminate immediately upon a Separation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985" w:right="339" w:bottom="1440" w:gutter="0" w:footer="0" w:header="0"/>
        </w:sectPr>
      </w:pPr>
    </w:p>
    <w:bookmarkStart w:id="58" w:name="page59"/>
    <w:bookmarkEnd w:id="58"/>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from Service by the Participant. Notwithstanding the foregoing provisions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to the contrary, the Committee may determine in its discretion that an Option or SAR may be exercised following any such Separation from Service, whether or not exercisable at the time of such separation; provided, however, that subject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in no event may an Option or SAR be exercised after the expiration date of such Award specified in the applicable Award Agreement.</w:t>
      </w:r>
    </w:p>
    <w:p>
      <w:pPr>
        <w:spacing w:after="0" w:line="17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i w:val="1"/>
          <w:iCs w:val="1"/>
          <w:color w:val="auto"/>
        </w:rPr>
        <w:t>Ten Percent Stock Rule</w:t>
      </w:r>
      <w:r>
        <w:rPr>
          <w:rFonts w:ascii="Times New Roman" w:cs="Times New Roman" w:eastAsia="Times New Roman" w:hAnsi="Times New Roman"/>
          <w:sz w:val="18"/>
          <w:szCs w:val="18"/>
          <w:color w:val="auto"/>
        </w:rPr>
        <w:t>. Notwithstanding any other provisions in the Plan, if at the time an Option is otherwise to be granted pursuant to the Plan, the Participant owns directly or indirectly (within the meaning of Section 424(d) of the Code) Shares of the Company possessing more than ten percent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of the Fair Market Value of the Shares of the Company, and such Option by its terms shall not be exercisable after the expiration of five years from the date such Option is granted.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Restricted Shares and Restricted Share Units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Grant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80" w:firstLine="656"/>
        <w:spacing w:after="0" w:line="256" w:lineRule="auto"/>
        <w:tabs>
          <w:tab w:leader="none" w:pos="8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the Committee shall have sole and complete authority to determine the Participants to whom Restricted Shares and Restricted Share Units shall be granted, the number of Restricted Shares and/or the number of Restricted Share Units to be granted to each Participant, the duration of the period during which, and the conditions under which, the Restricted Shares and Restricted Share Units may be forfeited to the Company, and the other terms and conditions of such Awards. The 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w:t>
      </w:r>
    </w:p>
    <w:p>
      <w:pPr>
        <w:spacing w:after="0" w:line="187" w:lineRule="exact"/>
        <w:rPr>
          <w:rFonts w:ascii="Times New Roman" w:cs="Times New Roman" w:eastAsia="Times New Roman" w:hAnsi="Times New Roman"/>
          <w:sz w:val="18"/>
          <w:szCs w:val="18"/>
          <w:color w:val="auto"/>
        </w:rPr>
      </w:pPr>
    </w:p>
    <w:p>
      <w:pPr>
        <w:ind w:right="40" w:firstLine="656"/>
        <w:spacing w:after="0" w:line="254"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Share and Restricted Share Unit Award made under the Plan shall be for such number of Shares as shall be determined by the Committee and set forth in the Award Agreement containing the terms of such Restricted Share or Restricted Share Unit Award. Such agreement shall set forth a period of time which shall be not less than one year for Participants other than Non-Employee Directors during which the Participant receiving such Award must remain in the continuous employment (or other service-providing capacity) of the Company in order for the forfeiture and transfer restrictions to lapse.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(including, but not limited to, performance goals based on the criteria listed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Plan) that will subject the Shares to forfeiture and transfer restrictions. The Committee may, at its discretion, waive all or any part of the restrictions applicable to any or all outstanding Restricted Share and Restricted Share Unit Awards.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Delivery of Shares and Transfer Restrictions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656"/>
        <w:spacing w:after="0" w:line="253" w:lineRule="auto"/>
        <w:tabs>
          <w:tab w:leader="none" w:pos="8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a Restricted Share Award is granted, a certificate representing the number of Shares awarded thereunder shall be registered in the name of the Participant receiving such Award. Such certificate shall be held by the Company or any custodian appointed by the Company for the account of the Participant receiving such Award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(i.e.,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Share Awards evidenced in such manner. The holding of Restricted Shares by the Company or such an escrow holder, or the use of book entries to evidence the ownership of Restricted Shares, in accordance with this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shall not affect the rights of Participants as owners of the Restricted Shares awarded to them, nor affect the restrictions applicable to such shares under the Award Agreement or the Plan, including the transfer restrictions.</w:t>
      </w:r>
    </w:p>
    <w:p>
      <w:pPr>
        <w:spacing w:after="0" w:line="189" w:lineRule="exact"/>
        <w:rPr>
          <w:rFonts w:ascii="Times New Roman" w:cs="Times New Roman" w:eastAsia="Times New Roman" w:hAnsi="Times New Roman"/>
          <w:sz w:val="18"/>
          <w:szCs w:val="18"/>
          <w:color w:val="auto"/>
        </w:rPr>
      </w:pPr>
    </w:p>
    <w:p>
      <w:pPr>
        <w:ind w:right="40" w:firstLine="656"/>
        <w:spacing w:after="0" w:line="254" w:lineRule="auto"/>
        <w:tabs>
          <w:tab w:leader="none" w:pos="9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applicable Award Agreement, the Participant receiving an Award of Restricted Shares shall have all rights of a stockholder with respect to the Restricted Shares, including the right to receive dividends and the right to vote such Shares, subject to the following restrictions: (i) the Participant shall not be entitled to delivery of the stock certificate until the expiration of the 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Participant to such Shares shall terminate, without further obligation on the part of the Company, unless the Participant remains in the continuous employment of the Company for the entire restricted period in relation to which such Shares were granted and unless any other restrictive conditions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985" w:right="339" w:bottom="1440" w:gutter="0" w:footer="0" w:header="0"/>
        </w:sectPr>
      </w:pPr>
    </w:p>
    <w:bookmarkStart w:id="59" w:name="page60"/>
    <w:bookmarkEnd w:id="59"/>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relating to the Restricted Share Award are met. Unless otherwise provided in the applicable Award Agreement, Restricted Share Units shall be subject to similar transfer restrictions as Restricted Share Awards, except that no Shares are actually awarded to a Participant who is granted Restricted Share Units on the date of grant, and such Participant shall have no rights of a stockholder with respect to such Restricted Share Units until the restrictions set forth in the applicable Award Agreement have lapsed and the underlying Shares have been delivered to the Participant.</w:t>
      </w:r>
    </w:p>
    <w:p>
      <w:pPr>
        <w:spacing w:after="0" w:line="17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Termination of Restrictions</w:t>
      </w:r>
      <w:r>
        <w:rPr>
          <w:rFonts w:ascii="Times New Roman" w:cs="Times New Roman" w:eastAsia="Times New Roman" w:hAnsi="Times New Roman"/>
          <w:sz w:val="18"/>
          <w:szCs w:val="18"/>
          <w:color w:val="auto"/>
        </w:rPr>
        <w:t>. At the end of the restricted period and provided that any other restrictive conditions of the Restricted Share Award are met, or at such earlier time as otherwise determined by the Committee, all restrictions set forth in the Award Agreement or the Plan relating to the Restricted Share Award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 The Company shall have the right to repurchase Restricted Shares at their original issuance price or other stated or formula price (or to require forfeiture of such Shares if issued at no cost) in the event that conditions specified in the Award Agreement with respect to such Restricted Shares are not satisfied prior to the end of the applicable restricted period.</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Payment of Restricted Share Units</w:t>
      </w:r>
      <w:r>
        <w:rPr>
          <w:rFonts w:ascii="Times New Roman" w:cs="Times New Roman" w:eastAsia="Times New Roman" w:hAnsi="Times New Roman"/>
          <w:sz w:val="18"/>
          <w:szCs w:val="18"/>
          <w:color w:val="auto"/>
        </w:rPr>
        <w:t>. Each Restricted Share Unit shall have a value equal to the Fair Market Value of a Share. Restricted Share Units may be settled in cash, Shares, other securities or other property, as determined in the sole discretion of the Committee, upon the lapse of the restrictions applicable thereto, or otherwise in accordance with the applicable Award Agreement. The applicable Award Agreement shall specify whether a Participant will be entitled to receive dividend equivalent rights in respect of Restricted Share Units at the time of any payment of dividends to stockholders on Shares. If the applicable Award Agreement specifies that a Participant will be entitled to dividend equivalent rights, (i) the amount of any such dividend equivalent right shall equal the amount that would be payable to the Participant as a stockholder in respect of a number of Shares equal to the number of Restricted Share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(and in accordance with Section 409A of the Code with regard to Awards subject thereto); provided, that no dividend equivalents shall be currently paid on Restricted Share Units that are not yet vested; provided further, that such dividend equivalents may be accumulated and paid when and only if the underlying Restricted Share Units vest. Except as otherwise determined by the Committee at or after grant, Restricted Share Units may not be sold, assigned, transferred, pledged, hypothecated or otherwise encumbered or disposed of, and all Restricted Share Units and all rights of the grantee to such Restricted Share Units shall terminate, without further obligation on the part of the Company, unless the Participant remains in continuous employment of the Company for the entire restricted period in relation to which such Restricted Share Units were granted and unless any other restrictive conditions relating to the Restricted Share Unit Award are met.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Performance Awards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i w:val="1"/>
          <w:iCs w:val="1"/>
          <w:color w:val="auto"/>
        </w:rPr>
        <w:t>Grant</w:t>
      </w:r>
      <w:r>
        <w:rPr>
          <w:rFonts w:ascii="Times New Roman" w:cs="Times New Roman" w:eastAsia="Times New Roman" w:hAnsi="Times New Roman"/>
          <w:sz w:val="18"/>
          <w:szCs w:val="18"/>
          <w:color w:val="auto"/>
        </w:rPr>
        <w:t>. The Committee shall have sole and complete authority to determine the Participants who shall receive a Performance Award, which shall consist of a right that is (i) denominated in cash or Shares (including but not limited to Restricted Shares and Restricted Share Units), (ii) valued, as determined by the Committee, in accordance with the achievement of such performance goals during such performance periods as the Committee shall establish, and (iii) payable at such time and in such form as the Committee shall determine.</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i w:val="1"/>
          <w:iCs w:val="1"/>
          <w:color w:val="auto"/>
        </w:rPr>
        <w:t>Terms and Conditions</w:t>
      </w:r>
      <w:r>
        <w:rPr>
          <w:rFonts w:ascii="Times New Roman" w:cs="Times New Roman" w:eastAsia="Times New Roman" w:hAnsi="Times New Roman"/>
          <w:sz w:val="18"/>
          <w:szCs w:val="18"/>
          <w:color w:val="auto"/>
        </w:rPr>
        <w:t xml:space="preserve">. Subject to the terms of the Plan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provided, that such amendment may not adversely affect existing Performance Awards made within a performance period commencing prior to implementation of the amendment. The minimum vesting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 shall apply to any Performance Awards that are Appreciation Awards.</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i w:val="1"/>
          <w:iCs w:val="1"/>
          <w:color w:val="auto"/>
        </w:rPr>
        <w:t>Payment of Performance Awards</w:t>
      </w:r>
      <w:r>
        <w:rPr>
          <w:rFonts w:ascii="Times New Roman" w:cs="Times New Roman" w:eastAsia="Times New Roman" w:hAnsi="Times New Roman"/>
          <w:sz w:val="18"/>
          <w:szCs w:val="18"/>
          <w:color w:val="auto"/>
        </w:rPr>
        <w:t>. Performance Awards may be paid in a lump sum or in installments following the close of the performance period or, in accordance with the procedures established by the Committee, on a deferred basis. Except as otherwise determined by the Committee at or after grant, Separation from Service prior to the end of any performance period, other than for reasons of death or Disability, will result in the forfeiture of the Performance Award, and no payments will be made. Notwithstanding the foregoing, the Committee may in its discretion, waive any performance goals and/or other terms and conditions relating to a Performance Award.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98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Section 9. Other Stock-Based Awards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Committee shall have the authority to determine the Participants who shall receive an Other Stock-Based Award, which shall consist of any right that is (i) not an Award described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and any applicable Award Agreement, the Committee shall determine the terms and conditions of any such Other Stock-Based Award. The minimum vesting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 shall apply to any Performance Awards that are Appreciation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Non-Employee Director and Outside Director Awards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i w:val="1"/>
          <w:iCs w:val="1"/>
          <w:color w:val="auto"/>
        </w:rPr>
        <w:t>Non-Employee Director Awards</w:t>
      </w:r>
      <w:r>
        <w:rPr>
          <w:rFonts w:ascii="Times New Roman" w:cs="Times New Roman" w:eastAsia="Times New Roman" w:hAnsi="Times New Roman"/>
          <w:sz w:val="18"/>
          <w:szCs w:val="18"/>
          <w:color w:val="auto"/>
        </w:rPr>
        <w:t xml:space="preserve">. The Committee may provide that all or a portion of a Non-Employee Director’s annual retainer, meeting fees and/or other awards or compensation as determined by the Committee, be payable (either automatically or at the election of a Non-Employee Director) in the form of Appreciation Awards, Restricted Shares, Restricted Share Units and/or Other Stock-Based Awards, including unrestricted Shares. The Committee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 provided, that any Appreciation Awards to a Director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subject to the minimum vesting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i w:val="1"/>
          <w:iCs w:val="1"/>
          <w:color w:val="auto"/>
        </w:rPr>
        <w:t>Outside Director Awards</w:t>
      </w:r>
      <w:r>
        <w:rPr>
          <w:rFonts w:ascii="Times New Roman" w:cs="Times New Roman" w:eastAsia="Times New Roman" w:hAnsi="Times New Roman"/>
          <w:sz w:val="18"/>
          <w:szCs w:val="18"/>
          <w:color w:val="auto"/>
        </w:rPr>
        <w:t xml:space="preserve">. The Board may also grant Awards to Outside Directors pursuant to the terms of the Plan, including any Award described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above. With respect to such Awards, all references in the Plan to the Committee shall be deemed to be references to the Board.</w:t>
      </w:r>
    </w:p>
    <w:p>
      <w:pPr>
        <w:spacing w:after="0" w:line="17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i w:val="1"/>
          <w:iCs w:val="1"/>
          <w:color w:val="auto"/>
        </w:rPr>
        <w:t>Director Limits</w:t>
      </w:r>
      <w:r>
        <w:rPr>
          <w:rFonts w:ascii="Times New Roman" w:cs="Times New Roman" w:eastAsia="Times New Roman" w:hAnsi="Times New Roman"/>
          <w:sz w:val="18"/>
          <w:szCs w:val="18"/>
          <w:color w:val="auto"/>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in value, calculating the value of any equity Awards granted during such calendar year based on the grant date fair value of such Awards for financial reporting purposes. The Board may make exceptions to the applicable limit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Provisions Applicable to Performance Awards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 The Committee may grant Performance Awards based upon the attainment of performance targets related to one or more performance goals selected by the Committee from among the goals specified below. For the purposes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performance goals shall be limited to one or more of the following Company, Subsidiary, operating unit, business segment or division financial performance measures:</w:t>
      </w:r>
    </w:p>
    <w:p>
      <w:pPr>
        <w:spacing w:after="0" w:line="68" w:lineRule="exact"/>
        <w:rPr>
          <w:sz w:val="20"/>
          <w:szCs w:val="20"/>
          <w:color w:val="auto"/>
        </w:rPr>
      </w:pPr>
    </w:p>
    <w:p>
      <w:pPr>
        <w:ind w:left="900" w:hanging="244"/>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any one or more of the following: interest, taxes, depreciation, amortization and/or stock compensation;</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(or gross) income or profit;</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before allocation of corporate overhead and/or bonus;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or operating efficiencies;</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as a percentage of net sales;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capital, capital employed or investment, equity, or assets (including economic value created);</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tax operating income;</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book value per Share;</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ratios;</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w:t>
      </w:r>
    </w:p>
    <w:p>
      <w:pPr>
        <w:spacing w:after="0" w:line="11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sales or revenues or sales or revenues per employee;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20"/>
          </w:cols>
          <w:pgMar w:left="320" w:top="981" w:right="359" w:bottom="1440" w:gutter="0" w:footer="0" w:header="0"/>
        </w:sectPr>
      </w:pPr>
    </w:p>
    <w:bookmarkStart w:id="61" w:name="page62"/>
    <w:bookmarkEnd w:id="61"/>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as a percentage of net sales;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or some component or combination of components of total operating expenses, as a percentage of net sales;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or total stockholder return, including any comparisons with stock market indices;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in or maintenance of the price of the common stock or any publicly-traded securities of the Company;</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or cost reduction;</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with performance metrics of peer companies;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of Company stock price performance to the stock price performance of peer companies;</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58" w:lineRule="auto"/>
        <w:tabs>
          <w:tab w:leader="none" w:pos="9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w:t>
      </w:r>
    </w:p>
    <w:p>
      <w:pPr>
        <w:spacing w:after="0" w:line="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customer satisfaction;</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site sales;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value-added models; or</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thereof.</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may define such performance goals with reference to (i)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where applicable, or</w:t>
      </w:r>
    </w:p>
    <w:p>
      <w:pPr>
        <w:spacing w:after="0" w:line="31" w:lineRule="exact"/>
        <w:rPr>
          <w:sz w:val="20"/>
          <w:szCs w:val="20"/>
          <w:color w:val="auto"/>
        </w:rPr>
      </w:pPr>
    </w:p>
    <w:p>
      <w:pPr>
        <w:ind w:right="60" w:firstLine="8"/>
        <w:spacing w:after="0" w:line="250" w:lineRule="auto"/>
        <w:tabs>
          <w:tab w:leader="none" w:pos="2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non-GAAP financial measures with such definitions, adjustments or modifications of GAAP, as it deems appropriate. Each goal may be expressed on an absolute and/or relative basis,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appropriately adjust any evaluation of performance under criteria set forth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to exclude any of the following events that occurs during a performance period: (i) asset impairments or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applicable accounting standards) and/or described in management’s discussion and analysis of financial condition and results of operations appearing in the Company’s annual report to stockholders for the applicable year,</w:t>
      </w:r>
    </w:p>
    <w:p>
      <w:pPr>
        <w:spacing w:after="0" w:line="3" w:lineRule="exact"/>
        <w:rPr>
          <w:rFonts w:ascii="Times New Roman" w:cs="Times New Roman" w:eastAsia="Times New Roman" w:hAnsi="Times New Roman"/>
          <w:sz w:val="18"/>
          <w:szCs w:val="18"/>
          <w:color w:val="auto"/>
        </w:rPr>
      </w:pPr>
    </w:p>
    <w:p>
      <w:pPr>
        <w:ind w:right="200" w:firstLine="8"/>
        <w:spacing w:after="0" w:line="260" w:lineRule="auto"/>
        <w:tabs>
          <w:tab w:leader="none" w:pos="3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federal, governmental or regulatory action, or delays in federal, governmental or regulatory action or (vii) any other event either not directly related to the operations of the Company or not within the reasonable control of the Company’s management.</w:t>
      </w:r>
    </w:p>
    <w:p>
      <w:pPr>
        <w:spacing w:after="0" w:line="1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11.2 No later than 90 days following the commencement of each performance period (or such other time as the Committee may select while the achievement of such performance goals is uncertain), the Committee shall (1) select the performance goal or goals applicable to the performance period, (2) establish the various targets and bonus amounts which may be earned for such performance period, and (3) specify the relationship between performance goals and targets and the amounts to be earned by each Participant for such performance period. Prior to the payment of any compensation based on the achievement of performance goals applicable to Performance Awards subject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Committee shall determine (which may be set forth in the minutes of the Committee) whether the applicable performance targets have been achieved and the amounts, if any, payable to Participants for such performance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Separation from Service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12.1 The Committee shall have the full power and authority to determine the terms and conditions that shall apply to any Award upon a Separation from Service with the Company, its Subsidiaries and Affiliates, including a separation from the Company with or without Cause, by a Participant voluntarily, including for Good Reason, or by reason of death, Disability, Retirement, and may provide such terms and conditions in the Award Agreement or in such rules and regulations as it may prescribe.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12.2 Unless otherwise provided in this Plan, an Award Agreement, or by a contractual agreement between the Company or a Subsidiary and a Participant, if a Participant’s employment with or service to the Company or a Subsidiary terminates before the restrictions imposed on the Award lapse, the performance goals have been satisfied or the Award otherwise vests, such Award shall be forfeited.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98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Section 13. Change in Control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i w:val="1"/>
          <w:iCs w:val="1"/>
          <w:color w:val="auto"/>
        </w:rPr>
        <w:t>Assumption, Continuation or Substitution</w:t>
      </w:r>
      <w:r>
        <w:rPr>
          <w:rFonts w:ascii="Times New Roman" w:cs="Times New Roman" w:eastAsia="Times New Roman" w:hAnsi="Times New Roman"/>
          <w:sz w:val="18"/>
          <w:szCs w:val="18"/>
          <w:color w:val="auto"/>
        </w:rPr>
        <w:t>. Unless otherwise provided in an Award Agreement or by a contractual agreement between the Company and a Participant, in the event of a Change in Control, the surviving, continuing, successor, or purchasing corporation or other business entity or parent thereof, as the case may be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xml:space="preserve">”), may (in accordance with Section 409A, to the extent applicable),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provided, that in the event of such an assumption, the Acquiror must grant the rights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to the Participant in respect of such assumed Awards. For purposes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if so determined by the Committee, in its discretion, an Award denominated in Shares shall be deemed assumed if, following the Change in Control, the Award (as adjusted, if applicable,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provided, however, that if such consideration is not solely common stock of the Acquiror, the Committee may provide for the consideration to be received upon the exercise or settlement of the Award, for each Share subject to the Award, to consist solely of common stock of the Acquiror equal in Fair Market Value to the per share consideration received by holders of Shares pursuant to the Change in Control.</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i w:val="1"/>
          <w:iCs w:val="1"/>
          <w:color w:val="auto"/>
        </w:rPr>
        <w:t>Accelerated Vesting</w:t>
      </w:r>
      <w:r>
        <w:rPr>
          <w:rFonts w:ascii="Times New Roman" w:cs="Times New Roman" w:eastAsia="Times New Roman" w:hAnsi="Times New Roman"/>
          <w:sz w:val="18"/>
          <w:szCs w:val="18"/>
          <w:color w:val="auto"/>
        </w:rPr>
        <w:t>. The Committee may (in accordance with Section 409A, to the extent applicable),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(if any), including termination of the Participant’s service prior to, upon, or following such Change in Control, to such extent as the Committee shall determine. In the event of a Change of Control, and without the consent of any Participant, the Committee may, in its discretion, provide that for a period of at least fifteen days prior to the Change in Control, any Appreciation Awards shall be exercisable as to all Shares subject thereto and that upon the occurrence of the Change in Control, such Appreciation Awards shall terminate and be of no further force and effect.</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i w:val="1"/>
          <w:iCs w:val="1"/>
          <w:color w:val="auto"/>
        </w:rPr>
        <w:t>Certain Terminations</w:t>
      </w:r>
      <w:r>
        <w:rPr>
          <w:rFonts w:ascii="Times New Roman" w:cs="Times New Roman" w:eastAsia="Times New Roman" w:hAnsi="Times New Roman"/>
          <w:sz w:val="18"/>
          <w:szCs w:val="18"/>
          <w:color w:val="auto"/>
        </w:rPr>
        <w:t>. Unless otherwise provided by the Committee, or in an Award Agreement or by a contractual agreement between the Company and a Participant, if, within one year following a Change in Control, a Participant Separates from Service with the Company (or its successor) by reason of (a) death; (b) Disability; (c) Retirement; (d) for Good Reason by the Participant; or (e) involuntary termination by the Company for any reason other than for Cause, all outstanding Awards of such Participant shall vest, become immediately exercisable and payable and have all restrictions lifted. For purposes of an Award subject to Section 409A of the Code, Good Reason shall exist only if (i) the Participant notifies the Company of the event establishing Good Reason within ninety days of its initial existence, (ii) the Company is provided thirty days to cure such event and (iii) the Participant Separates from Service with the Company (or its successor) within one hundred eighty days of the initial occurrence of the event.</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i w:val="1"/>
          <w:iCs w:val="1"/>
          <w:color w:val="auto"/>
        </w:rPr>
        <w:t>Cash Settlement of Awards</w:t>
      </w:r>
      <w:r>
        <w:rPr>
          <w:rFonts w:ascii="Times New Roman" w:cs="Times New Roman" w:eastAsia="Times New Roman" w:hAnsi="Times New Roman"/>
          <w:sz w:val="18"/>
          <w:szCs w:val="18"/>
          <w:color w:val="auto"/>
        </w:rPr>
        <w:t xml:space="preserve">. The Committee may (in accordance with Section 409A, to the extent applicable), in its discretion at or after grant and without the consent of any Participant, determine that, upon the occurrence of a Change in Control, each or any Award or a portion thereof outstanding immediately prior to the Change in Control and not previously exercised or settled shall be canceled in exchange for a payment with respect to each vested Share (including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subject to such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(which payment may, for the avoidance of doubt, be $0, in the event the per share exercise or purchase price of an Award is greater than the per share consideration in connection with the Change in Control). In the event such determination is made by the Committee, the amount of such payment (reduced by applicable withholding taxes, if any), if any, shall be paid to Participants in respect of the vested portions of their canceled Awards as soon as practicable following the date of the Change in Control and may be paid in respect of the unvested portions of their canceled Awards in accordance with the vesting schedules applicable to such Awards.</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Committee may (in accordance with Section 409A, to the extent applicable), in its discretion at or after grant, provide that in the event of a Change in Control, (i) any outstanding Performance Awards relating to performance periods ending prior to the Change in Control which have been earned but not paid shall become immediately payable, (ii) all then-in-progress performance periods for Performance Awards that are outstanding shall end, and either (A) any or all Participants shall be deemed to have earned an award equal to the relevant target award opportunity for the performance period in question, or (B) at the Committee’s discretion, the Committee shall determine the extent to which performance criteria have been met with respect to each such Performance Award, if at all, and (iii) the Company shall cause to be paid to each Participant such partial or full Performance Awards, in cash, Shares or other property as determined by the Committee, within thirty days of such Change in Control, based on the Change in Control consideration, which amount may be zero if applicable. In the absence of such a determination, any Performance Awards will be vested or paid based on the amount payable or vested pursuant to the Performance Award based on achievement 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20"/>
          </w:cols>
          <w:pgMar w:left="320" w:top="981" w:right="359" w:bottom="1440" w:gutter="0" w:footer="0" w:header="0"/>
        </w:sectPr>
      </w:pPr>
    </w:p>
    <w:bookmarkStart w:id="63" w:name="page64"/>
    <w:bookmarkEnd w:id="63"/>
    <w:p>
      <w:pPr>
        <w:ind w:right="20"/>
        <w:spacing w:after="0" w:line="282" w:lineRule="auto"/>
        <w:rPr>
          <w:sz w:val="20"/>
          <w:szCs w:val="20"/>
          <w:color w:val="auto"/>
        </w:rPr>
      </w:pPr>
      <w:r>
        <w:rPr>
          <w:rFonts w:ascii="Times New Roman" w:cs="Times New Roman" w:eastAsia="Times New Roman" w:hAnsi="Times New Roman"/>
          <w:sz w:val="18"/>
          <w:szCs w:val="18"/>
          <w:color w:val="auto"/>
        </w:rPr>
        <w:t>“target” performance under the relevant performance goals, but pro-rated based on the number of days that have elapsed in the performance period between the date of grant and the date of the Change in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Amendment and Termination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i w:val="1"/>
          <w:iCs w:val="1"/>
          <w:color w:val="auto"/>
        </w:rPr>
        <w:t>Amendments to the Plan</w:t>
      </w:r>
      <w:r>
        <w:rPr>
          <w:rFonts w:ascii="Times New Roman" w:cs="Times New Roman" w:eastAsia="Times New Roman" w:hAnsi="Times New Roman"/>
          <w:sz w:val="18"/>
          <w:szCs w:val="18"/>
          <w:color w:val="auto"/>
        </w:rPr>
        <w:t xml:space="preserve">. The Board may amend, alter, suspend, discontinue or terminate the Plan or any portion thereof at any time (and in accordance with Section 409A of the Code with regard to Awards subject thereto); provided that no such amendment, alteration, suspension, discontinuation or termination (including with respect to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shall be made without stockholder approval if such approval is necessary to comply with any tax or regulatory requirement for which or with which the Board deems it necessary or desirable to comply.</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i w:val="1"/>
          <w:iCs w:val="1"/>
          <w:color w:val="auto"/>
        </w:rPr>
        <w:t>Amendments to Awards</w:t>
      </w:r>
      <w:r>
        <w:rPr>
          <w:rFonts w:ascii="Times New Roman" w:cs="Times New Roman" w:eastAsia="Times New Roman" w:hAnsi="Times New Roman"/>
          <w:sz w:val="18"/>
          <w:szCs w:val="18"/>
          <w:color w:val="auto"/>
        </w:rPr>
        <w:t xml:space="preserve">. Subject to the restrictions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Committee may waive any conditions or rights under, amend any terms of or alter, suspend, discontinue, cancel or terminate, any Award theretofore granted, prospectively or retroactively in time (and in accordance with Section 409A of the Code with regard to Awards subject thereto); provided that any such waiver, amendment, alteration, suspension, discontinuance, cancellation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i w:val="1"/>
          <w:iCs w:val="1"/>
          <w:color w:val="auto"/>
        </w:rPr>
        <w:t>Adjustments of Awards upon the Occurrence of Certain Unusual or Nonrecurring Events</w:t>
      </w:r>
      <w:r>
        <w:rPr>
          <w:rFonts w:ascii="Times New Roman" w:cs="Times New Roman" w:eastAsia="Times New Roman" w:hAnsi="Times New Roman"/>
          <w:sz w:val="18"/>
          <w:szCs w:val="18"/>
          <w:color w:val="auto"/>
        </w:rPr>
        <w:t xml:space="preserve">. The Committee is hereby authorized to make equitable and proportionate adjustments in the terms and conditions of, and the criteria included in, Awards in recognition of unusual or nonrecurring events (and shall make such adjustments for the events described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affecting the Company, any Subsidiary or Affiliate, or the financial statements of the Company or any Subsidiary or Affiliate, or of changes in applicable laws, regulations or accounting principles.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i w:val="1"/>
          <w:iCs w:val="1"/>
          <w:color w:val="auto"/>
        </w:rPr>
        <w:t>Foreign Employees</w:t>
      </w:r>
      <w:r>
        <w:rPr>
          <w:rFonts w:ascii="Times New Roman" w:cs="Times New Roman" w:eastAsia="Times New Roman" w:hAnsi="Times New Roman"/>
          <w:sz w:val="18"/>
          <w:szCs w:val="18"/>
          <w:color w:val="auto"/>
        </w:rPr>
        <w:t>. In order to facilitate the making of any Award or combination of Awards under the Plan, the Committee may provide for such special terms for Awards to Participants who are foreign nationals or who are employed by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and the corporate secretary or other appropriate officer of the Company may certify any such document as having been approved and adopted in the same manner as the Plan. No such special terms, supplements, amendments or restatements, however, shall include any provisions that are inconsistent with the terms of the Plan as then in effect unless the Plan could have been amended to eliminate such inconsistency without further approval by the shareholders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General Provisions.</w:t>
      </w:r>
    </w:p>
    <w:p>
      <w:pPr>
        <w:spacing w:after="0" w:line="11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i w:val="1"/>
          <w:iCs w:val="1"/>
          <w:color w:val="auto"/>
        </w:rPr>
        <w:t>Limited Transferability of Awards</w:t>
      </w:r>
      <w:r>
        <w:rPr>
          <w:rFonts w:ascii="Times New Roman" w:cs="Times New Roman" w:eastAsia="Times New Roman" w:hAnsi="Times New Roman"/>
          <w:sz w:val="18"/>
          <w:szCs w:val="18"/>
          <w:color w:val="auto"/>
        </w:rPr>
        <w:t>. Except as otherwise provided in the Plan, an Award Agreement or by the Committee at or after grant, no Award shall be assigned, alienated, pledged, attached, sold or otherwise transferred or encumbered by a Participant, except by will or the laws of descent and distribution.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 No transfer of an Award for value shall be permitted under the Plan.</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No dividend equivalent rights shall be granted with respect to Appreciation Awards. In the sole and complete discretion of the Committee, however, any other Award may provide the Participant with dividends or dividend equivalents, payable in cash, Shares, other securities or other property on a current or deferred basis. All dividend or dividend equivalents which are not paid currently may, at the Committee’s discretion, accrue interest, be reinvested into additional Shares, or, in the case of dividends or dividend equivalents credited in connection with Performance Awards, be credited as additional Performance Awards and paid to the Participant if and when, and only to the extent that, payment is made pursuant to such Award. The total number of Shares available for grant under Section 4 shall not be reduced to reflect any dividends or dividend equivalents that are reinvested into additional Shares or credited as Performance Awards. Notwithstanding the foregoing, with respect to an Award subject to Section 409A of the Code, the payment, deferral or crediting of any dividends or dividend equivalents shall conform to the requirements of Section 409A of the Code and such requirements shall be specified in writing.</w:t>
      </w:r>
    </w:p>
    <w:p>
      <w:pPr>
        <w:spacing w:after="0" w:line="18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i w:val="1"/>
          <w:iCs w:val="1"/>
          <w:color w:val="auto"/>
        </w:rPr>
        <w:t>Compliance with Section 409A of the Code</w:t>
      </w:r>
      <w:r>
        <w:rPr>
          <w:rFonts w:ascii="Times New Roman" w:cs="Times New Roman" w:eastAsia="Times New Roman" w:hAnsi="Times New Roman"/>
          <w:sz w:val="18"/>
          <w:szCs w:val="18"/>
          <w:color w:val="auto"/>
        </w:rPr>
        <w:t>. No Award (or modification thereof) shall provide for deferral of compensation that does not comply with Section 409A of the Code unless the Committee, at the time of grant, specifically provides that the Award is not intended to comply with Section 409A of the Code. Notwithstanding any provision of this Plan to the contrary, if one or more of the payments or benefits received or to be received by a Participant pursuant to an Award would cause the Participant to incur any additional tax or interest under Section 409A of the Code, the Committee may reform such provision to maintain to the maximum extent practicable the original intent of the applicable provision without violating the provisions of section 409A of the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985" w:right="339" w:bottom="1440" w:gutter="0" w:footer="0" w:header="0"/>
        </w:sectPr>
      </w:pPr>
    </w:p>
    <w:bookmarkStart w:id="64" w:name="page65"/>
    <w:bookmarkEnd w:id="64"/>
    <w:p>
      <w:pPr>
        <w:spacing w:after="0" w:line="253" w:lineRule="auto"/>
        <w:rPr>
          <w:sz w:val="20"/>
          <w:szCs w:val="20"/>
          <w:color w:val="auto"/>
        </w:rPr>
      </w:pPr>
      <w:r>
        <w:rPr>
          <w:rFonts w:ascii="Times New Roman" w:cs="Times New Roman" w:eastAsia="Times New Roman" w:hAnsi="Times New Roman"/>
          <w:sz w:val="18"/>
          <w:szCs w:val="18"/>
          <w:color w:val="auto"/>
        </w:rPr>
        <w:t>Code. In the event that it is reasonably determined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the Company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1.409A-1(b)(4)(i) of the U.S. Treasury Regulations shall be made between the first day following the close of the applicable performance period and the last day of the “applicable 2 1⁄2 month period” as defined therein.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the Company shall not have any obligation to indemnify or otherwise hold any Participant harmless from any or all such taxes or penalties.</w:t>
      </w:r>
    </w:p>
    <w:p>
      <w:pPr>
        <w:spacing w:after="0" w:line="190"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i w:val="1"/>
          <w:iCs w:val="1"/>
          <w:color w:val="auto"/>
        </w:rPr>
        <w:t>No Rights to Awards</w:t>
      </w:r>
      <w:r>
        <w:rPr>
          <w:rFonts w:ascii="Times New Roman" w:cs="Times New Roman" w:eastAsia="Times New Roman" w:hAnsi="Times New Roman"/>
          <w:sz w:val="18"/>
          <w:szCs w:val="18"/>
          <w:color w:val="auto"/>
        </w:rPr>
        <w:t>.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i w:val="1"/>
          <w:iCs w:val="1"/>
          <w:color w:val="auto"/>
        </w:rPr>
        <w:t>Share Certificates</w:t>
      </w:r>
      <w:r>
        <w:rPr>
          <w:rFonts w:ascii="Times New Roman" w:cs="Times New Roman" w:eastAsia="Times New Roman" w:hAnsi="Times New Roman"/>
          <w:sz w:val="18"/>
          <w:szCs w:val="18"/>
          <w:color w:val="auto"/>
        </w:rPr>
        <w:t>. All certificates for Shares or other securities of the Company or any Subsidiary or Affiliate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to make appropriate reference to such restrictions.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A Participant may be required to pay to the Company or any Affiliate and the Company or such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tax-related obligations in respect of an Award, its exercise or any other transaction involving an Award, or any payment or transfer under an Award or under the Plan and to take such other action as may be necessary in the opinion of the Company to satisfy all obligations for the payment of such taxes. Without limiting the generality of the foregoing, the Committee may in its discretion permit a Participant to satisfy or arrange to satisfy, in whole or in part, the tax obligations incident to an Award by: (a) electing to have the Company withhold Shares or other property otherwise deliverable to such Participant pursuant to the Award (provided, however, that the amount of any Shares so withheld shall not exceed the amount necessary to satisfy required federal, state local and foreign withholding obligations using the maximum statutory withholding rates for federal, state, local and/or foreign tax purposes, including payroll taxes, that are applicable to the Participant); and/or (b) tendering to the Company or an Affiliate Shares owned by such Participant (or by such Participant and his or her spouse jointly) and purchased or held for the requisite period of time, in each case (x) as may be required to avoid the Company’s or the Affiliate’s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w:t>
      </w:r>
    </w:p>
    <w:p>
      <w:pPr>
        <w:spacing w:after="0" w:line="18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Each Award hereunder shall be evidenced by an Award Agreement that shall be delivered (including, but not limited to, through an online equity incentive plan management portal)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i w:val="1"/>
          <w:iCs w:val="1"/>
          <w:color w:val="auto"/>
        </w:rPr>
        <w:t>Other Compensation Arrangements</w:t>
      </w:r>
      <w:r>
        <w:rPr>
          <w:rFonts w:ascii="Times New Roman" w:cs="Times New Roman" w:eastAsia="Times New Roman" w:hAnsi="Times New Roman"/>
          <w:sz w:val="18"/>
          <w:szCs w:val="18"/>
          <w:color w:val="auto"/>
        </w:rPr>
        <w:t>. Nothing contained in the Plan shall prevent the Company or any Subsidiary or Affiliate from adopting or continuing in effect other compensation arrangements, which may, but need not, provide for the grant of Options, Stock Appreciation Rights, Restricted Shares, Restricted Share Units, Other Stock-Based Awards or other types of Awards provided for hereunder. No payment under the Plan shall be taken into account in determining any benefits under any pension, retirement, savings, profit sharing, group insurance, welfare or benefit plan of the Company or any Subsidiary unless provided otherwise in such other plan.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985" w:right="339" w:bottom="1440" w:gutter="0" w:footer="0" w:header="0"/>
        </w:sectPr>
      </w:pPr>
    </w:p>
    <w:bookmarkStart w:id="65" w:name="page66"/>
    <w:bookmarkEnd w:id="65"/>
    <w:p>
      <w:pPr>
        <w:jc w:val="both"/>
        <w:ind w:right="2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i w:val="1"/>
          <w:iCs w:val="1"/>
          <w:color w:val="auto"/>
        </w:rPr>
        <w:t>No Right to Employment</w:t>
      </w:r>
      <w:r>
        <w:rPr>
          <w:rFonts w:ascii="Times New Roman" w:cs="Times New Roman" w:eastAsia="Times New Roman" w:hAnsi="Times New Roman"/>
          <w:sz w:val="18"/>
          <w:szCs w:val="18"/>
          <w:color w:val="auto"/>
        </w:rPr>
        <w:t>.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i w:val="1"/>
          <w:iCs w:val="1"/>
          <w:color w:val="auto"/>
        </w:rPr>
        <w:t>No Rights as Stockholder</w:t>
      </w:r>
      <w:r>
        <w:rPr>
          <w:rFonts w:ascii="Times New Roman" w:cs="Times New Roman" w:eastAsia="Times New Roman" w:hAnsi="Times New Roman"/>
          <w:sz w:val="18"/>
          <w:szCs w:val="18"/>
          <w:color w:val="auto"/>
        </w:rPr>
        <w:t>. 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180" w:lineRule="exact"/>
        <w:rPr>
          <w:sz w:val="20"/>
          <w:szCs w:val="20"/>
          <w:color w:val="auto"/>
        </w:rPr>
      </w:pPr>
    </w:p>
    <w:p>
      <w:pPr>
        <w:ind w:right="8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validity, construction and effect of the Plan and any rules and regulations relating to the Plan and any Award Agreement shall be determined in accordance with the laws of the State of Delaware without giving effect to conflicts of laws principles.</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i w:val="1"/>
          <w:iCs w:val="1"/>
          <w:color w:val="auto"/>
        </w:rPr>
        <w:t>Other Laws</w:t>
      </w:r>
      <w:r>
        <w:rPr>
          <w:rFonts w:ascii="Times New Roman" w:cs="Times New Roman" w:eastAsia="Times New Roman" w:hAnsi="Times New Roman"/>
          <w:sz w:val="18"/>
          <w:szCs w:val="18"/>
          <w:color w:val="auto"/>
        </w:rPr>
        <w:t>. The Company will not be obligated to issue, deliver or transfer any Shares pursuant to the Plan or to remove restrictions from Shares previously delivered pursuant to the Plan until: (a) all conditions of the applicable Award Agreement have been met or removed to the satisfaction of the Committee; (b) all other legal matters, including receipt of consent or approval of any regulatory body and compliance with any state or federal securities or other law, in connection with the issuance and delivery of such Shares have been satisfied; (c) the Participant or holder or beneficiary of the Shares or Award has executed and delivered to the Company such representations or agreements as the Committee may consider appropriate to satisfy the requirements of any state or federal securities or other law; and (d) such issuance would not entitle the Company to recover amounts under Section 16(b) of the Exchange Act from such Participant or holder or beneficiary of the Shares or Award. The inability of the Company to obtain authority from any regulatory body having jurisdiction, which authority is deemed by the Company’s counsel necessary to the lawful issuance of any Shares hereunder, shall relieve the Company of any liability in respect of the failure to issue the Shares as to which such requisite authority shall not have been obtained.</w:t>
      </w:r>
    </w:p>
    <w:p>
      <w:pPr>
        <w:spacing w:after="0" w:line="1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i w:val="1"/>
          <w:iCs w:val="1"/>
          <w:color w:val="auto"/>
        </w:rPr>
        <w:t>No Trust or Fund Created</w:t>
      </w:r>
      <w:r>
        <w:rPr>
          <w:rFonts w:ascii="Times New Roman" w:cs="Times New Roman" w:eastAsia="Times New Roman" w:hAnsi="Times New Roman"/>
          <w:sz w:val="18"/>
          <w:szCs w:val="18"/>
          <w:color w:val="auto"/>
        </w:rPr>
        <w:t>.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180"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7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Any Award granted pursuant to this Plan shall be subject to mandatory repayment by the Participant to the Company (i) to the extent set forth in any Award Agreement, (ii) to the extent that such Participant is, 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8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98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Section 16. Term of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Plan shall be effective as of May 25,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provided it has been approved by the Company’s stockholders.</w:t>
      </w:r>
    </w:p>
    <w:p>
      <w:pPr>
        <w:spacing w:after="0" w:line="15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No new Awards shall be granted under the Plan after the tenth anniversary of the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220"/>
          </w:cols>
          <w:pgMar w:left="320" w:top="981" w:right="359" w:bottom="1440"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689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768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w:t>
      </w:r>
    </w:p>
    <w:p>
      <w:pPr>
        <w:spacing w:after="0" w:line="43"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18"/>
          <w:szCs w:val="18"/>
          <w:color w:val="auto"/>
        </w:rPr>
        <w:t>The Notice and Proxy Statement and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1857375</wp:posOffset>
            </wp:positionV>
            <wp:extent cx="6172200" cy="4105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410591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lvl w:ilvl="1">
      <w:lvlJc w:val="left"/>
      <w:lvlText w:val="◦"/>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5"/>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3">
    <w:nsid w:val="684A481A"/>
    <w:multiLevelType w:val="hybridMultilevel"/>
    <w:lvl w:ilvl="0">
      <w:lvlJc w:val="left"/>
      <w:lvlText w:val="(%1)"/>
      <w:numFmt w:val="lowerRoman"/>
      <w:start w:val="2"/>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3"/>
    </w:lvl>
  </w:abstractNum>
  <w:abstractNum w:abstractNumId="46">
    <w:nsid w:val="3DC240FB"/>
    <w:multiLevelType w:val="hybridMultilevel"/>
    <w:lvl w:ilvl="0">
      <w:lvlJc w:val="left"/>
      <w:lvlText w:val="(%1)"/>
      <w:numFmt w:val="lowerRoman"/>
      <w:start w:val="3"/>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14"/>
    </w:lvl>
  </w:abstractNum>
  <w:abstractNum w:abstractNumId="52">
    <w:nsid w:val="520EEDD1"/>
    <w:multiLevelType w:val="hybridMultilevel"/>
    <w:lvl w:ilvl="0">
      <w:lvlJc w:val="left"/>
      <w:lvlText w:val="(%1)"/>
      <w:numFmt w:val="lowerRoman"/>
      <w:start w:val="2"/>
    </w:lvl>
  </w:abstractNum>
  <w:abstractNum w:abstractNumId="53">
    <w:nsid w:val="374A3FE6"/>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2022-04-15T07:08:21Z</dcterms:created>
  <dcterms:modified xsi:type="dcterms:W3CDTF">2022-04-15T07:08:21Z</dcterms:modified>
</cp:coreProperties>
</file>