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2" w:lineRule="exact"/>
        <w:rPr>
          <w:sz w:val="24"/>
          <w:szCs w:val="24"/>
          <w:color w:val="auto"/>
        </w:rPr>
      </w:pPr>
    </w:p>
    <w:p>
      <w:pPr>
        <w:jc w:val="center"/>
        <w:ind w:right="-35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193" w:lineRule="exact"/>
        <w:rPr>
          <w:sz w:val="24"/>
          <w:szCs w:val="24"/>
          <w:color w:val="auto"/>
        </w:rPr>
      </w:pPr>
    </w:p>
    <w:p>
      <w:pPr>
        <w:ind w:left="4660"/>
        <w:spacing w:after="0"/>
        <w:rPr>
          <w:sz w:val="20"/>
          <w:szCs w:val="20"/>
          <w:color w:val="auto"/>
        </w:rPr>
      </w:pPr>
      <w:r>
        <w:rPr>
          <w:rFonts w:ascii="Arial" w:cs="Arial" w:eastAsia="Arial" w:hAnsi="Arial"/>
          <w:sz w:val="43"/>
          <w:szCs w:val="43"/>
          <w:b w:val="1"/>
          <w:bCs w:val="1"/>
          <w:color w:val="auto"/>
        </w:rPr>
        <w:t>FORM 10-Q</w:t>
      </w:r>
    </w:p>
    <w:p>
      <w:pPr>
        <w:spacing w:after="0" w:line="277" w:lineRule="exact"/>
        <w:rPr>
          <w:sz w:val="24"/>
          <w:szCs w:val="24"/>
          <w:color w:val="auto"/>
        </w:rPr>
      </w:pPr>
    </w:p>
    <w:p>
      <w:pPr>
        <w:ind w:left="4080" w:right="2100" w:hanging="3982"/>
        <w:spacing w:after="0" w:line="532" w:lineRule="auto"/>
        <w:tabs>
          <w:tab w:leader="none" w:pos="28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June 30, 2008</w:t>
      </w:r>
    </w:p>
    <w:p>
      <w:pPr>
        <w:spacing w:after="0" w:line="1"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700" w:right="2080" w:hanging="3602"/>
        <w:spacing w:after="0" w:line="532" w:lineRule="auto"/>
        <w:tabs>
          <w:tab w:leader="none" w:pos="281"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 to _________</w:t>
      </w:r>
    </w:p>
    <w:p>
      <w:pPr>
        <w:ind w:left="4460"/>
        <w:spacing w:after="0"/>
        <w:rPr>
          <w:rFonts w:ascii="Arial" w:cs="Arial" w:eastAsia="Arial" w:hAnsi="Arial"/>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ind w:right="-35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tbl>
      <w:tblPr>
        <w:tblLayout w:type="fixed"/>
        <w:tblInd w:w="1820" w:type="dxa"/>
        <w:tblCellMar>
          <w:top w:w="0" w:type="dxa"/>
          <w:left w:w="0" w:type="dxa"/>
          <w:bottom w:w="0" w:type="dxa"/>
          <w:right w:w="0" w:type="dxa"/>
        </w:tblCellMar>
      </w:tblPr>
      <w:tr>
        <w:trPr>
          <w:trHeight w:val="220"/>
        </w:trPr>
        <w:tc>
          <w:tcPr>
            <w:tcW w:w="4040" w:type="dxa"/>
            <w:vAlign w:val="bottom"/>
          </w:tcPr>
          <w:p>
            <w:pPr>
              <w:jc w:val="center"/>
              <w:ind w:right="1871"/>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right"/>
              <w:ind w:right="291"/>
              <w:spacing w:after="0"/>
              <w:rPr>
                <w:sz w:val="20"/>
                <w:szCs w:val="20"/>
                <w:color w:val="auto"/>
              </w:rPr>
            </w:pPr>
            <w:r>
              <w:rPr>
                <w:rFonts w:ascii="Arial" w:cs="Arial" w:eastAsia="Arial" w:hAnsi="Arial"/>
                <w:sz w:val="18"/>
                <w:szCs w:val="18"/>
                <w:b w:val="1"/>
                <w:bCs w:val="1"/>
                <w:color w:val="auto"/>
              </w:rPr>
              <w:t>62-1096725</w:t>
            </w:r>
          </w:p>
        </w:tc>
      </w:tr>
      <w:tr>
        <w:trPr>
          <w:trHeight w:val="222"/>
        </w:trPr>
        <w:tc>
          <w:tcPr>
            <w:tcW w:w="4040" w:type="dxa"/>
            <w:vAlign w:val="bottom"/>
          </w:tcPr>
          <w:p>
            <w:pPr>
              <w:jc w:val="center"/>
              <w:ind w:right="1871"/>
              <w:spacing w:after="0"/>
              <w:rPr>
                <w:sz w:val="20"/>
                <w:szCs w:val="20"/>
                <w:color w:val="auto"/>
              </w:rPr>
            </w:pPr>
            <w:r>
              <w:rPr>
                <w:rFonts w:ascii="Arial" w:cs="Arial" w:eastAsia="Arial" w:hAnsi="Arial"/>
                <w:sz w:val="18"/>
                <w:szCs w:val="18"/>
                <w:color w:val="auto"/>
                <w:w w:val="92"/>
              </w:rPr>
              <w:t>(State or other jurisdiction of</w:t>
            </w:r>
          </w:p>
        </w:tc>
        <w:tc>
          <w:tcPr>
            <w:tcW w:w="3540" w:type="dxa"/>
            <w:vAlign w:val="bottom"/>
          </w:tcPr>
          <w:p>
            <w:pPr>
              <w:jc w:val="center"/>
              <w:ind w:left="1891"/>
              <w:spacing w:after="0"/>
              <w:rPr>
                <w:sz w:val="20"/>
                <w:szCs w:val="20"/>
                <w:color w:val="auto"/>
              </w:rPr>
            </w:pPr>
            <w:r>
              <w:rPr>
                <w:rFonts w:ascii="Arial" w:cs="Arial" w:eastAsia="Arial" w:hAnsi="Arial"/>
                <w:sz w:val="18"/>
                <w:szCs w:val="18"/>
                <w:color w:val="auto"/>
                <w:w w:val="93"/>
              </w:rPr>
              <w:t>(I.R.S. Employer</w:t>
            </w:r>
          </w:p>
        </w:tc>
      </w:tr>
      <w:tr>
        <w:trPr>
          <w:trHeight w:val="222"/>
        </w:trPr>
        <w:tc>
          <w:tcPr>
            <w:tcW w:w="4040" w:type="dxa"/>
            <w:vAlign w:val="bottom"/>
          </w:tcPr>
          <w:p>
            <w:pPr>
              <w:jc w:val="center"/>
              <w:ind w:right="1811"/>
              <w:spacing w:after="0"/>
              <w:rPr>
                <w:sz w:val="20"/>
                <w:szCs w:val="20"/>
                <w:color w:val="auto"/>
              </w:rPr>
            </w:pPr>
            <w:r>
              <w:rPr>
                <w:rFonts w:ascii="Arial" w:cs="Arial" w:eastAsia="Arial" w:hAnsi="Arial"/>
                <w:sz w:val="18"/>
                <w:szCs w:val="18"/>
                <w:color w:val="auto"/>
                <w:w w:val="89"/>
              </w:rPr>
              <w:t>incorporation or organization)</w:t>
            </w:r>
          </w:p>
        </w:tc>
        <w:tc>
          <w:tcPr>
            <w:tcW w:w="3540" w:type="dxa"/>
            <w:vAlign w:val="bottom"/>
          </w:tcPr>
          <w:p>
            <w:pPr>
              <w:ind w:left="1920"/>
              <w:spacing w:after="0"/>
              <w:rPr>
                <w:sz w:val="20"/>
                <w:szCs w:val="20"/>
                <w:color w:val="auto"/>
              </w:rPr>
            </w:pPr>
            <w:r>
              <w:rPr>
                <w:rFonts w:ascii="Arial" w:cs="Arial" w:eastAsia="Arial" w:hAnsi="Arial"/>
                <w:sz w:val="18"/>
                <w:szCs w:val="18"/>
                <w:color w:val="auto"/>
                <w:w w:val="90"/>
              </w:rPr>
              <w:t>Identification Number)</w:t>
            </w:r>
          </w:p>
        </w:tc>
      </w:tr>
    </w:tbl>
    <w:p>
      <w:pPr>
        <w:spacing w:after="0" w:line="2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2000 Waters Edge Drive</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Building C, Suite 12</w:t>
      </w:r>
    </w:p>
    <w:p>
      <w:pPr>
        <w:spacing w:after="0" w:line="9"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Johnson City, Tennessee 37604</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(423) 743-9151</w:t>
      </w:r>
    </w:p>
    <w:p>
      <w:pPr>
        <w:spacing w:after="0" w:line="27" w:lineRule="exact"/>
        <w:rPr>
          <w:sz w:val="24"/>
          <w:szCs w:val="24"/>
          <w:color w:val="auto"/>
        </w:rPr>
      </w:pPr>
    </w:p>
    <w:p>
      <w:pPr>
        <w:jc w:val="center"/>
        <w:ind w:right="-35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060"/>
          </w:cols>
          <w:pgMar w:left="240" w:top="1284" w:right="599" w:bottom="1440" w:gutter="0" w:footer="0" w:header="0"/>
        </w:sectPr>
      </w:pPr>
    </w:p>
    <w:p>
      <w:pPr>
        <w:spacing w:after="0" w:line="261" w:lineRule="auto"/>
        <w:rPr>
          <w:sz w:val="20"/>
          <w:szCs w:val="20"/>
          <w:color w:val="auto"/>
        </w:rPr>
      </w:pPr>
      <w:r>
        <w:rPr>
          <w:rFonts w:ascii="Arial" w:cs="Arial" w:eastAsia="Arial" w:hAnsi="Arial"/>
          <w:sz w:val="18"/>
          <w:szCs w:val="18"/>
          <w:color w:val="auto"/>
        </w:rPr>
        <w:t>Large accelerated filer o Accelerated filer x Non-accelerated filer o Smaller reporting company (Do not check if a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87" w:lineRule="exact"/>
        <w:rPr>
          <w:sz w:val="24"/>
          <w:szCs w:val="24"/>
          <w:color w:val="auto"/>
        </w:rPr>
      </w:pPr>
    </w:p>
    <w:p>
      <w:pPr>
        <w:sectPr>
          <w:pgSz w:w="11900" w:h="16838" w:orient="portrait"/>
          <w:cols w:equalWidth="0" w:num="2">
            <w:col w:w="7180" w:space="100"/>
            <w:col w:w="3780"/>
          </w:cols>
          <w:pgMar w:left="240" w:top="1284" w:right="599" w:bottom="1440" w:gutter="0" w:footer="0" w:header="0"/>
          <w:type w:val="continuous"/>
        </w:sectPr>
      </w:pPr>
    </w:p>
    <w:p>
      <w:pPr>
        <w:spacing w:after="0" w:line="227" w:lineRule="exact"/>
        <w:rPr>
          <w:sz w:val="24"/>
          <w:szCs w:val="24"/>
          <w:color w:val="auto"/>
        </w:rPr>
      </w:pPr>
    </w:p>
    <w:p>
      <w:pPr>
        <w:spacing w:after="0"/>
        <w:tabs>
          <w:tab w:leader="none" w:pos="83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oNo x</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August 6, 2008, there were 16,147,783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567690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1047750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284" w:right="599" w:bottom="1440" w:gutter="0" w:footer="0" w:header="0"/>
          <w:type w:val="continuous"/>
        </w:sectPr>
      </w:pPr>
    </w:p>
    <w:bookmarkStart w:id="1" w:name="page2"/>
    <w:bookmarkEnd w:id="1"/>
    <w:p>
      <w:pPr>
        <w:ind w:left="54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Part I.</w:t>
            </w:r>
          </w:p>
        </w:tc>
        <w:tc>
          <w:tcPr>
            <w:tcW w:w="9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Financial Information</w:t>
            </w:r>
          </w:p>
        </w:tc>
        <w:tc>
          <w:tcPr>
            <w:tcW w:w="420" w:type="dxa"/>
            <w:vAlign w:val="bottom"/>
          </w:tcPr>
          <w:p>
            <w:pPr>
              <w:ind w:left="40"/>
              <w:spacing w:after="0"/>
              <w:rPr>
                <w:sz w:val="20"/>
                <w:szCs w:val="20"/>
                <w:color w:val="auto"/>
              </w:rPr>
            </w:pPr>
            <w:r>
              <w:rPr>
                <w:rFonts w:ascii="Arial" w:cs="Arial" w:eastAsia="Arial" w:hAnsi="Arial"/>
                <w:sz w:val="18"/>
                <w:szCs w:val="18"/>
                <w:b w:val="1"/>
                <w:bCs w:val="1"/>
                <w:color w:val="auto"/>
                <w:w w:val="83"/>
              </w:rPr>
              <w:t>Page</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320" w:type="dxa"/>
            <w:vAlign w:val="bottom"/>
            <w:gridSpan w:val="2"/>
            <w:vMerge w:val="continue"/>
          </w:tcPr>
          <w:p>
            <w:pPr>
              <w:spacing w:after="0"/>
              <w:rPr>
                <w:sz w:val="9"/>
                <w:szCs w:val="9"/>
                <w:color w:val="auto"/>
              </w:rPr>
            </w:pPr>
          </w:p>
        </w:tc>
        <w:tc>
          <w:tcPr>
            <w:tcW w:w="9200" w:type="dxa"/>
            <w:vAlign w:val="bottom"/>
            <w:vMerge w:val="continue"/>
          </w:tcPr>
          <w:p>
            <w:pPr>
              <w:spacing w:after="0"/>
              <w:rPr>
                <w:sz w:val="9"/>
                <w:szCs w:val="9"/>
                <w:color w:val="auto"/>
              </w:rPr>
            </w:pPr>
          </w:p>
        </w:tc>
        <w:tc>
          <w:tcPr>
            <w:tcW w:w="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No.</w:t>
            </w: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5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w w:val="91"/>
              </w:rPr>
              <w:t>Consolidated Statements of Income and Comprehensive Income for the three and six months ended June 30, 2008 and 2007</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w w:val="99"/>
              </w:rPr>
              <w:t>(unaudited) ....................................................................................................................................................................</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w w:val="95"/>
              </w:rPr>
              <w:t>Condensed Consolidated Balance Sheets at June 30, 2008 and December 31, 2007 (unaudited)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w w:val="99"/>
              </w:rPr>
              <w:t>Consolidated Statements of Changes in Stockholders’ Equity for the six months ended June 30, 2008 (unaudited)...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w w:val="97"/>
              </w:rPr>
              <w:t>Consolidated Statements of Cash Flows for the six months ended June 30, 2008 and 2007 (unaudited)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80"/>
              <w:spacing w:after="0"/>
              <w:rPr>
                <w:sz w:val="20"/>
                <w:szCs w:val="20"/>
                <w:color w:val="auto"/>
              </w:rPr>
            </w:pPr>
            <w:r>
              <w:rPr>
                <w:rFonts w:ascii="Arial" w:cs="Arial" w:eastAsia="Arial" w:hAnsi="Arial"/>
                <w:sz w:val="18"/>
                <w:szCs w:val="18"/>
                <w:color w:val="auto"/>
                <w:w w:val="95"/>
              </w:rPr>
              <w:t>Notes to Consolidated Financial Statements (unaudited)......................................................................................................</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Pr>
          <w:p>
            <w:pPr>
              <w:ind w:left="80"/>
              <w:spacing w:after="0"/>
              <w:rPr>
                <w:sz w:val="20"/>
                <w:szCs w:val="20"/>
                <w:color w:val="auto"/>
              </w:rPr>
            </w:pPr>
            <w:r>
              <w:rPr>
                <w:rFonts w:ascii="Arial" w:cs="Arial" w:eastAsia="Arial" w:hAnsi="Arial"/>
                <w:sz w:val="18"/>
                <w:szCs w:val="18"/>
                <w:color w:val="auto"/>
                <w:w w:val="99"/>
              </w:rPr>
              <w:t>Management’s Discussion and Analysis of Financial Condition and Results of Operations.........................................</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Pr>
          <w:p>
            <w:pPr>
              <w:ind w:left="80"/>
              <w:spacing w:after="0"/>
              <w:rPr>
                <w:sz w:val="20"/>
                <w:szCs w:val="20"/>
                <w:color w:val="auto"/>
              </w:rPr>
            </w:pPr>
            <w:r>
              <w:rPr>
                <w:rFonts w:ascii="Arial" w:cs="Arial" w:eastAsia="Arial" w:hAnsi="Arial"/>
                <w:sz w:val="18"/>
                <w:szCs w:val="18"/>
                <w:color w:val="auto"/>
                <w:w w:val="96"/>
              </w:rPr>
              <w:t>Quantitative and Qualitative Disclosures about Market Risk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Pr>
          <w:p>
            <w:pPr>
              <w:ind w:left="80"/>
              <w:spacing w:after="0"/>
              <w:rPr>
                <w:sz w:val="20"/>
                <w:szCs w:val="20"/>
                <w:color w:val="auto"/>
              </w:rPr>
            </w:pPr>
            <w:r>
              <w:rPr>
                <w:rFonts w:ascii="Arial" w:cs="Arial" w:eastAsia="Arial" w:hAnsi="Arial"/>
                <w:sz w:val="18"/>
                <w:szCs w:val="18"/>
                <w:color w:val="auto"/>
                <w:w w:val="92"/>
              </w:rPr>
              <w:t>Controls and Procedures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200" w:type="dxa"/>
            <w:vAlign w:val="bottom"/>
          </w:tcPr>
          <w:p>
            <w:pPr>
              <w:ind w:left="80"/>
              <w:spacing w:after="0"/>
              <w:rPr>
                <w:sz w:val="20"/>
                <w:szCs w:val="20"/>
                <w:color w:val="auto"/>
              </w:rPr>
            </w:pPr>
            <w:r>
              <w:rPr>
                <w:rFonts w:ascii="Arial" w:cs="Arial" w:eastAsia="Arial" w:hAnsi="Arial"/>
                <w:sz w:val="18"/>
                <w:szCs w:val="18"/>
                <w:b w:val="1"/>
                <w:bCs w:val="1"/>
                <w:color w:val="auto"/>
              </w:rPr>
              <w:t>Other Information</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9200" w:type="dxa"/>
            <w:vAlign w:val="bottom"/>
          </w:tcPr>
          <w:p>
            <w:pPr>
              <w:ind w:left="80"/>
              <w:spacing w:after="0"/>
              <w:rPr>
                <w:sz w:val="20"/>
                <w:szCs w:val="20"/>
                <w:color w:val="auto"/>
              </w:rPr>
            </w:pPr>
            <w:r>
              <w:rPr>
                <w:rFonts w:ascii="Arial" w:cs="Arial" w:eastAsia="Arial" w:hAnsi="Arial"/>
                <w:sz w:val="18"/>
                <w:szCs w:val="18"/>
                <w:color w:val="auto"/>
                <w:w w:val="91"/>
              </w:rPr>
              <w:t>Legal Proceedings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9200" w:type="dxa"/>
            <w:vAlign w:val="bottom"/>
          </w:tcPr>
          <w:p>
            <w:pPr>
              <w:ind w:left="80"/>
              <w:spacing w:after="0"/>
              <w:rPr>
                <w:sz w:val="20"/>
                <w:szCs w:val="20"/>
                <w:color w:val="auto"/>
              </w:rPr>
            </w:pPr>
            <w:r>
              <w:rPr>
                <w:rFonts w:ascii="Arial" w:cs="Arial" w:eastAsia="Arial" w:hAnsi="Arial"/>
                <w:sz w:val="18"/>
                <w:szCs w:val="18"/>
                <w:color w:val="auto"/>
                <w:w w:val="90"/>
              </w:rPr>
              <w:t>Risk Factors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9200" w:type="dxa"/>
            <w:vAlign w:val="bottom"/>
          </w:tcPr>
          <w:p>
            <w:pPr>
              <w:ind w:left="80"/>
              <w:spacing w:after="0"/>
              <w:rPr>
                <w:sz w:val="20"/>
                <w:szCs w:val="20"/>
                <w:color w:val="auto"/>
              </w:rPr>
            </w:pPr>
            <w:r>
              <w:rPr>
                <w:rFonts w:ascii="Arial" w:cs="Arial" w:eastAsia="Arial" w:hAnsi="Arial"/>
                <w:sz w:val="18"/>
                <w:szCs w:val="18"/>
                <w:color w:val="auto"/>
                <w:w w:val="94"/>
              </w:rPr>
              <w:t>Unregistered Sales of Equity Securities and Use of Proceeds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9200" w:type="dxa"/>
            <w:vAlign w:val="bottom"/>
          </w:tcPr>
          <w:p>
            <w:pPr>
              <w:ind w:left="80"/>
              <w:spacing w:after="0"/>
              <w:rPr>
                <w:sz w:val="20"/>
                <w:szCs w:val="20"/>
                <w:color w:val="auto"/>
              </w:rPr>
            </w:pPr>
            <w:r>
              <w:rPr>
                <w:rFonts w:ascii="Arial" w:cs="Arial" w:eastAsia="Arial" w:hAnsi="Arial"/>
                <w:sz w:val="18"/>
                <w:szCs w:val="18"/>
                <w:color w:val="auto"/>
                <w:w w:val="92"/>
              </w:rPr>
              <w:t>Defaults Upon Senior Securities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9200" w:type="dxa"/>
            <w:vAlign w:val="bottom"/>
          </w:tcPr>
          <w:p>
            <w:pPr>
              <w:ind w:left="80"/>
              <w:spacing w:after="0"/>
              <w:rPr>
                <w:sz w:val="20"/>
                <w:szCs w:val="20"/>
                <w:color w:val="auto"/>
              </w:rPr>
            </w:pPr>
            <w:r>
              <w:rPr>
                <w:rFonts w:ascii="Arial" w:cs="Arial" w:eastAsia="Arial" w:hAnsi="Arial"/>
                <w:sz w:val="18"/>
                <w:szCs w:val="18"/>
                <w:color w:val="auto"/>
                <w:w w:val="95"/>
              </w:rPr>
              <w:t>Submission of Matters to a Vote of Security Holders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9200" w:type="dxa"/>
            <w:vAlign w:val="bottom"/>
          </w:tcPr>
          <w:p>
            <w:pPr>
              <w:ind w:left="80"/>
              <w:spacing w:after="0"/>
              <w:rPr>
                <w:sz w:val="20"/>
                <w:szCs w:val="20"/>
                <w:color w:val="auto"/>
              </w:rPr>
            </w:pPr>
            <w:r>
              <w:rPr>
                <w:rFonts w:ascii="Arial" w:cs="Arial" w:eastAsia="Arial" w:hAnsi="Arial"/>
                <w:sz w:val="18"/>
                <w:szCs w:val="18"/>
                <w:color w:val="auto"/>
                <w:w w:val="91"/>
              </w:rPr>
              <w:t>Other Information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9200" w:type="dxa"/>
            <w:vAlign w:val="bottom"/>
          </w:tcPr>
          <w:p>
            <w:pPr>
              <w:ind w:left="80"/>
              <w:spacing w:after="0"/>
              <w:rPr>
                <w:sz w:val="20"/>
                <w:szCs w:val="20"/>
                <w:color w:val="auto"/>
              </w:rPr>
            </w:pPr>
            <w:r>
              <w:rPr>
                <w:rFonts w:ascii="Arial" w:cs="Arial" w:eastAsia="Arial" w:hAnsi="Arial"/>
                <w:sz w:val="18"/>
                <w:szCs w:val="18"/>
                <w:color w:val="auto"/>
                <w:w w:val="90"/>
              </w:rPr>
              <w:t>Exhibits ...........................................................................................................................................................................................</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Arial" w:cs="Arial" w:eastAsia="Arial" w:hAnsi="Arial"/>
                <w:sz w:val="18"/>
                <w:szCs w:val="18"/>
                <w:color w:val="auto"/>
                <w:w w:val="88"/>
              </w:rPr>
              <w:t>Signatures</w:t>
            </w:r>
          </w:p>
        </w:tc>
        <w:tc>
          <w:tcPr>
            <w:tcW w:w="9200" w:type="dxa"/>
            <w:vAlign w:val="bottom"/>
          </w:tcPr>
          <w:p>
            <w:pPr>
              <w:ind w:left="80"/>
              <w:spacing w:after="0"/>
              <w:rPr>
                <w:sz w:val="20"/>
                <w:szCs w:val="20"/>
                <w:color w:val="auto"/>
              </w:rPr>
            </w:pPr>
            <w:r>
              <w:rPr>
                <w:rFonts w:ascii="Arial" w:cs="Arial" w:eastAsia="Arial" w:hAnsi="Arial"/>
                <w:sz w:val="18"/>
                <w:szCs w:val="18"/>
                <w:color w:val="auto"/>
                <w:w w:val="90"/>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0" w:type="dxa"/>
            <w:vAlign w:val="bottom"/>
          </w:tcPr>
          <w:p>
            <w:pPr>
              <w:ind w:left="43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9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9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4"/>
              </w:rPr>
              <w:t>Three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60" w:type="dxa"/>
            <w:vAlign w:val="bottom"/>
            <w:gridSpan w:val="2"/>
          </w:tcPr>
          <w:p>
            <w:pPr>
              <w:spacing w:after="0"/>
              <w:rPr>
                <w:sz w:val="20"/>
                <w:szCs w:val="20"/>
                <w:color w:val="auto"/>
              </w:rPr>
            </w:pPr>
            <w:r>
              <w:rPr>
                <w:rFonts w:ascii="Arial" w:cs="Arial" w:eastAsia="Arial" w:hAnsi="Arial"/>
                <w:sz w:val="18"/>
                <w:szCs w:val="18"/>
                <w:color w:val="auto"/>
              </w:rPr>
              <w:t>(Thousands of Dollars, Except Per Share Data)</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243,781</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and amortization shown separately below)</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97,248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85,929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193,741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171,010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Gain on disposal of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(4,018)</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(4,159)</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(284)</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20"/>
              <w:spacing w:after="0"/>
              <w:rPr>
                <w:sz w:val="20"/>
                <w:szCs w:val="20"/>
                <w:color w:val="auto"/>
              </w:rPr>
            </w:pPr>
            <w:r>
              <w:rPr>
                <w:rFonts w:ascii="Arial" w:cs="Arial" w:eastAsia="Arial" w:hAnsi="Arial"/>
                <w:sz w:val="18"/>
                <w:szCs w:val="18"/>
                <w:color w:val="auto"/>
              </w:rPr>
              <w:t>Foreign currency translation gain</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w:t>
            </w:r>
          </w:p>
        </w:tc>
        <w:tc>
          <w:tcPr>
            <w:tcW w:w="1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( 0.62)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15,899</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16,815</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850" w:right="1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gridSpan w:val="2"/>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60"/>
              <w:spacing w:after="0" w:line="201" w:lineRule="exact"/>
              <w:rPr>
                <w:sz w:val="20"/>
                <w:szCs w:val="20"/>
                <w:color w:val="auto"/>
              </w:rPr>
            </w:pPr>
            <w:r>
              <w:rPr>
                <w:rFonts w:ascii="Arial" w:cs="Arial" w:eastAsia="Arial" w:hAnsi="Arial"/>
                <w:sz w:val="18"/>
                <w:szCs w:val="18"/>
                <w:color w:val="auto"/>
              </w:rPr>
              <w:t>Accounts receivable, net of allowance for doubtful accounts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$410 and $1,412,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82,390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Goodwill,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16,807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85,257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17,579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Accrued pension and other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17,995</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224,003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155,500</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379,503</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17145</wp:posOffset>
            </wp:positionV>
            <wp:extent cx="1277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Accumulated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b w:val="1"/>
                <w:bCs w:val="1"/>
                <w:color w:val="auto"/>
                <w:w w:val="91"/>
              </w:rPr>
              <w:t>Other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Comprehen-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rPr>
              <w:t>Par</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Paid In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6"/>
              </w:rPr>
              <w:t>Retained</w:t>
            </w:r>
          </w:p>
        </w:tc>
        <w:tc>
          <w:tcPr>
            <w:tcW w:w="160" w:type="dxa"/>
            <w:vAlign w:val="bottom"/>
          </w:tcPr>
          <w:p>
            <w:pPr>
              <w:spacing w:after="0"/>
              <w:rPr>
                <w:sz w:val="18"/>
                <w:szCs w:val="18"/>
                <w:color w:val="auto"/>
              </w:rPr>
            </w:pPr>
          </w:p>
        </w:tc>
        <w:tc>
          <w:tcPr>
            <w:tcW w:w="860" w:type="dxa"/>
            <w:vAlign w:val="bottom"/>
          </w:tcPr>
          <w:p>
            <w:pPr>
              <w:jc w:val="center"/>
              <w:ind w:right="91"/>
              <w:spacing w:after="0"/>
              <w:rPr>
                <w:sz w:val="20"/>
                <w:szCs w:val="20"/>
                <w:color w:val="auto"/>
              </w:rPr>
            </w:pPr>
            <w:r>
              <w:rPr>
                <w:rFonts w:ascii="Arial" w:cs="Arial" w:eastAsia="Arial" w:hAnsi="Arial"/>
                <w:sz w:val="18"/>
                <w:szCs w:val="18"/>
                <w:b w:val="1"/>
                <w:bCs w:val="1"/>
                <w:color w:val="auto"/>
                <w:w w:val="79"/>
              </w:rPr>
              <w:t>sive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9"/>
              </w:rPr>
              <w:t>(Thousands of Dollars and Shares)</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Value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Earnings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57,083</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tcPr>
          <w:p>
            <w:pPr>
              <w:ind w:left="260"/>
              <w:spacing w:after="0" w:line="201" w:lineRule="exact"/>
              <w:rPr>
                <w:sz w:val="20"/>
                <w:szCs w:val="20"/>
                <w:color w:val="auto"/>
              </w:rPr>
            </w:pPr>
            <w:r>
              <w:rPr>
                <w:rFonts w:ascii="Arial" w:cs="Arial" w:eastAsia="Arial" w:hAnsi="Arial"/>
                <w:sz w:val="18"/>
                <w:szCs w:val="18"/>
                <w:color w:val="auto"/>
                <w:w w:val="89"/>
              </w:rPr>
              <w:t>Shares issued ($0.01 par value,</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ind w:left="400"/>
              <w:spacing w:after="0"/>
              <w:rPr>
                <w:sz w:val="20"/>
                <w:szCs w:val="20"/>
                <w:color w:val="auto"/>
              </w:rPr>
            </w:pPr>
            <w:r>
              <w:rPr>
                <w:rFonts w:ascii="Arial" w:cs="Arial" w:eastAsia="Arial" w:hAnsi="Arial"/>
                <w:sz w:val="18"/>
                <w:szCs w:val="18"/>
                <w:color w:val="auto"/>
              </w:rPr>
              <w:t>authorized 45,000 shares)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Tax benefit on options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Amortization of restricted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awards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260"/>
              <w:spacing w:after="0"/>
              <w:rPr>
                <w:sz w:val="20"/>
                <w:szCs w:val="20"/>
                <w:color w:val="auto"/>
              </w:rPr>
            </w:pPr>
            <w:r>
              <w:rPr>
                <w:rFonts w:ascii="Arial" w:cs="Arial" w:eastAsia="Arial" w:hAnsi="Arial"/>
                <w:sz w:val="18"/>
                <w:szCs w:val="18"/>
                <w:color w:val="auto"/>
              </w:rPr>
              <w:t>Stock option expense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Dividends declared</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60" w:type="dxa"/>
            <w:vAlign w:val="bottom"/>
          </w:tcPr>
          <w:p>
            <w:pPr>
              <w:ind w:left="220"/>
              <w:spacing w:after="0"/>
              <w:rPr>
                <w:sz w:val="20"/>
                <w:szCs w:val="20"/>
                <w:color w:val="auto"/>
              </w:rPr>
            </w:pPr>
            <w:r>
              <w:rPr>
                <w:rFonts w:ascii="Arial" w:cs="Arial" w:eastAsia="Arial" w:hAnsi="Arial"/>
                <w:sz w:val="18"/>
                <w:szCs w:val="18"/>
                <w:color w:val="auto"/>
              </w:rPr>
              <w:t>Translation gain</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68,811</w:t>
            </w:r>
          </w:p>
        </w:tc>
        <w:tc>
          <w:tcPr>
            <w:tcW w:w="1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39,369</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960" w:type="dxa"/>
            <w:vAlign w:val="bottom"/>
            <w:gridSpan w:val="2"/>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2007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80"/>
              <w:spacing w:after="0"/>
              <w:rPr>
                <w:sz w:val="20"/>
                <w:szCs w:val="20"/>
                <w:color w:val="auto"/>
              </w:rPr>
            </w:pPr>
            <w:r>
              <w:rPr>
                <w:rFonts w:ascii="Arial" w:cs="Arial" w:eastAsia="Arial" w:hAnsi="Arial"/>
                <w:sz w:val="18"/>
                <w:szCs w:val="18"/>
                <w:color w:val="auto"/>
              </w:rPr>
              <w:t>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14,273</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rPr>
              <w:t>Adjustments to reconcile net income (loss) to net cash provided by operating</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issue costs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Gain on disposal of property, plant and equipment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(4,159)</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expense from issuance of restricted stock and incentive stock options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Non-cash interest expense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(14,825)</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assets and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6,290</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property, plant and equipment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disposals of property, plant and equipment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intangibles and goodwill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40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(3,165)</w:t>
            </w:r>
          </w:p>
        </w:tc>
        <w:tc>
          <w:tcPr>
            <w:tcW w:w="2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cash from book overdraft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short-term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(3,839)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Repayment of long-term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short-term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Principal payment on capital lease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Proceeds from issuance of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long term debt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Debt issuance cost 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8"/>
                <w:szCs w:val="18"/>
                <w:color w:val="auto"/>
              </w:rPr>
              <w:t>Repayment of related party debt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(18,638)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(used) by financing activities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13,029</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80" w:type="dxa"/>
            <w:vAlign w:val="bottom"/>
            <w:tcBorders>
              <w:right w:val="single" w:sz="8" w:color="CCEEFF"/>
            </w:tcBorders>
            <w:shd w:val="clear" w:color="auto" w:fill="CCEEFF"/>
          </w:tcPr>
          <w:p>
            <w:pPr>
              <w:spacing w:after="0"/>
              <w:rPr>
                <w:sz w:val="22"/>
                <w:szCs w:val="22"/>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spacing w:after="0" w:line="201" w:lineRule="exact"/>
              <w:rPr>
                <w:sz w:val="20"/>
                <w:szCs w:val="20"/>
                <w:color w:val="auto"/>
              </w:rPr>
            </w:pPr>
            <w:r>
              <w:rPr>
                <w:rFonts w:ascii="Arial" w:cs="Arial" w:eastAsia="Arial" w:hAnsi="Arial"/>
                <w:sz w:val="18"/>
                <w:szCs w:val="18"/>
                <w:color w:val="auto"/>
                <w:w w:val="95"/>
              </w:rPr>
              <w:t>Reduced note payable to customer with offsetting reduction to accounts receivable ($797 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220"/>
              <w:spacing w:after="0"/>
              <w:rPr>
                <w:sz w:val="20"/>
                <w:szCs w:val="20"/>
                <w:color w:val="auto"/>
              </w:rPr>
            </w:pPr>
            <w:r>
              <w:rPr>
                <w:rFonts w:ascii="Arial" w:cs="Arial" w:eastAsia="Arial" w:hAnsi="Arial"/>
                <w:sz w:val="18"/>
                <w:szCs w:val="18"/>
                <w:color w:val="auto"/>
                <w:w w:val="97"/>
              </w:rPr>
              <w:t>and $707 in 2007) and an increase to interest expense ($102 in 2008 and $90 in 2007)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695</w:t>
            </w:r>
          </w:p>
        </w:tc>
        <w:tc>
          <w:tcPr>
            <w:tcW w:w="18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513" w:right="137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Interim Financial Statements</w:t>
      </w:r>
    </w:p>
    <w:p>
      <w:pPr>
        <w:spacing w:after="0" w:line="25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consolidated financial statements of NN, Inc. (the “Company”) have not been audited, except that the balance sheet at December 31, 2007 is derived from the Company’s consolidated audited financial statements. In the opinion of the Company’s management, the financial statements reflect all adjustments necessary to fairly state the results of operations for the three and six month periods ended June 30, 2008 and 2007, the Company’s financial position at June 30, 2008 and December 31, 2007, and the cash flows for the six month periods ended June 30, 2008 and 2007.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2007 which we filed with the Securities and Exchange Commission on March 17, 2008.</w:t>
      </w:r>
    </w:p>
    <w:p>
      <w:pPr>
        <w:spacing w:after="0" w:line="21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results for the three and six month periods ended June 30, 2008 are not necessarily indicative of results for the year ending December 31, 2008 or any other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2007 financial statements have been reclassified to conform to the 2008 financial statement presentation.</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Restructuring and Impairment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 Restructuring, Impairment and Other Cost Reduction Actions</w:t>
      </w:r>
    </w:p>
    <w:p>
      <w:pPr>
        <w:spacing w:after="0" w:line="25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July 25, 2007, we announced several actions intended to improve corporate financial performance that resulted in the recognition of certain restructuring, impairment and other non-recurring charges. Earlier in July 2007, management made a decision that, at that time, to reduce output at four of the six ball plants would be the best financial and logistical solution to align capacity. Since the reporting value of tangible and intangible assets must be supported by cash flow from the operations, the changes resulted in reductions in value of certain tangible and intangible assets at the affected ball plants.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second quarter of 2007, we recorded approximately $13,336 ($12,624 after-tax) of non-cash impairment costs. These charges included the write-down to estimated fair market value of certain excess production equipment of $3,320 ($3,212 after tax) and the full impairment of goodwill at one European reporting unit of $10,016 ($9,412 after tax) to levels supported by projected cash flows after the restructuring. These impairments were calculated using present value of expected future cash flows methods pursuant to SFAS 142 for the goodwill and estimates of fair value pursuant to SFAS 144 for the fixed assets.</w:t>
      </w:r>
    </w:p>
    <w:p>
      <w:pPr>
        <w:spacing w:after="0" w:line="2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Inventories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stated at the lower of cost or market. Cost is determined using the first-in, first-out method.</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Inventories are comprised of the following (in thousands):</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4"/>
              </w:rPr>
              <w:t>December</w:t>
            </w: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r>
      <w:tr>
        <w:trPr>
          <w:trHeight w:val="241"/>
        </w:trPr>
        <w:tc>
          <w:tcPr>
            <w:tcW w:w="11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Work in process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13,034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29,049</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Less inventory reserves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r>
      <w:tr>
        <w:trPr>
          <w:trHeight w:val="27"/>
        </w:trPr>
        <w:tc>
          <w:tcPr>
            <w:tcW w:w="11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56,454</w:t>
            </w:r>
          </w:p>
        </w:tc>
        <w:tc>
          <w:tcPr>
            <w:tcW w:w="18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51,821</w:t>
            </w:r>
          </w:p>
        </w:tc>
        <w:tc>
          <w:tcPr>
            <w:tcW w:w="80" w:type="dxa"/>
            <w:vAlign w:val="bottom"/>
            <w:shd w:val="clear" w:color="auto" w:fill="CCEEFF"/>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2008 and December 31, 2007 totaled $7,262 and $5,702, respectively.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Note 4.  Net Income Per 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vMerge w:val="restart"/>
          </w:tcPr>
          <w:p>
            <w:pPr>
              <w:jc w:val="right"/>
              <w:ind w:right="34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5"/>
            <w:vMerge w:val="restart"/>
          </w:tcPr>
          <w:p>
            <w:pPr>
              <w:jc w:val="right"/>
              <w:ind w:right="3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461"/>
        </w:trPr>
        <w:tc>
          <w:tcPr>
            <w:tcW w:w="5900" w:type="dxa"/>
            <w:vAlign w:val="bottom"/>
            <w:gridSpan w:val="2"/>
          </w:tcPr>
          <w:p>
            <w:pPr>
              <w:ind w:left="1140"/>
              <w:spacing w:after="0"/>
              <w:rPr>
                <w:sz w:val="20"/>
                <w:szCs w:val="20"/>
                <w:color w:val="auto"/>
              </w:rPr>
            </w:pPr>
            <w:r>
              <w:rPr>
                <w:rFonts w:ascii="Arial" w:cs="Arial" w:eastAsia="Arial" w:hAnsi="Arial"/>
                <w:sz w:val="18"/>
                <w:szCs w:val="18"/>
                <w:color w:val="auto"/>
              </w:rPr>
              <w:t>(Thousands of Dollars, Except Share and Per Share Data)</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(10,365)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15,898,888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16,815,249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15,867,284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16,813,871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155,011</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dilutive shares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16,053,899</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16,815,249</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15,978,246</w:t>
            </w: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16,813,871</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Excluded from the dilutive shares outstanding for the three and six month periods ended June 30, 2008 were 420,500 and 973,332, respectively, of anti-dilutive options which had exercise prices ranging from $9.36 to $12.62. Excluded from the dilutive shares outstanding for the three and six month periods ended June 30, 2007 were 624,000 anti-dilutive options which had exercise prices ranging from $11.29 and $12.62.</w:t>
      </w:r>
    </w:p>
    <w:p>
      <w:pPr>
        <w:spacing w:after="0" w:line="21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“Segment Information” footnote and the “Summary of Significant Accounting Policies and Practices” footnote, respectively, in our financial statements included in our annual report on Form 10-K for the fiscal year ended December 31, 2007. We evaluate segment performance based on segment net income or loss after income taxes. We account for inter-segment sales and transfers at current market prices. We did not have any significant inter-segment transactions during the three and six month periods ended June 30, 2008 and 2007.</w:t>
      </w: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70" w:right="3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8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Three Months Ended June 30,</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0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2008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Plastic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Plastic</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Metal</w:t>
            </w: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Precision</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and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Metal</w:t>
            </w: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Precision</w:t>
            </w: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and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Bearing</w:t>
            </w: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Metal</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Rubber</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Bearing</w:t>
            </w: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Metal</w:t>
            </w: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Rubber</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Com-</w:t>
            </w: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Com-</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5"/>
              </w:rPr>
              <w:t>Com-</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Com-</w:t>
            </w: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Com-</w:t>
            </w: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Com-</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(In Thousands of</w:t>
            </w: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ponents</w:t>
            </w: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ponents</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85"/>
              </w:rPr>
              <w:t>ponents</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90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ponents</w:t>
            </w: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ponents</w:t>
            </w:r>
          </w:p>
        </w:tc>
        <w:tc>
          <w:tcPr>
            <w:tcW w:w="96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ponents</w:t>
            </w:r>
          </w:p>
        </w:tc>
        <w:tc>
          <w:tcPr>
            <w:tcW w:w="8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5"/>
              </w:rPr>
              <w:t>All</w:t>
            </w:r>
          </w:p>
        </w:tc>
        <w:tc>
          <w:tcPr>
            <w:tcW w:w="0" w:type="dxa"/>
            <w:vAlign w:val="bottom"/>
          </w:tcPr>
          <w:p>
            <w:pPr>
              <w:spacing w:after="0"/>
              <w:rPr>
                <w:sz w:val="1"/>
                <w:szCs w:val="1"/>
                <w:color w:val="auto"/>
              </w:rPr>
            </w:pPr>
          </w:p>
        </w:tc>
      </w:tr>
      <w:tr>
        <w:trPr>
          <w:trHeight w:val="241"/>
        </w:trPr>
        <w:tc>
          <w:tcPr>
            <w:tcW w:w="182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9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Segment</w:t>
            </w:r>
          </w:p>
        </w:tc>
        <w:tc>
          <w:tcPr>
            <w:tcW w:w="98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Segment</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20"/>
                <w:szCs w:val="20"/>
                <w:color w:val="auto"/>
              </w:rPr>
            </w:pPr>
          </w:p>
        </w:tc>
        <w:tc>
          <w:tcPr>
            <w:tcW w:w="90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Segment</w:t>
            </w:r>
          </w:p>
        </w:tc>
        <w:tc>
          <w:tcPr>
            <w:tcW w:w="9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Segment</w:t>
            </w:r>
          </w:p>
        </w:tc>
        <w:tc>
          <w:tcPr>
            <w:tcW w:w="96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Segment</w:t>
            </w:r>
          </w:p>
        </w:tc>
        <w:tc>
          <w:tcPr>
            <w:tcW w:w="80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Revenues from external</w:t>
            </w:r>
          </w:p>
        </w:tc>
        <w:tc>
          <w:tcPr>
            <w:tcW w:w="9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94,248</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$ 17,188</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$ 10,804</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$ 76,275</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$ 17,108</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$ 13,919</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10,537</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(8,594)</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$ 268,676</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$ 54,321</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$ 52,457</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$ 4,049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$ 231,614</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$ 53,064</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$ 52,182</w:t>
            </w:r>
          </w:p>
        </w:tc>
        <w:tc>
          <w:tcPr>
            <w:tcW w:w="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80" w:type="dxa"/>
            <w:vAlign w:val="bottom"/>
            <w:gridSpan w:val="5"/>
          </w:tcPr>
          <w:p>
            <w:pPr>
              <w:jc w:val="right"/>
              <w:ind w:right="750"/>
              <w:spacing w:after="0"/>
              <w:rPr>
                <w:sz w:val="20"/>
                <w:szCs w:val="20"/>
                <w:color w:val="auto"/>
              </w:rPr>
            </w:pPr>
            <w:r>
              <w:rPr>
                <w:rFonts w:ascii="Arial" w:cs="Arial" w:eastAsia="Arial" w:hAnsi="Arial"/>
                <w:sz w:val="18"/>
                <w:szCs w:val="18"/>
                <w:b w:val="1"/>
                <w:bCs w:val="1"/>
                <w:color w:val="auto"/>
              </w:rPr>
              <w:t>Six Months Ended June 30,</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0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2008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0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2007</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Plastic</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Plastic</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9"/>
              </w:rPr>
              <w:t>Metal</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Precision</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and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200"/>
              <w:spacing w:after="0"/>
              <w:rPr>
                <w:sz w:val="20"/>
                <w:szCs w:val="20"/>
                <w:color w:val="auto"/>
              </w:rPr>
            </w:pPr>
            <w:r>
              <w:rPr>
                <w:rFonts w:ascii="Arial" w:cs="Arial" w:eastAsia="Arial" w:hAnsi="Arial"/>
                <w:sz w:val="18"/>
                <w:szCs w:val="18"/>
                <w:b w:val="1"/>
                <w:bCs w:val="1"/>
                <w:color w:val="auto"/>
              </w:rPr>
              <w:t>Metal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8"/>
              </w:rPr>
              <w:t>Precision</w:t>
            </w: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and</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Bearing</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Metal</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Rubber</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Bearing</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Metal</w:t>
            </w: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Rubber</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Com-</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5"/>
              </w:rPr>
              <w:t>Com-</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5"/>
              </w:rPr>
              <w:t>Com-</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Com-</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5"/>
              </w:rPr>
              <w:t>Com-</w:t>
            </w: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Com-</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(In Thousands of</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ponents</w:t>
            </w:r>
          </w:p>
        </w:tc>
        <w:tc>
          <w:tcPr>
            <w:tcW w:w="620" w:type="dxa"/>
            <w:vAlign w:val="bottom"/>
          </w:tcPr>
          <w:p>
            <w:pPr>
              <w:jc w:val="center"/>
              <w:ind w:left="50"/>
              <w:spacing w:after="0"/>
              <w:rPr>
                <w:sz w:val="20"/>
                <w:szCs w:val="20"/>
                <w:color w:val="auto"/>
              </w:rPr>
            </w:pPr>
            <w:r>
              <w:rPr>
                <w:rFonts w:ascii="Arial" w:cs="Arial" w:eastAsia="Arial" w:hAnsi="Arial"/>
                <w:sz w:val="18"/>
                <w:szCs w:val="18"/>
                <w:b w:val="1"/>
                <w:bCs w:val="1"/>
                <w:color w:val="auto"/>
              </w:rPr>
              <w:t>All</w:t>
            </w:r>
          </w:p>
        </w:tc>
        <w:tc>
          <w:tcPr>
            <w:tcW w:w="240" w:type="dxa"/>
            <w:vAlign w:val="bottom"/>
          </w:tcPr>
          <w:p>
            <w:pPr>
              <w:spacing w:after="0"/>
              <w:rPr>
                <w:sz w:val="18"/>
                <w:szCs w:val="18"/>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ponents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5"/>
              </w:rPr>
              <w:t>ponents</w:t>
            </w: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ponents</w:t>
            </w:r>
          </w:p>
        </w:tc>
        <w:tc>
          <w:tcPr>
            <w:tcW w:w="80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5"/>
              </w:rPr>
              <w:t>All</w:t>
            </w:r>
          </w:p>
        </w:tc>
        <w:tc>
          <w:tcPr>
            <w:tcW w:w="0" w:type="dxa"/>
            <w:vAlign w:val="bottom"/>
          </w:tcPr>
          <w:p>
            <w:pPr>
              <w:spacing w:after="0"/>
              <w:rPr>
                <w:sz w:val="1"/>
                <w:szCs w:val="1"/>
                <w:color w:val="auto"/>
              </w:rPr>
            </w:pPr>
          </w:p>
        </w:tc>
      </w:tr>
      <w:tr>
        <w:trPr>
          <w:trHeight w:val="241"/>
        </w:trPr>
        <w:tc>
          <w:tcPr>
            <w:tcW w:w="182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620" w:type="dxa"/>
            <w:vAlign w:val="bottom"/>
          </w:tcPr>
          <w:p>
            <w:pPr>
              <w:jc w:val="center"/>
              <w:ind w:left="7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w w:val="99"/>
              </w:rPr>
              <w:t>Segment</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96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Segment</w:t>
            </w:r>
          </w:p>
        </w:tc>
        <w:tc>
          <w:tcPr>
            <w:tcW w:w="80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3"/>
              </w:rPr>
              <w:t>Revenues from external</w:t>
            </w:r>
          </w:p>
        </w:tc>
        <w:tc>
          <w:tcPr>
            <w:tcW w:w="9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customers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$ 184,688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$ 36,287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$ 22,806</w:t>
            </w:r>
          </w:p>
        </w:tc>
        <w:tc>
          <w:tcPr>
            <w:tcW w:w="6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$ 153,559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$ 35,136</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$ 26,551</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(3,712)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$ 268,676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$ 54,321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$ 52,457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$ 4,049</w:t>
            </w:r>
          </w:p>
        </w:tc>
        <w:tc>
          <w:tcPr>
            <w:tcW w:w="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$ 231,614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$53,064</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$52,182</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Pensions</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defined benefit pension plan covering the employees at our Eltmann, Germany facility. The benefits are based on the expected years of service; however, as the plan was curtailed in 2006, the plan no longer incurs service cost. The plan is unfunded. There were no prior service costs recognized in the three and six months ended June 30, 2008 and 2007</w:t>
      </w:r>
      <w:r>
        <w:rPr>
          <w:rFonts w:ascii="Arial" w:cs="Arial" w:eastAsia="Arial" w:hAnsi="Arial"/>
          <w:sz w:val="18"/>
          <w:szCs w:val="18"/>
          <w:b w:val="1"/>
          <w:bCs w:val="1"/>
          <w:color w:val="auto"/>
        </w:rPr>
        <w:t>.</w:t>
      </w:r>
      <w:r>
        <w:rPr>
          <w:rFonts w:ascii="Arial" w:cs="Arial" w:eastAsia="Arial" w:hAnsi="Arial"/>
          <w:sz w:val="18"/>
          <w:szCs w:val="18"/>
          <w:color w:val="auto"/>
        </w:rPr>
        <w:t xml:space="preserve"> We expect to contribute approximately $297 to the Eltmann, Germany pension plan in 2008. As of June 30, 2008, approximately $149 of contributions had been made.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0" w:right="27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Indemnity</w:t>
      </w:r>
    </w:p>
    <w:p>
      <w:pPr>
        <w:spacing w:after="0" w:line="256"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six month periods ended June 30, 2008 and 2007:</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0"/>
              </w:rPr>
              <w:t>Three months ended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6"/>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 Thousands of Dollars)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2007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4"/>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9,085</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Amounts accrued</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Payments to pension funds</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9,120</w:t>
            </w:r>
          </w:p>
        </w:tc>
        <w:tc>
          <w:tcPr>
            <w:tcW w:w="18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8,431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9,120</w:t>
            </w:r>
          </w:p>
        </w:tc>
        <w:tc>
          <w:tcPr>
            <w:tcW w:w="1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and Early Retirement Provisions</w:t>
      </w:r>
    </w:p>
    <w:p>
      <w:pPr>
        <w:spacing w:after="0" w:line="25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have two plans that cover our Veenendaal, The Netherlands employees. One provides an award for employees who achieve 25 or 40 years of service and the other is for employees who retire before normal retirement age. These plans are both unfunded and the benefits are based on years of service and rate of compensation increase. The table below summarizes the changes in the two plans combined during the three and six month periods ended June 30, 2008 and 2007.</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ind w:left="1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color w:val="auto"/>
                <w:w w:val="89"/>
              </w:rPr>
              <w:t>2007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w w:val="89"/>
              </w:rPr>
              <w:t>2007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Service cost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Benefits paid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Currency impacts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w:t>
            </w:r>
          </w:p>
        </w:tc>
        <w:tc>
          <w:tcPr>
            <w:tcW w:w="16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5"/>
          <w:szCs w:val="15"/>
          <w:b w:val="1"/>
          <w:bCs w:val="1"/>
          <w:color w:val="auto"/>
        </w:rPr>
        <w:t>New Accounting Pronouncements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provides guidance on how to measure assets and liabilities that are measured at fair value. SFAS 157 applies whenever another U.S. GAAP standard requires (or permits) assets or liabilities to be measured at fair value but does not expand the use of fair value to any new circumstances. This standard requires additional disclosures in both annual and quarterly reports. SFAS 157 was effective for financial statements issued for fiscal years beginning after November 15, 2007, excluding non-financial assets and liabilities except those that are recognized or disclosed at fair value on a recurring basis. The adoption of SFAS 157 for non-financial assets and liabilities was deferred until January 1, 2009. We are still evaluating the effect of adoption of SFAS 157 on our non-financial assets and liabilities. We adopted the provisions of SFAS 157 that pertain to financial assets and liabilities on January 1, 2008 and this has had no effect on our income from operations, cash flows, and financial condition.</w:t>
      </w:r>
    </w:p>
    <w:p>
      <w:pPr>
        <w:spacing w:after="0" w:line="21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February, 2007, the FASB issued SFAS 159, "</w:t>
      </w:r>
      <w:r>
        <w:rPr>
          <w:rFonts w:ascii="Arial" w:cs="Arial" w:eastAsia="Arial" w:hAnsi="Arial"/>
          <w:sz w:val="17"/>
          <w:szCs w:val="17"/>
          <w:i w:val="1"/>
          <w:iCs w:val="1"/>
          <w:color w:val="auto"/>
        </w:rPr>
        <w:t>The Fair Value Option for Financial Assets and Financial Liabilities—Including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 No. 115</w:t>
      </w:r>
      <w:r>
        <w:rPr>
          <w:rFonts w:ascii="Arial" w:cs="Arial" w:eastAsia="Arial" w:hAnsi="Arial"/>
          <w:sz w:val="17"/>
          <w:szCs w:val="17"/>
          <w:color w:val="auto"/>
        </w:rPr>
        <w:t>" (SFAS 159). SFAS 159 permits companies to choose to measure many financial instruments and certain other items at fair value at</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election dates. Upon adoption, an entity shall report unrealized gains and losses on items for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0" w:name="page11"/>
    <w:bookmarkEnd w:id="10"/>
    <w:p>
      <w:pPr>
        <w:ind w:right="160"/>
        <w:spacing w:after="0" w:line="257" w:lineRule="auto"/>
        <w:rPr>
          <w:sz w:val="20"/>
          <w:szCs w:val="20"/>
          <w:color w:val="auto"/>
        </w:rPr>
      </w:pPr>
      <w:r>
        <w:rPr>
          <w:rFonts w:ascii="Arial" w:cs="Arial" w:eastAsia="Arial" w:hAnsi="Arial"/>
          <w:sz w:val="18"/>
          <w:szCs w:val="18"/>
          <w:color w:val="auto"/>
        </w:rPr>
        <w:t>which the fair value option has been elected in earnings at each subsequent reporting date. Most of the provisions apply only to entities that elect the fair value option. However, the amendment to SFAS 115, "Accounting for Certain Investments in Debt and Equity Securities," applies to all entities with available for sale and trading securities. SFAS 159 was effective for us as of January 1, 2008. We have elected not to adopt the provisions of SFAS 159 for our existing financial liabilities. We will continue to report our existing financial liabilities on a cost basis as we believe this is a better representation of our actual financial obligations.</w:t>
      </w:r>
    </w:p>
    <w:p>
      <w:pPr>
        <w:spacing w:after="0" w:line="2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2007, the FASB issued SFAS No. 141 (revised 2007) "Business Combinations" ("SFAS No. 141R") which replaces SFAS No. 141 "Business Combinations" ("SFAS No. 141"). SFAS No. 141R retains the fundamental requirements of SFAS No. 141 that the acquisition method of accounting be used for all business combinations. However, SFAS No. 141R provides for the following changes from SFAS No. 141: an acquirer will record 100% of assets and liabilities of acquired business, including goodwill, at fair value, regardless of the level of interest acquired; certain contingent assets and liabilities will be recognized at fair value at the acquisition date; contingent consideration will be recognized at fair value on the acquisition date with changes in fair value to be recognized in earnings upon settlement; acquisition-related transaction and restructuring costs will be expensed as incurred; reversals of valuation allowances related to acquired deferred tax assets and changes to acquired income tax uncertainties will be recognized in earnings; and when making adjustments to finalize preliminary accounting, acquirers will revise any previously issued post-acquisition financial information in future financial statements to reflect any adjustments as if they occurred on the acquisition date. SFAS No. 141R applies prospectively to business combinations for which the acquisition date is on or after January 1, 2009. SFAS No. 141R will not have an impact on the Company's consolidated financial statements when effective, but the nature and magnitude of the specific effects will depend upon the nature, terms, and size of the acquisitions consummated after the effective date.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Note 8.  Long-Term Debt and Short-Term Debt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00" w:type="dxa"/>
            <w:vAlign w:val="bottom"/>
            <w:gridSpan w:val="2"/>
          </w:tcPr>
          <w:p>
            <w:pPr>
              <w:spacing w:after="0"/>
              <w:rPr>
                <w:sz w:val="20"/>
                <w:szCs w:val="20"/>
                <w:color w:val="auto"/>
              </w:rPr>
            </w:pPr>
            <w:r>
              <w:rPr>
                <w:rFonts w:ascii="Arial" w:cs="Arial" w:eastAsia="Arial" w:hAnsi="Arial"/>
                <w:sz w:val="18"/>
                <w:szCs w:val="18"/>
                <w:color w:val="auto"/>
              </w:rPr>
              <w:t>Long-term debt at June 30, 2008 and December 31, 2007 consisted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1"/>
              </w:rPr>
              <w:t>June 30,</w:t>
            </w:r>
          </w:p>
        </w:tc>
        <w:tc>
          <w:tcPr>
            <w:tcW w:w="180" w:type="dxa"/>
            <w:vAlign w:val="bottom"/>
          </w:tcPr>
          <w:p>
            <w:pPr>
              <w:spacing w:after="0"/>
              <w:rPr>
                <w:sz w:val="24"/>
                <w:szCs w:val="2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31, 2007</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Borrowings under our $135,000 revolving credit facility bearing interest at a floating rate equal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to LIBOR (2.46% at June 30, 2008) plus an applicable margin of 0.60 to 0.925, expiring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September 20, 2011.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70,476</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Borrowings under our $40,000 aggregate principal amount of senior notes bearing interest at a</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fixed rate of 4.89% maturing on April 26, 2014. Annual principal payments of $5,714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began on April 26, 2008 and extend through the date of maturity.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34,286</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vMerge w:val="continue"/>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Long term note payable with customer related to acquiring equipment from customer as part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long term supply agreement. Note carries a 0% rate of interest. Interest on this note has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been imputed at a rate of 5.41%. Note is reduced by applying a fixed amount per piece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purchased by customer.</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0" w:type="dxa"/>
            <w:vAlign w:val="bottom"/>
            <w:tcBorders>
              <w:bottom w:val="single" w:sz="8" w:color="CCEEFF"/>
            </w:tcBorders>
            <w:shd w:val="clear" w:color="auto" w:fill="CCEE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Less current maturities of 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7,624</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tcPr>
          <w:p>
            <w:pPr>
              <w:spacing w:after="0"/>
              <w:rPr>
                <w:sz w:val="22"/>
                <w:szCs w:val="22"/>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Long-term debt, excluding current maturities of long-term debt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1160" w:type="dxa"/>
            <w:vAlign w:val="bottom"/>
          </w:tcPr>
          <w:p>
            <w:pPr>
              <w:spacing w:after="0"/>
              <w:rPr>
                <w:sz w:val="24"/>
                <w:szCs w:val="24"/>
                <w:color w:val="auto"/>
              </w:rPr>
            </w:pPr>
          </w:p>
        </w:tc>
        <w:tc>
          <w:tcPr>
            <w:tcW w:w="6940" w:type="dxa"/>
            <w:vAlign w:val="bottom"/>
            <w:tcBorders>
              <w:top w:val="single" w:sz="8" w:color="CCEEFF"/>
            </w:tcBorders>
          </w:tcPr>
          <w:p>
            <w:pPr>
              <w:ind w:left="446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6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current maturities of long-term debt as of June 30, 2008 are composed primarily of $1,036 of short term borrowings under the short term portion of the revolving credit facility and the $5,714 second installment on our senior notes due April 26, 2009.</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were in compliance with all covenants related to the $135.0 million credit facility and the $40.0 million senior notes as of June 30, 2008. The specific covenants to which we are subject are disclosed in our annual report on Form 10-K for the year ended December 31, 2007.</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Goodwill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six month period ended June 30, 2008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Arial" w:cs="Arial" w:eastAsia="Arial" w:hAnsi="Arial"/>
                <w:sz w:val="18"/>
                <w:szCs w:val="18"/>
                <w:b w:val="1"/>
                <w:bCs w:val="1"/>
                <w:color w:val="auto"/>
              </w:rPr>
              <w:t>Goodwill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6"/>
              </w:rPr>
              <w:t>Precision</w:t>
            </w:r>
          </w:p>
        </w:tc>
        <w:tc>
          <w:tcPr>
            <w:tcW w:w="80" w:type="dxa"/>
            <w:vAlign w:val="bottom"/>
          </w:tcPr>
          <w:p>
            <w:pPr>
              <w:spacing w:after="0"/>
              <w:rPr>
                <w:sz w:val="17"/>
                <w:szCs w:val="17"/>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0"/>
              </w:rPr>
              <w:t>Plastic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Metal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Rubber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Bearing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Components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160" w:type="dxa"/>
            <w:vAlign w:val="bottom"/>
            <w:gridSpan w:val="2"/>
          </w:tcPr>
          <w:p>
            <w:pPr>
              <w:ind w:left="440"/>
              <w:spacing w:after="0"/>
              <w:rPr>
                <w:sz w:val="20"/>
                <w:szCs w:val="20"/>
                <w:color w:val="auto"/>
              </w:rPr>
            </w:pPr>
            <w:r>
              <w:rPr>
                <w:rFonts w:ascii="Arial" w:cs="Arial" w:eastAsia="Arial" w:hAnsi="Arial"/>
                <w:sz w:val="18"/>
                <w:szCs w:val="18"/>
                <w:color w:val="auto"/>
              </w:rPr>
              <w:t>(In Thousands of Dollars)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Segment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460" w:type="dxa"/>
            <w:vAlign w:val="bottom"/>
            <w:vMerge w:val="restart"/>
          </w:tcPr>
          <w:p>
            <w:pPr>
              <w:spacing w:after="0"/>
              <w:rPr>
                <w:sz w:val="2"/>
                <w:szCs w:val="2"/>
                <w:color w:val="auto"/>
              </w:rPr>
            </w:pPr>
          </w:p>
        </w:tc>
        <w:tc>
          <w:tcPr>
            <w:tcW w:w="4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9,442</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Currency impacts</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2008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10,407</w:t>
            </w: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10.  Intangible assets, net of amortization</w:t>
            </w:r>
          </w:p>
        </w:tc>
        <w:tc>
          <w:tcPr>
            <w:tcW w:w="1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1"/>
        </w:trPr>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60" w:type="dxa"/>
            <w:vAlign w:val="bottom"/>
            <w:gridSpan w:val="2"/>
          </w:tcPr>
          <w:p>
            <w:pPr>
              <w:ind w:left="1020"/>
              <w:spacing w:after="0"/>
              <w:rPr>
                <w:sz w:val="20"/>
                <w:szCs w:val="20"/>
                <w:color w:val="auto"/>
              </w:rPr>
            </w:pPr>
            <w:r>
              <w:rPr>
                <w:rFonts w:ascii="Arial" w:cs="Arial" w:eastAsia="Arial" w:hAnsi="Arial"/>
                <w:sz w:val="18"/>
                <w:szCs w:val="18"/>
                <w:b w:val="1"/>
                <w:bCs w:val="1"/>
                <w:color w:val="auto"/>
              </w:rPr>
              <w:t>Precision</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Metal</w:t>
            </w:r>
          </w:p>
        </w:tc>
        <w:tc>
          <w:tcPr>
            <w:tcW w:w="16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Metal Bearing</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4660" w:type="dxa"/>
            <w:vAlign w:val="bottom"/>
          </w:tcPr>
          <w:p>
            <w:pPr>
              <w:spacing w:after="0"/>
              <w:rPr>
                <w:sz w:val="21"/>
                <w:szCs w:val="21"/>
                <w:color w:val="auto"/>
              </w:rPr>
            </w:pPr>
          </w:p>
        </w:tc>
        <w:tc>
          <w:tcPr>
            <w:tcW w:w="18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Components</w:t>
            </w:r>
          </w:p>
        </w:tc>
        <w:tc>
          <w:tcPr>
            <w:tcW w:w="16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Components</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41"/>
        </w:trPr>
        <w:tc>
          <w:tcPr>
            <w:tcW w:w="582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860" w:type="dxa"/>
            <w:vAlign w:val="bottom"/>
            <w:gridSpan w:val="2"/>
          </w:tcPr>
          <w:p>
            <w:pPr>
              <w:ind w:left="1000"/>
              <w:spacing w:after="0"/>
              <w:rPr>
                <w:sz w:val="20"/>
                <w:szCs w:val="20"/>
                <w:color w:val="auto"/>
              </w:rPr>
            </w:pPr>
            <w:r>
              <w:rPr>
                <w:rFonts w:ascii="Arial" w:cs="Arial" w:eastAsia="Arial" w:hAnsi="Arial"/>
                <w:sz w:val="18"/>
                <w:szCs w:val="18"/>
                <w:b w:val="1"/>
                <w:bCs w:val="1"/>
                <w:color w:val="auto"/>
              </w:rPr>
              <w:t>Segment</w:t>
            </w:r>
          </w:p>
        </w:tc>
        <w:tc>
          <w:tcPr>
            <w:tcW w:w="16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Segment</w:t>
            </w:r>
          </w:p>
        </w:tc>
        <w:tc>
          <w:tcPr>
            <w:tcW w:w="5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Total</w:t>
            </w:r>
          </w:p>
        </w:tc>
      </w:tr>
      <w:tr>
        <w:trPr>
          <w:trHeight w:val="216"/>
        </w:trPr>
        <w:tc>
          <w:tcPr>
            <w:tcW w:w="116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Balance of Amortizable Intangible Assets as of January 1, 2008</w:t>
            </w:r>
          </w:p>
        </w:tc>
        <w:tc>
          <w:tcPr>
            <w:tcW w:w="118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6,484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3"/>
              </w:rPr>
              <w:t>1,895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8,379</w:t>
            </w:r>
          </w:p>
        </w:tc>
      </w:tr>
      <w:tr>
        <w:trPr>
          <w:trHeight w:val="216"/>
        </w:trPr>
        <w:tc>
          <w:tcPr>
            <w:tcW w:w="1160" w:type="dxa"/>
            <w:vAlign w:val="bottom"/>
          </w:tcPr>
          <w:p>
            <w:pPr>
              <w:spacing w:after="0"/>
              <w:rPr>
                <w:sz w:val="18"/>
                <w:szCs w:val="18"/>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1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82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w w:val="99"/>
              </w:rPr>
              <w:t>(322)</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23"/>
        </w:trPr>
        <w:tc>
          <w:tcPr>
            <w:tcW w:w="1160" w:type="dxa"/>
            <w:vAlign w:val="bottom"/>
          </w:tcPr>
          <w:p>
            <w:pPr>
              <w:spacing w:after="0"/>
              <w:rPr>
                <w:sz w:val="19"/>
                <w:szCs w:val="19"/>
                <w:color w:val="auto"/>
              </w:rPr>
            </w:pPr>
          </w:p>
        </w:tc>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Currency impacts</w:t>
            </w:r>
          </w:p>
        </w:tc>
        <w:tc>
          <w:tcPr>
            <w:tcW w:w="1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79</w:t>
            </w:r>
          </w:p>
        </w:tc>
        <w:tc>
          <w:tcPr>
            <w:tcW w:w="5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4"/>
              </w:rPr>
              <w:t>Balance of Amortizable Intangible Assets as of June 30, 2008</w:t>
            </w: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6,061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1,652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7,713</w:t>
            </w:r>
          </w:p>
        </w:tc>
      </w:tr>
      <w:tr>
        <w:trPr>
          <w:trHeight w:val="21"/>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Of the intangible assets within the Precision Metal Components Segment, the majority of the value is a customer relationship intangible with a net carrying value of $5,982. This intangible asset has an original estimated useful life of 10 years and $361 of amortization expense was recorded in the six months ended June 30, 2008. The remainder of the intangibles is made up of a covenant not to compete and a favorable leasehold interest with net carrying values of $31 and $48, respectively. These items were originally amortizable over two and two and a half years, respectively, and $37 and $25 in amortization expense, respectively, was recorded in 2008. The accumulated amortization related to all of these intangible assets at June 30, 2008 was $1,118. Also, in the Precision Metal Components Segment is an intangible asset not subject to amortization of $900 related to the value of the trade names of Whirlaway.</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Within the Metal Bearing Components Segment the intangible asset is a contract intangible. This intangible asset is subject to amortization over approximately 5 years. For the six months ended June 30, 2008, the amortization expense totaled $322 and accumulated amortization totaled $1,282 at June 30, 2008.</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5"/>
          <w:szCs w:val="15"/>
          <w:b w:val="1"/>
          <w:bCs w:val="1"/>
          <w:color w:val="auto"/>
        </w:rPr>
        <w:t>Stock Compensation</w:t>
      </w:r>
    </w:p>
    <w:p>
      <w:pPr>
        <w:spacing w:after="0" w:line="25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three and six month periods ended June 30, 2008 and 2007, approximately $330 and $645 for 2008 and $234 and $368 for 2007, respectively, of compensation expense was recognized in selling, general and administrative expense for all share-based awards. On March 6, 2008, the Company granted 160,000</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options to the non-executive directors, officers and certain other key employees. The fair value of the options cannot be determined by market value as our options are not traded in an open market. Accordingly, a financial pricing model is utilized to determine fair value. The Company utilizes the Black Scholes model which relies on certain assumptions to estimate an option's fair value.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2008.</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80" w:type="dxa"/>
            <w:vAlign w:val="bottom"/>
          </w:tcPr>
          <w:p>
            <w:pPr>
              <w:spacing w:after="0"/>
              <w:rPr>
                <w:sz w:val="18"/>
                <w:szCs w:val="18"/>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Options</w:t>
            </w:r>
          </w:p>
        </w:tc>
        <w:tc>
          <w:tcPr>
            <w:tcW w:w="920" w:type="dxa"/>
            <w:vAlign w:val="bottom"/>
          </w:tcPr>
          <w:p>
            <w:pPr>
              <w:jc w:val="right"/>
              <w:ind w:right="17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or expired</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11.65</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5,606</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Exercisable at June 30, 2008</w:t>
            </w:r>
          </w:p>
        </w:tc>
        <w:tc>
          <w:tcPr>
            <w:tcW w:w="920" w:type="dxa"/>
            <w:vAlign w:val="bottom"/>
          </w:tcPr>
          <w:p>
            <w:pPr>
              <w:jc w:val="right"/>
              <w:spacing w:after="0"/>
              <w:rPr>
                <w:sz w:val="20"/>
                <w:szCs w:val="20"/>
                <w:color w:val="auto"/>
              </w:rPr>
            </w:pPr>
            <w:r>
              <w:rPr>
                <w:rFonts w:ascii="Arial" w:cs="Arial" w:eastAsia="Arial" w:hAnsi="Arial"/>
                <w:sz w:val="18"/>
                <w:szCs w:val="18"/>
                <w:color w:val="auto"/>
              </w:rPr>
              <w:t>1,180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4,504</w:t>
            </w: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firstLine="8"/>
        <w:spacing w:after="0" w:line="252" w:lineRule="auto"/>
        <w:tabs>
          <w:tab w:leader="none" w:pos="192"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Intrinsic value is the amount by which the market price of the stock ($13.94) was greater than the exercise price of each individual option grant at June 30,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recognized compensation costs before tax for restricted stock awards in the three and six month periods ended June 30, 2008 and 2007 were approximately $16 and $31 for 2008, and $26 and $53 for 2007, respectively. There is no unrecognized compensation cost for these awards at June 30, 2008. As of June 30, 2008, the actual cumulative forfeiture rate of the awards granted was approximately 10%. During the six month period ended June 30, 2008 there have not been any shares granted, vested or forfeited.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Term Incentive Plan</w:t>
      </w:r>
    </w:p>
    <w:p>
      <w:pPr>
        <w:spacing w:after="0" w:line="2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compensation expense recognized during the three and six month periods ended June 30, 2008 and 2007 related to this plan was $113 and $226, respectively, and $0 and $0, respectively. At June 30, 2008 there was $679 of unrecognized compensation cost, before tax, to be recognized over approximately one year and six months. During the six month period ended June 30, 2008, there have not been any performance units granted, vested or forfeited.</w:t>
      </w:r>
    </w:p>
    <w:p>
      <w:pPr>
        <w:spacing w:after="0" w:line="23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Provision for Income Taxes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and six month periods ended June 30, 2008, the difference between the federal statutory tax rate of 34% and our effective tax rate of 21% and 25%, respectively, is primarily due to a $1,142 deferred tax benefit recognized by our Italian operation resulting from our election under a new Italian tax law to harmonize that operation's net fixed asset values for tax and statutory reporting. Additionally, the $4,018 gain on sale of fixed assets was in a jurisdiction with a lower effective tax rate than the U.S. Finally, the income tax rates in many of the foreign countries in which we operate are lower than the U.S federal rate. In addition, we utilized net operating loss carryforwards to offset taxable income at our German and Slovakian operations. For the remainder of 2008, our effective tax rate is expected to be consistent with the U.S. statutory rate of 34%.</w:t>
      </w:r>
    </w:p>
    <w:p>
      <w:pPr>
        <w:spacing w:after="0" w:line="22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The Company has contributed to an escrow fund along with 42 other potentially responsible parties for the purpose of investigating and addressing the environmental issues at the facility. The Company’s contribution through the end of June 30, 2008 to the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account was $28.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 All other legal matters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2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Property, Plant and Equipment</w:t>
      </w:r>
    </w:p>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three month period ended June 30, 2008, the Veenendaal, The Netherlands facility (part of the Metal Bearing Components Segment) disposed of excess land with a book value of $1,610 for proceeds of $5,628 and a resulting gain of $4,018 ($2,995, after tax).</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three month period ended June 30, 2007, fixed assets at certain European operations of the Metal Bearing Components Segment were impaired as a result of the European restructuring (see Note 2). The total reduction in fixed assets from the impairment charge, during period end June 30, 2007, was $3,320 and was reported in the Restructuring and impairment charges line of the Consolidated Statements of Income.</w:t>
      </w: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rFonts w:ascii="Arial" w:cs="Arial" w:eastAsia="Arial" w:hAnsi="Arial"/>
          <w:sz w:val="18"/>
          <w:szCs w:val="18"/>
          <w:b w:val="1"/>
          <w:bCs w:val="1"/>
          <w:color w:val="auto"/>
        </w:rPr>
        <w:t xml:space="preserve">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2007 under Item 1.A. “Risk Factors”. There have been no material changes to these risk factors since December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2008 Compared to the Three Months Ended June 30, 2007.</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84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Consolidated NN, Inc.</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122,240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107,302</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97,248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85,929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6,387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net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Sales have increased due to the appreciation in value of Euro denominated sales relative to the U.S. Dollar ($10.4 million). In addition, sales have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due to higher sales volume in our Metal Bearings Components Segment due to market share gains and strong levels of industrial end market demand in North America and Europe partially offset by volume reductions in our Plastic and Rubber Components Segment due to U.S. automotive market weakness ($4.6 million). Finally, sales have increased due to price increases from passing through raw material inflation to customers ($1.2</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million). Partially offsetting these increases are price decreases given to several large customers in agreement with contractual terms net of price increases given to non contractual customers ($0.5 million) and unfavorable product mix to existing customers ($0.8 million).</w:t>
      </w:r>
    </w:p>
    <w:p>
      <w:pPr>
        <w:spacing w:after="0" w:line="21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w:t>
      </w:r>
      <w:r>
        <w:rPr>
          <w:rFonts w:ascii="Arial" w:cs="Arial" w:eastAsia="Arial" w:hAnsi="Arial"/>
          <w:sz w:val="18"/>
          <w:szCs w:val="18"/>
          <w:color w:val="auto"/>
        </w:rPr>
        <w:t>Cost of products sold increased primarily due to the increase in value of Euro</w:t>
      </w:r>
      <w:r>
        <w:rPr>
          <w:rFonts w:ascii="Arial" w:cs="Arial" w:eastAsia="Arial" w:hAnsi="Arial"/>
          <w:sz w:val="18"/>
          <w:szCs w:val="18"/>
          <w:i w:val="1"/>
          <w:iCs w:val="1"/>
          <w:color w:val="auto"/>
        </w:rPr>
        <w:t xml:space="preserve"> </w:t>
      </w:r>
      <w:r>
        <w:rPr>
          <w:rFonts w:ascii="Arial" w:cs="Arial" w:eastAsia="Arial" w:hAnsi="Arial"/>
          <w:sz w:val="18"/>
          <w:szCs w:val="18"/>
          <w:color w:val="auto"/>
        </w:rPr>
        <w:t>denominated costs relative to the U.S. Dollar ($7.9 million). In addition, cost of products sold increased due to higher sales volumes in our Metal Bearing Components Segment partially offset by decreases in our Plastic and Rubber Components Segment ($3.7 million). Finally, raw material, labor and utility inflation increased the total ($2.1 million). Offsetting these increases were favorable impacts from our Level 3 cost reduction program and other planned projects focused on reducing cost of manufacturing and from operating improvements at our three newest operations: Whirlaway, China, and Slovakia ($1.1 million). Additionally, costs were down due to a favorable mix of products sold ($0.7 million) and due to the reversal of an environmental reserve related to the sale of excess land in the second quarter of 2008 ($0.6 million).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The increase was primarily due to the increase in the value of Euro denominated cost relative to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($0.6 million). Excluding foreign exchange impacts, expenses were lower due to overall lower levels of spending ($0.2 million).</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These costs are higher due to the increase in the value of the Euro based depreciation and amortization relative to the U.S.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Dollar ($0.5 million). Additionally, depreciation expense increased on assets placed in service at our new plants in China and Slovakia ($0.2 million).</w:t>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15" w:name="page16"/>
    <w:bookmarkEnd w:id="15"/>
    <w:p>
      <w:pPr>
        <w:ind w:right="38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is lower due to decreases in the base LIBOR interest rate which reduced the cost of borrowing under our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the three month period ended June 30, 2008 a location in our Metal Bearings Components Segment sold excess land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pre-tax gain of $4.0 million.</w:t>
      </w:r>
    </w:p>
    <w:p>
      <w:pPr>
        <w:spacing w:after="0" w:line="1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three month period ended June 30, 2007, we impaired certain goodwill and fixed asset balances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Metal Bearing Components restructuring.</w:t>
      </w:r>
    </w:p>
    <w:p>
      <w:pPr>
        <w:spacing w:after="0" w:line="197"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2008 second quarter effective rate of 21.1% was higher than the 2007 second quarter effective rate of negative 18.1%.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2008 rate was reduced, as compared to the U.S. statutory rate, by the effect of electing to eliminate a portion of deferred tax liabilities at our Italian location under provisions of a new Italian law. This provided a $1.1 million benefit which reduced the tax rate 9.8 percentage points. Additionally, the gain of the sale of land was taxed at a lower rate than our traditional blended tax rate which further reduced the tax rate 2.9 percentage points. The tax rate of the second quarter of 2007 was impacted by the large impairments with the minimal tax impact due to valuation reserves on the tax benefits from the impairment charges and other related tax benefits.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6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60" w:type="dxa"/>
            <w:vAlign w:val="bottom"/>
            <w:gridSpan w:val="6"/>
          </w:tcPr>
          <w:p>
            <w:pPr>
              <w:jc w:val="center"/>
              <w:ind w:left="490"/>
              <w:spacing w:after="0"/>
              <w:rPr>
                <w:sz w:val="20"/>
                <w:szCs w:val="20"/>
                <w:color w:val="auto"/>
              </w:rPr>
            </w:pPr>
            <w:r>
              <w:rPr>
                <w:rFonts w:ascii="Arial" w:cs="Arial" w:eastAsia="Arial" w:hAnsi="Arial"/>
                <w:sz w:val="18"/>
                <w:szCs w:val="18"/>
                <w:b w:val="1"/>
                <w:bCs w:val="1"/>
                <w:color w:val="auto"/>
                <w:w w:val="89"/>
              </w:rPr>
              <w:t>Three months ended</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0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2007</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76,275</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w w:val="91"/>
              </w:rPr>
              <w:t>Segment net income, excluding restructuring and impairment charges, net of 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10,537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impairment charges, net of tax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(13,420)</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Segment net income (loss)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10,537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sales increase in the Metal Bearing Components Segment was due to the positive impacts from the rise in value of Euro based sales relative to the U.S. Dollar ($10.4 million). Additionally, the Metal Bearing Components Segment experienced higher sales volume in North America, Europe and Asia due to new programs, market share gains, and strong European and North American industrial end market demand ($7.3 million). Finally, sales increased due to price increases related to passing through raw material inflation to customers ($1.6 million). These increases were partially offset by unfavorable product mix ($0.8 million) and due to contractual price decreases to certain large customers net of price increases given to non contractual customers ($0.5 million).</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second quarter of 2008 segment net income was positively impacted by two non-operating one-time benefits. The first was a $3.0 million after tax gain on sale of excess land. The other was a $1.1 million tax benefit related to reducing certain deferred tax liabilities at our Italian operation under a new Italian tax law. Additionally, second quarter 2008 segment net income was favorable to second quarter 2007 segment net loss due to the $13.4 million of impairment charges in the second quarter of 2007 that did not repeat in the second quarter of 2008.</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Without the one-time non-operating benefits, segment net income increased due to the higher sales volume ($1.3 million) and from the appreciation of Euro denominated sales less Euro denominated cost ($0.6 million). Additionally, the gain from the reversal of an environmental reserve, related to the excess land sold in the second quarter of 2008, increased segment net income ($0.4 million). Offsetting these gains were inflation impacts, net of material price pass through and cost reduction project savings ($0.7 million).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282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7"/>
          </w:tcPr>
          <w:p>
            <w:pPr>
              <w:jc w:val="right"/>
              <w:ind w:right="40"/>
              <w:spacing w:after="0"/>
              <w:rPr>
                <w:sz w:val="20"/>
                <w:szCs w:val="20"/>
                <w:color w:val="auto"/>
              </w:rPr>
            </w:pPr>
            <w:r>
              <w:rPr>
                <w:rFonts w:ascii="Arial" w:cs="Arial" w:eastAsia="Arial" w:hAnsi="Arial"/>
                <w:sz w:val="18"/>
                <w:szCs w:val="18"/>
                <w:color w:val="auto"/>
              </w:rPr>
              <w:t>Three months ended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1"/>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volume increased at both our largest heating, ventilation and air conditioning equipment customer and our largest heavy truck customer from unusually low levels in 2007. However, these volume increases were offset by reduced sales to customers that serve the U.S. automotive market particularly light trucks with diesel engines.</w:t>
      </w:r>
    </w:p>
    <w:p>
      <w:pPr>
        <w:spacing w:after="0" w:line="20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segment’s net income was higher due to production efficiencies that resulted from projects targeting reduction in labor and manufacturing supplies costs ($0.6 million) and from lower net interest cost ($0.2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PLASTIC AND RUBBER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116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6"/>
          </w:tcPr>
          <w:p>
            <w:pPr>
              <w:jc w:val="right"/>
              <w:ind w:right="40"/>
              <w:spacing w:after="0"/>
              <w:rPr>
                <w:sz w:val="20"/>
                <w:szCs w:val="20"/>
                <w:color w:val="auto"/>
              </w:rPr>
            </w:pPr>
            <w:r>
              <w:rPr>
                <w:rFonts w:ascii="Arial" w:cs="Arial" w:eastAsia="Arial" w:hAnsi="Arial"/>
                <w:sz w:val="18"/>
                <w:szCs w:val="18"/>
                <w:color w:val="auto"/>
              </w:rPr>
              <w:t>Three months ended</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0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w w:val="86"/>
              </w:rPr>
              <w:t>June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2008</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income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Revenues in the Plastic and Rubber Components Segment were down due to lower sales volume to customers that sell products to U.S. automotive manufacturers ($3.2 million). The lower sales were due to a general downturn in that market and the effects of a strike at a major U.S. automotive supplier which affected several of our customers’ sales volumes. This decrease was partially offset by the impact of price increases at certain customers ($0.1 million).</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Segment net income was negatively affected by the volume decreases in sales net of cost of goods sold ($0.7 million). Planned cost reduction projects and price increases, net of inflation, partially offset the volume impacts ($ 0.3 million).</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67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Six Months Ended June 30, 2008 Compared to the Six Months Ended June 30, 2007.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OVERALL RESULTS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700" w:type="dxa"/>
            <w:vAlign w:val="bottom"/>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9"/>
          </w:tcPr>
          <w:p>
            <w:pPr>
              <w:jc w:val="right"/>
              <w:ind w:right="780"/>
              <w:spacing w:after="0"/>
              <w:rPr>
                <w:sz w:val="20"/>
                <w:szCs w:val="20"/>
                <w:color w:val="auto"/>
              </w:rPr>
            </w:pPr>
            <w:r>
              <w:rPr>
                <w:rFonts w:ascii="Arial" w:cs="Arial" w:eastAsia="Arial" w:hAnsi="Arial"/>
                <w:sz w:val="18"/>
                <w:szCs w:val="18"/>
                <w:b w:val="1"/>
                <w:bCs w:val="1"/>
                <w:color w:val="auto"/>
              </w:rPr>
              <w:t>Consolidated NN, Inc.</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243,781</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215,246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554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5540" w:type="dxa"/>
            <w:vAlign w:val="bottom"/>
          </w:tcPr>
          <w:p>
            <w:pPr>
              <w:ind w:left="80"/>
              <w:spacing w:after="0"/>
              <w:rPr>
                <w:sz w:val="20"/>
                <w:szCs w:val="20"/>
                <w:color w:val="auto"/>
              </w:rPr>
            </w:pPr>
            <w:r>
              <w:rPr>
                <w:rFonts w:ascii="Arial" w:cs="Arial" w:eastAsia="Arial" w:hAnsi="Arial"/>
                <w:sz w:val="18"/>
                <w:szCs w:val="18"/>
                <w:color w:val="auto"/>
              </w:rPr>
              <w:t>and amortization shown separately below)</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193,741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171,010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18,983</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13,336</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assets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5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14,273</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Sales have increased due to the appreciation in value of Euro denominated sales relative to the U.S. Dollar ($18.7 million). In addition, sales have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due to higher sales volume primarily in our Metal Bearings Components Segment due to market share gains and strong levels of industrial end market demand in North America and Europe ($10.2 million). Finally, sales have increased due to price increases from passing through raw material inflation to customers ($2.2 million). Partially offsetting these increases are price decreases given to several large customers in agreement with contractual terms net of prices increases given to non-contractual customers ($1.0 million) and unfavorable product mix to existing customers ($1.6 million).</w:t>
      </w:r>
    </w:p>
    <w:p>
      <w:pPr>
        <w:spacing w:after="0" w:line="18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i w:val="1"/>
          <w:iCs w:val="1"/>
          <w:color w:val="auto"/>
        </w:rPr>
        <w:t xml:space="preserve">Cost of Products Sold (exclusive of depreciation and amortization). </w:t>
      </w:r>
      <w:r>
        <w:rPr>
          <w:rFonts w:ascii="Arial" w:cs="Arial" w:eastAsia="Arial" w:hAnsi="Arial"/>
          <w:sz w:val="17"/>
          <w:szCs w:val="17"/>
          <w:color w:val="auto"/>
        </w:rPr>
        <w:t>Cost of products sold increased due to the increase in value of Euro denominated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 to the U.S. Dollar ($14.8 million). In addition, cost of products sold increased due to higher sales volumes primarily in our Metal Bearing Components Segment ($8.0 million). Finally, raw material, labor and utility inflation increased the total ($4.3 million). Offsetting these increases were favorable impacts from our Level 3 cost reduction program and other planned projects focused on reducing cost of manufacturing and from operating improvements at our three newest operations: Whirlaway, China, and Slovakia ($4.4 million).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The increase was primarily due to the increase in the value of Euro denominated cost relative to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Dollar ($1.2 million).</w:t>
      </w:r>
    </w:p>
    <w:p>
      <w:pPr>
        <w:spacing w:after="0" w:line="23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These costs are higher due to the increase in the value of the Euro based depreciation and amortization relative to the U.S.</w:t>
      </w:r>
      <w:r>
        <w:rPr>
          <w:rFonts w:ascii="Arial" w:cs="Arial" w:eastAsia="Arial" w:hAnsi="Arial"/>
          <w:sz w:val="18"/>
          <w:szCs w:val="18"/>
          <w:i w:val="1"/>
          <w:iCs w:val="1"/>
          <w:color w:val="auto"/>
        </w:rPr>
        <w:t xml:space="preserve"> </w:t>
      </w:r>
      <w:r>
        <w:rPr>
          <w:rFonts w:ascii="Arial" w:cs="Arial" w:eastAsia="Arial" w:hAnsi="Arial"/>
          <w:sz w:val="18"/>
          <w:szCs w:val="18"/>
          <w:color w:val="auto"/>
        </w:rPr>
        <w:t>Dollar ($0.9 million). Additionally, depreciation expense increased for depreciation on assets placed in service at our new plants in China and Slovakia ($0.6 million).</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Restructuring and impairment charges. </w:t>
      </w:r>
      <w:r>
        <w:rPr>
          <w:rFonts w:ascii="Arial" w:cs="Arial" w:eastAsia="Arial" w:hAnsi="Arial"/>
          <w:sz w:val="18"/>
          <w:szCs w:val="18"/>
          <w:color w:val="auto"/>
        </w:rPr>
        <w:t>During the quarter ended June 30, 2007, we impaired certain goodwill and fixed asset balances related to the Metal</w:t>
      </w:r>
      <w:r>
        <w:rPr>
          <w:rFonts w:ascii="Arial" w:cs="Arial" w:eastAsia="Arial" w:hAnsi="Arial"/>
          <w:sz w:val="18"/>
          <w:szCs w:val="18"/>
          <w:i w:val="1"/>
          <w:iCs w:val="1"/>
          <w:color w:val="auto"/>
        </w:rPr>
        <w:t xml:space="preserve"> </w:t>
      </w:r>
      <w:r>
        <w:rPr>
          <w:rFonts w:ascii="Arial" w:cs="Arial" w:eastAsia="Arial" w:hAnsi="Arial"/>
          <w:sz w:val="18"/>
          <w:szCs w:val="18"/>
          <w:color w:val="auto"/>
        </w:rPr>
        <w:t>Bearing Components restructuring.</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is lower due to decreases in the base LIBOR interest rate which reduced the cost of borrowing under our variable rate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agreement.</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Gain on disposal of assets. </w:t>
      </w:r>
      <w:r>
        <w:rPr>
          <w:rFonts w:ascii="Arial" w:cs="Arial" w:eastAsia="Arial" w:hAnsi="Arial"/>
          <w:sz w:val="18"/>
          <w:szCs w:val="18"/>
          <w:color w:val="auto"/>
        </w:rPr>
        <w:t>During the three month period ended June 30, 2008 a location in our Metal Bearings Components Segment sold excess land for a</w:t>
      </w:r>
      <w:r>
        <w:rPr>
          <w:rFonts w:ascii="Arial" w:cs="Arial" w:eastAsia="Arial" w:hAnsi="Arial"/>
          <w:sz w:val="18"/>
          <w:szCs w:val="18"/>
          <w:i w:val="1"/>
          <w:iCs w:val="1"/>
          <w:color w:val="auto"/>
        </w:rPr>
        <w:t xml:space="preserve"> </w:t>
      </w:r>
      <w:r>
        <w:rPr>
          <w:rFonts w:ascii="Arial" w:cs="Arial" w:eastAsia="Arial" w:hAnsi="Arial"/>
          <w:sz w:val="18"/>
          <w:szCs w:val="18"/>
          <w:color w:val="auto"/>
        </w:rPr>
        <w:t>pre-tax gain of $4.0 million.</w:t>
      </w:r>
    </w:p>
    <w:p>
      <w:pPr>
        <w:spacing w:after="0" w:line="19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2008 six month period ended June 30, 2008 effective rate of 24.5% was higher than the 2007 six month period effective rate</w:t>
      </w:r>
      <w:r>
        <w:rPr>
          <w:rFonts w:ascii="Arial" w:cs="Arial" w:eastAsia="Arial" w:hAnsi="Arial"/>
          <w:sz w:val="16"/>
          <w:szCs w:val="16"/>
          <w:i w:val="1"/>
          <w:iCs w:val="1"/>
          <w:color w:val="auto"/>
        </w:rPr>
        <w:t xml:space="preserve"> </w:t>
      </w:r>
      <w:r>
        <w:rPr>
          <w:rFonts w:ascii="Arial" w:cs="Arial" w:eastAsia="Arial" w:hAnsi="Arial"/>
          <w:sz w:val="16"/>
          <w:szCs w:val="16"/>
          <w:color w:val="auto"/>
        </w:rPr>
        <w:t>of negative 156.2%. The 2008 rate was reduced, as compared to the U. S. statutory rate, by the effect of electing to eliminate a portion of deferred tax liabilities at our Italian location under provisions of a new Italian law. This provided a $1.1 million benefit and reduced the tax rate 6.0 percentage</w:t>
      </w:r>
    </w:p>
    <w:p>
      <w:pPr>
        <w:ind w:right="40"/>
        <w:spacing w:after="0" w:line="295" w:lineRule="auto"/>
        <w:rPr>
          <w:sz w:val="20"/>
          <w:szCs w:val="20"/>
          <w:color w:val="auto"/>
        </w:rPr>
      </w:pPr>
      <w:r>
        <w:rPr>
          <w:rFonts w:ascii="Arial" w:cs="Arial" w:eastAsia="Arial" w:hAnsi="Arial"/>
          <w:sz w:val="16"/>
          <w:szCs w:val="16"/>
          <w:color w:val="auto"/>
        </w:rPr>
        <w:t>points. Additionally, the gain of the sale of land was taxed at a lower rate than our traditional blended tax rate which reduced the tax rate 1.8 percentage points. In addition, the tax rate for the six months ended June 30, 2008 was favorably impacted by a reduction in certain foreign tax rates and the utilization of net operating loss carry forwards to offset taxable income at certain foreign locations. The tax rate of the six months ended June 30, 2007 was impacted by the large impairments with the minimal tax impact due to valuation reserves on the tax benefits from the impairment charges and other related tax benefits.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RESULTS BY SEGMENT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METAL BEARING COMPONENTS SEGMENT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382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3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ind w:left="3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184,688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153,559</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Segment profit, excluding restructuring and impairment changes, net of tax</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Restructuring and impairment charges, net of tax</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(13,420)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26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sales increase in the Metal Bearing Components Segment was due to the positive impacts from the rise in value of Euro based sales relative to the U.S. Dollar ($18.7 million). Additionally, the Metal Bearing Components Segment experienced higher sales volume in North America, Europe and Asia due to new programs, market share gains, and strong European and North American industrial end market demand ($12.7 million). Finally, sales increased due to price increases related to passing through raw material inflation to customers ($2.6 million). These increases were partially offset by unfavorable product and customer mix ($1.6 million) and due to contractual price decreases to certain large customers net of price increases given to non-contractual customers ($1.3 million).</w:t>
      </w:r>
    </w:p>
    <w:p>
      <w:pPr>
        <w:spacing w:after="0" w:line="22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The 2008 segment net income was positively impacted by two non-operating one-time benefits. The first was a $3.0 million after tax gain on sale of excess land. The other was a $1.1 million tax benefit related to reducing certain deferred tax liabilities at our Italian operation under a new Italian tax</w:t>
      </w:r>
    </w:p>
    <w:p>
      <w:pPr>
        <w:ind w:right="400"/>
        <w:spacing w:after="0" w:line="261" w:lineRule="auto"/>
        <w:rPr>
          <w:sz w:val="20"/>
          <w:szCs w:val="20"/>
          <w:color w:val="auto"/>
        </w:rPr>
      </w:pPr>
      <w:r>
        <w:rPr>
          <w:rFonts w:ascii="Arial" w:cs="Arial" w:eastAsia="Arial" w:hAnsi="Arial"/>
          <w:sz w:val="18"/>
          <w:szCs w:val="18"/>
          <w:color w:val="auto"/>
        </w:rPr>
        <w:t>law. Additionally, 2008 segment net income was favorable to 2007 segment net loss due to the $13.4 million of impairment charges in 2007 that did not repeat in 2008.</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Factoring out the one-time non-operating benefits, segment net income increased due to the higher sales volume ($2.3 million) and from the appreciation of Euro denominated sales less Euro denominated cost ($1.0 million.) In addition, planned cost reduction initiatives especially at our Asia and Slovakia operation had a net positive impact to segment net income ($1.4 million) along with the reversal of an environmental reserve related to the excess land sold in the second quarter of 2008 ($0.4 million). Offsetting these gains were the effects of price decreases given to certain customers under contractual terms and unfavorable customer and product mix impacts ($1.7 million). Additionally, inflation net of material inflation passed through to customers reduced segment net income $(0.7 million).</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PRECISION METAL COMPONENTS SEGMENT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3980" w:type="dxa"/>
            <w:vAlign w:val="bottom"/>
            <w:tcBorders>
              <w:top w:val="single" w:sz="8" w:color="auto"/>
            </w:tcBorders>
            <w:gridSpan w:val="2"/>
          </w:tcPr>
          <w:p>
            <w:pPr>
              <w:ind w:left="1140"/>
              <w:spacing w:after="0"/>
              <w:rPr>
                <w:sz w:val="20"/>
                <w:szCs w:val="20"/>
                <w:color w:val="auto"/>
              </w:rPr>
            </w:pPr>
            <w:r>
              <w:rPr>
                <w:rFonts w:ascii="Arial" w:cs="Arial" w:eastAsia="Arial" w:hAnsi="Arial"/>
                <w:sz w:val="18"/>
                <w:szCs w:val="18"/>
                <w:color w:val="auto"/>
              </w:rPr>
              <w:t>(In Thousands of Dollars)</w:t>
            </w:r>
          </w:p>
        </w:tc>
        <w:tc>
          <w:tcPr>
            <w:tcW w:w="3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9"/>
          </w:tcPr>
          <w:p>
            <w:pPr>
              <w:ind w:left="3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820" w:type="dxa"/>
            <w:vAlign w:val="bottom"/>
            <w:tcBorders>
              <w:top w:val="single" w:sz="8" w:color="auto"/>
            </w:tcBorders>
          </w:tcPr>
          <w:p>
            <w:pPr>
              <w:spacing w:after="0"/>
              <w:rPr>
                <w:sz w:val="19"/>
                <w:szCs w:val="19"/>
                <w:color w:val="auto"/>
              </w:rPr>
            </w:pPr>
          </w:p>
        </w:tc>
        <w:tc>
          <w:tcPr>
            <w:tcW w:w="3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Sales volume increased at both our largest heating, ventilation and air conditioning equipment customer and our largest heavy truck customer from unusually low levels in 2007 ($2.2 million). However, in the second quarter these volume increases were offset by reduced sales to customers that serve the U.S. automotive market particularly light trucks with diesel engines ($1.0 million).</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segment’s net income was higher due to the increased sales volume ($0.2 million). In addition, net income was higher due to production efficiencies in labor and manufacturing supplies ($1.0 million) and from lower net interest cost ($0.2 million).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PLASTIC AND RUBBER COMPONENTS SEGMENT</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7000" w:type="dxa"/>
            <w:vAlign w:val="bottom"/>
            <w:gridSpan w:val="3"/>
          </w:tcPr>
          <w:p>
            <w:pPr>
              <w:ind w:left="1140"/>
              <w:spacing w:after="0"/>
              <w:rPr>
                <w:sz w:val="20"/>
                <w:szCs w:val="20"/>
                <w:color w:val="auto"/>
              </w:rPr>
            </w:pPr>
            <w:r>
              <w:rPr>
                <w:rFonts w:ascii="Arial" w:cs="Arial" w:eastAsia="Arial" w:hAnsi="Arial"/>
                <w:sz w:val="18"/>
                <w:szCs w:val="18"/>
                <w:color w:val="auto"/>
              </w:rPr>
              <w:t>(In Thousands of Dollars)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8"/>
          </w:tcPr>
          <w:p>
            <w:pPr>
              <w:jc w:val="right"/>
              <w:ind w:right="58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4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Change</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Revenues in the Plastic and Rubber Components Segment were down due to lower sales volume to customers that sell products to U.S. automotive manufacturers ($3.9 million). The lower sales were due to a general downturn in that market and the effects of a strike at a major U.S. automotive supplier which affected several of our customers’ sales volumes. This decrease was partially offset by the impact of price increases at certain customers ($0.2 million).</w:t>
      </w: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Segment net income was negatively affected by the volume decreases in sales net of cost of goods sold ($0.9 million). Planned cost reduction projects and price increases, net of inflation, partially offset the volume impacts and impacts of price increases ($ 0.3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assets and current assets increased approximately $17.9 million and $5.9 million, respectively, from the December 31, 2007 balance due to appreciation of Euro denominated account balances relative to the U.S. Dollar. Factoring out the foreign exchange effects, accounts receivable was higher due to increased sales volume in the second quarter of 2008 over the fourth quarter of 2007 and due to timing of certain customer payments ($14.1 million). Inventories were higher ($2.7 million) due to increased production levels in the second quarter of 2008. Factoring out foreign exchange effects, property, plant and equipment decreased as year to date capital spending has been lower than depreciation and land with a net book value of $1.4 million was disposed of in the second quarter of 2008 ($4.6 million).</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liabilities and current liabilities increased approximately $5.8 million and $4.0 million, respectively, from December 31, 2007 due to appreciation of Euro denominated balances relative to the U.S. Dollar. Factoring out the foreign exchange effects, accounts payable was down due to timing of payments to certain customers ($0.6 million). Liabilities increased due to the accrual of taxes owed on first six months 2008 income ($2.0 million) but were partially offset by reductions in deferred tax liabilities ($1.7 million). Finally, liabilities decreased due to the utilization and ultimate reversal of an EPA reserve related to the excess land sold in the Netherlands ($0.8 million).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0" w:name="page21"/>
    <w:bookmarkEnd w:id="20"/>
    <w:p>
      <w:pPr>
        <w:ind w:right="300"/>
        <w:spacing w:after="0" w:line="276" w:lineRule="auto"/>
        <w:rPr>
          <w:sz w:val="20"/>
          <w:szCs w:val="20"/>
          <w:color w:val="auto"/>
        </w:rPr>
      </w:pPr>
      <w:r>
        <w:rPr>
          <w:rFonts w:ascii="Arial" w:cs="Arial" w:eastAsia="Arial" w:hAnsi="Arial"/>
          <w:sz w:val="17"/>
          <w:szCs w:val="17"/>
          <w:color w:val="auto"/>
        </w:rPr>
        <w:t>Working capital, which consists principally of accounts receivable and inventories offset by accounts payable, was $76.3 million at June 30, 2008 as compared to $53.8 million at December 31, 2007. The ratio of current assets to current liabilities increased from 1.64:1 at December 31, 2007 to 1.89:1 at June 30, 2008. The increase in working capital was due primarily to the increase in accounts receivable balances ($14.1 million). In addition, working capital increased due to higher inventory levels ($2.7 million). Finally, a reduction in the balance of the current portion of long-term debt ($4.2 million) reduced working capital. The majority of that reduction was reclassified to long-term debt.</w:t>
      </w:r>
    </w:p>
    <w:p>
      <w:pPr>
        <w:spacing w:after="0" w:line="200"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Cash flow provided by operations was $6.3 million during the first six months of 2008 compared with cash flow provided by operations of $4.0 million during the first six months of 2007. The increase in cash flow provided by operations is due to increased net income partially offset by higher levels of working capital due to 2008 sales levels being greater than 2007 sales levels.</w:t>
      </w:r>
    </w:p>
    <w:p>
      <w:pPr>
        <w:spacing w:after="0" w:line="2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 period ended June 30, 2007, we recorded approximately $13.3 million ($12.6 million after-tax) of non-cash impairment charges. These charges include the write-down to estimated fair market value of certain excess production equipment and the full impairment of goodwill at one location to levels supported by projected cash flows after the restructuring. These charges did not require the use of any of the company’s existing cash flows from operations or available credit lines.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Amounts outstanding under our $135.0 million credit facility and our $40.0 million notes as of June 30, 2008 were $75.6 million and $34.3 million, respectively. See Note 8 of the Notes to Consolidated Financial Statements. We were in compliance with all covenants of our $135.0 million credit facility and our $40.0 million senior notes as of June 30, 2008. As of June 30, 2008, the Company had $59.4 million of availability under the $135.0 million revolving credit facility.</w:t>
      </w:r>
    </w:p>
    <w:p>
      <w:pPr>
        <w:spacing w:after="0" w:line="21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Many of our locations use the Euro as their functional currency. In 2008, the fluctuation of the Euro against the U.S. Dollar favorably impacted revenue and income and increased the value of assets and liabilities, as the average Euro exchange rate was higher for the six months ended June 30, 2008 compared with the six months ended June 30, 2007 and the spot rate at June 30, 2008 was higher than the exchange rate at December 31, 2007. As of June 30, 2008, no currency hedges were in place. Changes in value of the U.S. Dollar and/or Euro against foreign currencies could impair our ability to compete with international competitors for foreign as well as domestic sales.</w:t>
      </w:r>
    </w:p>
    <w:p>
      <w:pPr>
        <w:spacing w:after="0" w:line="21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2008, we plan to spend approximately $18.5 million on capital expenditures. Of this amount, approximately $8.9 million has been spent through June 30, 2008. We intend to finance future fixed asset purchases with cash generated from operations and funds available under the credit facilities described above. We believe that funds generated from operations and borrowings from the credit facilities will be sufficient to finance our working capital needs, projected capital expenditure requirements, possible stock repurchases and expected dividend payments through December 2008.</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the third quarter of 2007, our Board of Directors authorized a new stock repurchase program under which we are authorized to repurchase up to $25 million in our common stock during the subsequent 12 months in the open market or in private transactions, in accordance with applicable laws and regulations. During the three and six month periods ended June 30, 2008, the Company did not repurchase any shares under this plan or make any other repurchases of common stock.</w:t>
      </w:r>
    </w:p>
    <w:p>
      <w:pPr>
        <w:spacing w:after="0" w:line="21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second quarter of 2008, a dividend declared on March 31, 2008 totaling $1.3 million was paid on April 30, 2008. In addition, a dividend totaling $1.3 million was declared on May 29, 2008 and was paid on June 23,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Historically, our net sales in the Metal Bearing Components Segment historically have been of a seasonal nature due to the fact that a significant portion of our sales are to European customers that have significantly slower production during the month of August.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significant accounting policies, including the assumptions and judgments underlying them, are disclosed in our annual report on Form 10-K for the year ended December 31, 2007,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six month period ended June 30, 2008 was adoption of SFAS 157 and SFAS 159 related to accounting for financial assets and liabilities under fair value. SFAS 157 and SFAS 159 have had no effect on the financial statements for the six month period ended June 30,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Concentration</w:t>
      </w:r>
    </w:p>
    <w:p>
      <w:pPr>
        <w:spacing w:after="0" w:line="25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supply agreements with SKF for tapered rollers and steel cages and with the Schaeffler Group for steel balls expire May 1, 2008 and June 30, 2008, respectively. We are in the process of negotiating new supply contracts with SKF for the tapered rollers and steel cages. We have an informal agreement in principle to continue the current commercial terms until the end of 2008. A new contract for beyond 2008 is still in the process of being negotiated. In regards to the Schaeffler Group, we are still in the process of negotiating a new contract. We continue to sell to Schaeffler under similar commercial terms as the prior formal contract. For the three and six month periods ended June 30, 2008, our percentage of total sales to SKF and Schaeffler are consistent with those reported in our Annual Report on Form 10-K for the fiscal year ended December 31,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Restructuring</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previously mentioned in our annual report on Form 10-K for the year ended December 31, 2007, during the first quarter of 2008 we officially signed an agreement with representatives of the Eltmann, Germany plant employees that contained significant contract revisions including new wage rates and increase hours worked per week. This contract is in effect for two years through December 31, 2009. During this time we have agreed not to involuntarily downsize employment levels at this location.</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possible we might incur significant cash and non-cash restructuring costs and impairment charges related to reducing or eliminating the work force at this location.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2008, we had $75.6 million outstanding under our variable rate revolving credit facilities and $34.3 million fixed rate senior notes outstanding. See Note 8 of the Notes to Consolidated Financial Statements. At June 30, 2008, a one-percent increase in the interest rate charged on our outstanding variable rate borrowings would result in interest expense increasing annually by approximately $0.8 million.</w:t>
      </w:r>
    </w:p>
    <w:p>
      <w:pPr>
        <w:spacing w:after="0" w:line="2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2008.</w:t>
      </w:r>
    </w:p>
    <w:p>
      <w:pPr>
        <w:spacing w:after="0" w:line="193" w:lineRule="exact"/>
        <w:rPr>
          <w:sz w:val="20"/>
          <w:szCs w:val="20"/>
          <w:color w:val="auto"/>
        </w:rPr>
      </w:pPr>
    </w:p>
    <w:p>
      <w:pPr>
        <w:ind w:left="60"/>
        <w:spacing w:after="0"/>
        <w:tabs>
          <w:tab w:leader="none" w:pos="600" w:val="left"/>
        </w:tabs>
        <w:rPr>
          <w:sz w:val="20"/>
          <w:szCs w:val="20"/>
          <w:color w:val="auto"/>
        </w:rPr>
      </w:pPr>
      <w:r>
        <w:rPr>
          <w:rFonts w:ascii="Arial" w:cs="Arial" w:eastAsia="Arial" w:hAnsi="Arial"/>
          <w:sz w:val="18"/>
          <w:szCs w:val="18"/>
          <w:b w:val="1"/>
          <w:bCs w:val="1"/>
          <w:color w:val="auto"/>
        </w:rPr>
        <w:t>Item</w:t>
        <w:tab/>
        <w:t>Controls and Procedures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w:t>
      </w:r>
    </w:p>
    <w:p>
      <w:pPr>
        <w:spacing w:after="0" w:line="23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our Chief Executive Officer and Chief Financial Officer, concluded that our disclosure controls and procedures are effective as of June 30, 2008, the end of the period covered by this quarterly report.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 w:name="page23"/>
    <w:bookmarkEnd w:id="22"/>
    <w:p>
      <w:pPr>
        <w:ind w:right="220"/>
        <w:spacing w:after="0" w:line="277" w:lineRule="auto"/>
        <w:rPr>
          <w:sz w:val="20"/>
          <w:szCs w:val="20"/>
          <w:color w:val="auto"/>
        </w:rPr>
      </w:pPr>
      <w:r>
        <w:rPr>
          <w:rFonts w:ascii="Arial" w:cs="Arial" w:eastAsia="Arial" w:hAnsi="Arial"/>
          <w:sz w:val="18"/>
          <w:szCs w:val="18"/>
          <w:color w:val="auto"/>
        </w:rPr>
        <w:t>There have been no changes in the fiscal quarter ended June 30, 2008 in our internal control over financial reporting or in other factors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4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The Company has contributed to an escrow fund along with 42 other potentially responsible parties for the purpose of investigating and addressing the environmental issues at the facility. The Company’s contribution through the end of June 30, 2008 to the account was $28 thousand dollars. A Remedial Investigation and Risk Assessment report funded by the escrow fund was submitted to the EPA in December 2007. As of the date of this report, we do not know whether we have any liability beyond the contribution to the escrow account mentioned earlier, related to this vendor’s actions, or estimatable range for any potential liability. The Company believes its contribution to the remediation of the site, if any, would be approximately 1.083% or less of the volume of waste sent to the facility and the Company asserts that its waste was non-hazardous.</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14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not been any material changes in risk factors from those disclosed our annual report on Form 10-K for the year ended December 31, 2007 filed on March 17, 2008.</w:t>
      </w:r>
    </w:p>
    <w:p>
      <w:pPr>
        <w:spacing w:after="0" w:line="18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Unregistered Sales of Equity Securities and Use of Proceeds</w:t>
      </w:r>
    </w:p>
    <w:p>
      <w:pPr>
        <w:spacing w:after="0" w:line="4" w:lineRule="exact"/>
        <w:rPr>
          <w:sz w:val="20"/>
          <w:szCs w:val="20"/>
          <w:color w:val="auto"/>
        </w:rPr>
      </w:pPr>
    </w:p>
    <w:p>
      <w:pPr>
        <w:ind w:left="1200" w:hanging="274"/>
        <w:spacing w:after="0"/>
        <w:tabs>
          <w:tab w:leader="none" w:pos="1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ind w:left="1220" w:hanging="294"/>
        <w:spacing w:after="0" w:line="230" w:lineRule="auto"/>
        <w:tabs>
          <w:tab w:leader="none" w:pos="12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ind w:left="1200" w:hanging="274"/>
        <w:spacing w:after="0" w:line="230" w:lineRule="auto"/>
        <w:tabs>
          <w:tab w:leader="none" w:pos="1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None</w:t>
      </w:r>
    </w:p>
    <w:p>
      <w:pPr>
        <w:spacing w:after="0" w:line="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Defaults upon Senior Securities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246" w:lineRule="exact"/>
        <w:rPr>
          <w:sz w:val="20"/>
          <w:szCs w:val="20"/>
          <w:color w:val="auto"/>
        </w:rPr>
      </w:pPr>
    </w:p>
    <w:p>
      <w:pPr>
        <w:jc w:val="both"/>
        <w:ind w:right="180"/>
        <w:spacing w:after="0" w:line="291" w:lineRule="auto"/>
        <w:rPr>
          <w:sz w:val="20"/>
          <w:szCs w:val="20"/>
          <w:color w:val="auto"/>
        </w:rPr>
      </w:pPr>
      <w:r>
        <w:rPr>
          <w:rFonts w:ascii="Arial" w:cs="Arial" w:eastAsia="Arial" w:hAnsi="Arial"/>
          <w:sz w:val="16"/>
          <w:szCs w:val="16"/>
          <w:color w:val="auto"/>
        </w:rPr>
        <w:t>The Company’s Annual Meeting of Stockholders was held on May 22, 2008. As of March 31, 2008, the record date for the meeting, there were 15,854,643 shares of common stock outstanding and entitled to vote at the meeting. There were present at said meeting, in person or by proxy, stockholders</w:t>
      </w:r>
    </w:p>
    <w:p>
      <w:pPr>
        <w:ind w:right="700"/>
        <w:spacing w:after="0" w:line="261" w:lineRule="auto"/>
        <w:rPr>
          <w:sz w:val="20"/>
          <w:szCs w:val="20"/>
          <w:color w:val="auto"/>
        </w:rPr>
      </w:pPr>
      <w:r>
        <w:rPr>
          <w:rFonts w:ascii="Arial" w:cs="Arial" w:eastAsia="Arial" w:hAnsi="Arial"/>
          <w:sz w:val="18"/>
          <w:szCs w:val="18"/>
          <w:color w:val="auto"/>
        </w:rPr>
        <w:t>holding 15,036,079 shares of common stock, constituting approximately 95% of the shares of common stock outstanding and entitled to vote, which constituted a quorum.</w:t>
      </w:r>
    </w:p>
    <w:p>
      <w:pPr>
        <w:spacing w:after="0" w:line="21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first matter voted upon at the meeting was the election of G. Ronald Morris and Steven T. Warshaw as Class I Directors to serve for three-year terms each. The vote was 13,908,694 and 14,375,956 For and 1,127,385 and 660,123 Withheld for Messrs. Morris and Warshaw, respectively.</w:t>
      </w:r>
    </w:p>
    <w:p>
      <w:pPr>
        <w:spacing w:after="0" w:line="15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nominees were elected to serve until the 2011 Annual Meeting of Stockholders and until their successors are duly elected and qualified. In addition to the foregoing directors, Roderick R. Baty and Robert M. Aiken, Jr. are serving terms that will expire in 2009 and Michael E. Werner and Richard G. Fanelli are serving terms that will expire in 2010.</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second matter voted upon at the meeting was the ratification of PricewaterhouseCoopers LLP as the Company’s registered independent public accounting firm for the fiscal year ending December 31, 2008. The vote was 14,840,212 For, 191,459 Against and 4,407 abstentions.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3" w:name="page24"/>
    <w:bookmarkEnd w:id="23"/>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9"/>
          <w:szCs w:val="19"/>
          <w:color w:val="auto"/>
        </w:rPr>
        <w:t xml:space="preserve">31.1 </w:t>
      </w:r>
      <w:r>
        <w:rPr>
          <w:rFonts w:ascii="Arial" w:cs="Arial" w:eastAsia="Arial" w:hAnsi="Arial"/>
          <w:sz w:val="16"/>
          <w:szCs w:val="16"/>
          <w:color w:val="auto"/>
        </w:rPr>
        <w:t>Certification of Chief Executive Officer pursuant to Section 302 of Sarbanes-Oxley Act.</w:t>
      </w:r>
    </w:p>
    <w:p>
      <w:pPr>
        <w:spacing w:after="0" w:line="25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31.2 C</w:t>
      </w:r>
      <w:r>
        <w:rPr>
          <w:rFonts w:ascii="Arial" w:cs="Arial" w:eastAsia="Arial" w:hAnsi="Arial"/>
          <w:sz w:val="16"/>
          <w:szCs w:val="16"/>
          <w:color w:val="auto"/>
        </w:rPr>
        <w:t>ertification of Chief Financial Officer pursuant to Section 302 of Sarbanes-Oxley Act.</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32.1 </w:t>
      </w:r>
      <w:r>
        <w:rPr>
          <w:rFonts w:ascii="Arial" w:cs="Arial" w:eastAsia="Arial" w:hAnsi="Arial"/>
          <w:sz w:val="16"/>
          <w:szCs w:val="16"/>
          <w:color w:val="auto"/>
        </w:rPr>
        <w:t>Certification of Chief Executive Officer pursuant to Section 906 of Sarbanes-Oxley Act.</w:t>
      </w:r>
    </w:p>
    <w:p>
      <w:pPr>
        <w:spacing w:after="0" w:line="268" w:lineRule="exact"/>
        <w:rPr>
          <w:sz w:val="20"/>
          <w:szCs w:val="20"/>
          <w:color w:val="auto"/>
        </w:rPr>
      </w:pPr>
    </w:p>
    <w:p>
      <w:pPr>
        <w:ind w:left="720"/>
        <w:spacing w:after="0"/>
        <w:rPr>
          <w:sz w:val="20"/>
          <w:szCs w:val="20"/>
          <w:color w:val="auto"/>
        </w:rPr>
      </w:pPr>
      <w:r>
        <w:rPr>
          <w:rFonts w:ascii="Arial" w:cs="Arial" w:eastAsia="Arial" w:hAnsi="Arial"/>
          <w:sz w:val="19"/>
          <w:szCs w:val="19"/>
          <w:color w:val="auto"/>
        </w:rPr>
        <w:t xml:space="preserve">32.2 </w:t>
      </w:r>
      <w:r>
        <w:rPr>
          <w:rFonts w:ascii="Arial" w:cs="Arial" w:eastAsia="Arial" w:hAnsi="Arial"/>
          <w:sz w:val="16"/>
          <w:szCs w:val="16"/>
          <w:color w:val="auto"/>
        </w:rPr>
        <w:t>Certification of Chief Financial Officer pursuant to Section 906 of Sarbanes-Oxley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6420" w:type="dxa"/>
            <w:vAlign w:val="bottom"/>
            <w:gridSpan w:val="2"/>
          </w:tcPr>
          <w:p>
            <w:pPr>
              <w:ind w:left="2080"/>
              <w:spacing w:after="0"/>
              <w:rPr>
                <w:sz w:val="20"/>
                <w:szCs w:val="20"/>
                <w:color w:val="auto"/>
              </w:rPr>
            </w:pPr>
            <w:r>
              <w:rPr>
                <w:rFonts w:ascii="Arial" w:cs="Arial" w:eastAsia="Arial" w:hAnsi="Arial"/>
                <w:sz w:val="18"/>
                <w:szCs w:val="18"/>
                <w:b w:val="1"/>
                <w:bCs w:val="1"/>
                <w:color w:val="auto"/>
              </w:rPr>
              <w:t>NN, Inc.</w:t>
            </w:r>
          </w:p>
        </w:tc>
      </w:tr>
      <w:tr>
        <w:trPr>
          <w:trHeight w:val="230"/>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6420" w:type="dxa"/>
            <w:vAlign w:val="bottom"/>
            <w:gridSpan w:val="2"/>
          </w:tcPr>
          <w:p>
            <w:pPr>
              <w:ind w:left="2120"/>
              <w:spacing w:after="0"/>
              <w:rPr>
                <w:sz w:val="20"/>
                <w:szCs w:val="20"/>
                <w:color w:val="auto"/>
              </w:rPr>
            </w:pPr>
            <w:r>
              <w:rPr>
                <w:rFonts w:ascii="Arial" w:cs="Arial" w:eastAsia="Arial" w:hAnsi="Arial"/>
                <w:sz w:val="18"/>
                <w:szCs w:val="18"/>
                <w:color w:val="auto"/>
              </w:rPr>
              <w:t>(Registrant)</w:t>
            </w:r>
          </w:p>
        </w:tc>
      </w:tr>
      <w:tr>
        <w:trPr>
          <w:trHeight w:val="453"/>
        </w:trPr>
        <w:tc>
          <w:tcPr>
            <w:tcW w:w="3640" w:type="dxa"/>
            <w:vAlign w:val="bottom"/>
            <w:gridSpan w:val="2"/>
          </w:tcPr>
          <w:p>
            <w:pPr>
              <w:spacing w:after="0"/>
              <w:rPr>
                <w:sz w:val="20"/>
                <w:szCs w:val="20"/>
                <w:color w:val="auto"/>
              </w:rPr>
            </w:pPr>
            <w:r>
              <w:rPr>
                <w:rFonts w:ascii="Arial" w:cs="Arial" w:eastAsia="Arial" w:hAnsi="Arial"/>
                <w:sz w:val="18"/>
                <w:szCs w:val="18"/>
                <w:color w:val="auto"/>
              </w:rPr>
              <w:t>Date August 8, 2008</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Roderick R. Baty</w:t>
            </w:r>
          </w:p>
        </w:tc>
      </w:tr>
      <w:tr>
        <w:trPr>
          <w:trHeight w:val="202"/>
        </w:trPr>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Roderick R. Baty</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453"/>
        </w:trPr>
        <w:tc>
          <w:tcPr>
            <w:tcW w:w="3640" w:type="dxa"/>
            <w:vAlign w:val="bottom"/>
            <w:gridSpan w:val="2"/>
          </w:tcPr>
          <w:p>
            <w:pPr>
              <w:spacing w:after="0"/>
              <w:rPr>
                <w:sz w:val="20"/>
                <w:szCs w:val="20"/>
                <w:color w:val="auto"/>
              </w:rPr>
            </w:pPr>
            <w:r>
              <w:rPr>
                <w:rFonts w:ascii="Arial" w:cs="Arial" w:eastAsia="Arial" w:hAnsi="Arial"/>
                <w:sz w:val="18"/>
                <w:szCs w:val="18"/>
                <w:color w:val="auto"/>
              </w:rPr>
              <w:t>Date August 8, 2008</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James H. Dorton</w:t>
            </w:r>
          </w:p>
        </w:tc>
      </w:tr>
      <w:tr>
        <w:trPr>
          <w:trHeight w:val="202"/>
        </w:trPr>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James H. Dorton</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453"/>
        </w:trPr>
        <w:tc>
          <w:tcPr>
            <w:tcW w:w="400" w:type="dxa"/>
            <w:vAlign w:val="bottom"/>
          </w:tcPr>
          <w:p>
            <w:pPr>
              <w:spacing w:after="0"/>
              <w:rPr>
                <w:sz w:val="20"/>
                <w:szCs w:val="20"/>
                <w:color w:val="auto"/>
              </w:rPr>
            </w:pPr>
            <w:r>
              <w:rPr>
                <w:rFonts w:ascii="Arial" w:cs="Arial" w:eastAsia="Arial" w:hAnsi="Arial"/>
                <w:sz w:val="18"/>
                <w:szCs w:val="18"/>
                <w:color w:val="auto"/>
                <w:w w:val="99"/>
              </w:rPr>
              <w:t>Date</w:t>
            </w:r>
          </w:p>
        </w:tc>
        <w:tc>
          <w:tcPr>
            <w:tcW w:w="3240" w:type="dxa"/>
            <w:vAlign w:val="bottom"/>
          </w:tcPr>
          <w:p>
            <w:pPr>
              <w:ind w:left="40"/>
              <w:spacing w:after="0"/>
              <w:rPr>
                <w:sz w:val="20"/>
                <w:szCs w:val="20"/>
                <w:color w:val="auto"/>
              </w:rPr>
            </w:pPr>
            <w:r>
              <w:rPr>
                <w:rFonts w:ascii="Arial" w:cs="Arial" w:eastAsia="Arial" w:hAnsi="Arial"/>
                <w:sz w:val="18"/>
                <w:szCs w:val="18"/>
                <w:color w:val="auto"/>
              </w:rPr>
              <w:t>August 8, 2008</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William C. Kelly, Jr.</w:t>
            </w:r>
          </w:p>
        </w:tc>
      </w:tr>
      <w:tr>
        <w:trPr>
          <w:trHeight w:val="202"/>
        </w:trPr>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William C. Kelly, Jr.</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(Duly Authorized Officer)</w:t>
            </w:r>
          </w:p>
        </w:tc>
      </w:tr>
      <w:tr>
        <w:trPr>
          <w:trHeight w:val="453"/>
        </w:trPr>
        <w:tc>
          <w:tcPr>
            <w:tcW w:w="400" w:type="dxa"/>
            <w:vAlign w:val="bottom"/>
          </w:tcPr>
          <w:p>
            <w:pPr>
              <w:spacing w:after="0"/>
              <w:rPr>
                <w:sz w:val="20"/>
                <w:szCs w:val="20"/>
                <w:color w:val="auto"/>
              </w:rPr>
            </w:pPr>
            <w:r>
              <w:rPr>
                <w:rFonts w:ascii="Arial" w:cs="Arial" w:eastAsia="Arial" w:hAnsi="Arial"/>
                <w:sz w:val="18"/>
                <w:szCs w:val="18"/>
                <w:color w:val="auto"/>
                <w:w w:val="99"/>
              </w:rPr>
              <w:t>Date</w:t>
            </w:r>
          </w:p>
        </w:tc>
        <w:tc>
          <w:tcPr>
            <w:tcW w:w="3240" w:type="dxa"/>
            <w:vAlign w:val="bottom"/>
          </w:tcPr>
          <w:p>
            <w:pPr>
              <w:ind w:left="40"/>
              <w:spacing w:after="0"/>
              <w:rPr>
                <w:sz w:val="20"/>
                <w:szCs w:val="20"/>
                <w:color w:val="auto"/>
              </w:rPr>
            </w:pPr>
            <w:r>
              <w:rPr>
                <w:rFonts w:ascii="Arial" w:cs="Arial" w:eastAsia="Arial" w:hAnsi="Arial"/>
                <w:sz w:val="18"/>
                <w:szCs w:val="18"/>
                <w:color w:val="auto"/>
              </w:rPr>
              <w:t>August 8, 2008</w:t>
            </w:r>
          </w:p>
        </w:tc>
        <w:tc>
          <w:tcPr>
            <w:tcW w:w="6420" w:type="dxa"/>
            <w:vAlign w:val="bottom"/>
            <w:gridSpan w:val="2"/>
          </w:tcPr>
          <w:p>
            <w:pPr>
              <w:ind w:left="2080"/>
              <w:spacing w:after="0"/>
              <w:rPr>
                <w:sz w:val="20"/>
                <w:szCs w:val="20"/>
                <w:color w:val="auto"/>
              </w:rPr>
            </w:pPr>
            <w:r>
              <w:rPr>
                <w:rFonts w:ascii="Arial" w:cs="Arial" w:eastAsia="Arial" w:hAnsi="Arial"/>
                <w:sz w:val="18"/>
                <w:szCs w:val="18"/>
                <w:color w:val="auto"/>
              </w:rPr>
              <w:t>By: /s/ Thomas C. Burwell, Jr.</w:t>
            </w:r>
          </w:p>
        </w:tc>
      </w:tr>
      <w:tr>
        <w:trPr>
          <w:trHeight w:val="202"/>
        </w:trPr>
        <w:tc>
          <w:tcPr>
            <w:tcW w:w="4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9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Thomas C. Burwell, Jr.</w:t>
            </w:r>
          </w:p>
        </w:tc>
      </w:tr>
      <w:tr>
        <w:trPr>
          <w:trHeight w:val="216"/>
        </w:trPr>
        <w:tc>
          <w:tcPr>
            <w:tcW w:w="4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Corporate Controller</w:t>
            </w:r>
          </w:p>
        </w:tc>
      </w:tr>
      <w:tr>
        <w:trPr>
          <w:trHeight w:val="230"/>
        </w:trPr>
        <w:tc>
          <w:tcPr>
            <w:tcW w:w="4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80" w:type="dxa"/>
            <w:vAlign w:val="bottom"/>
          </w:tcPr>
          <w:p>
            <w:pPr>
              <w:ind w:left="4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Roderick R. Baty, certify that:</w:t>
      </w:r>
    </w:p>
    <w:p>
      <w:pPr>
        <w:spacing w:after="0" w:line="279"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9" w:lineRule="exact"/>
        <w:rPr>
          <w:rFonts w:ascii="Arial" w:cs="Arial" w:eastAsia="Arial" w:hAnsi="Arial"/>
          <w:sz w:val="18"/>
          <w:szCs w:val="18"/>
          <w:color w:val="auto"/>
        </w:rPr>
      </w:pPr>
    </w:p>
    <w:p>
      <w:pPr>
        <w:ind w:right="260" w:firstLine="8"/>
        <w:spacing w:after="0" w:line="342" w:lineRule="auto"/>
        <w:tabs>
          <w:tab w:leader="none" w:pos="675"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8"/>
        <w:spacing w:after="0" w:line="277"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64"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520" w:hanging="288"/>
        <w:spacing w:after="0" w:line="264" w:lineRule="auto"/>
        <w:tabs>
          <w:tab w:leader="none" w:pos="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540" w:hanging="305"/>
        <w:spacing w:after="0" w:line="264" w:lineRule="auto"/>
        <w:tabs>
          <w:tab w:leader="none" w:pos="540" w:val="left"/>
        </w:tabs>
        <w:numPr>
          <w:ilvl w:val="2"/>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520" w:hanging="288"/>
        <w:spacing w:after="0" w:line="277" w:lineRule="auto"/>
        <w:tabs>
          <w:tab w:leader="none" w:pos="520" w:val="left"/>
        </w:tabs>
        <w:numPr>
          <w:ilvl w:val="2"/>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520" w:hanging="299"/>
        <w:spacing w:after="0" w:line="264" w:lineRule="auto"/>
        <w:tabs>
          <w:tab w:leader="none" w:pos="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right="160" w:firstLine="8"/>
        <w:spacing w:after="0" w:line="308" w:lineRule="auto"/>
        <w:tabs>
          <w:tab w:leader="none" w:pos="6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500" w:right="20" w:hanging="282"/>
        <w:spacing w:after="0" w:line="277" w:lineRule="auto"/>
        <w:tabs>
          <w:tab w:leader="none" w:pos="5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20" w:hanging="299"/>
        <w:spacing w:after="0" w:line="277" w:lineRule="auto"/>
        <w:tabs>
          <w:tab w:leader="none" w:pos="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CERTIFICATION PURSUANT TO SECTION 302 OF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279"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279" w:lineRule="exact"/>
        <w:rPr>
          <w:rFonts w:ascii="Arial" w:cs="Arial" w:eastAsia="Arial" w:hAnsi="Arial"/>
          <w:sz w:val="18"/>
          <w:szCs w:val="18"/>
          <w:color w:val="auto"/>
        </w:rPr>
      </w:pPr>
    </w:p>
    <w:p>
      <w:pPr>
        <w:ind w:right="260" w:firstLine="8"/>
        <w:spacing w:after="0" w:line="342" w:lineRule="auto"/>
        <w:tabs>
          <w:tab w:leader="none" w:pos="67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40" w:firstLine="8"/>
        <w:spacing w:after="0" w:line="277" w:lineRule="auto"/>
        <w:tabs>
          <w:tab w:leader="none" w:pos="67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260" w:firstLine="8"/>
        <w:spacing w:after="0" w:line="264" w:lineRule="auto"/>
        <w:tabs>
          <w:tab w:leader="none" w:pos="53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460" w:hanging="283"/>
        <w:spacing w:after="0" w:line="264" w:lineRule="auto"/>
        <w:tabs>
          <w:tab w:leader="none" w:pos="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460" w:hanging="293"/>
        <w:spacing w:after="0" w:line="264" w:lineRule="auto"/>
        <w:tabs>
          <w:tab w:leader="none" w:pos="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460" w:hanging="283"/>
        <w:spacing w:after="0" w:line="277" w:lineRule="auto"/>
        <w:tabs>
          <w:tab w:leader="none" w:pos="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jc w:val="both"/>
        <w:ind w:left="460" w:hanging="293"/>
        <w:spacing w:after="0" w:line="264" w:lineRule="auto"/>
        <w:tabs>
          <w:tab w:leader="none" w:pos="460"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right="340" w:firstLine="8"/>
        <w:spacing w:after="0" w:line="308" w:lineRule="auto"/>
        <w:tabs>
          <w:tab w:leader="none" w:pos="49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460" w:hanging="296"/>
        <w:spacing w:after="0" w:line="277" w:lineRule="auto"/>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460" w:hanging="236"/>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7"/>
          <w:szCs w:val="17"/>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Roderick R. Baty</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607"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Quarterly Report of NN, Inc. (the “Company”) on Form 10-Q for the interim period ended June 30, 2008,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8, 2008</w:t>
      </w:r>
      <w:r>
        <w:rPr>
          <w:sz w:val="20"/>
          <w:szCs w:val="20"/>
          <w:color w:val="auto"/>
        </w:rPr>
        <w:tab/>
      </w:r>
      <w:r>
        <w:rPr>
          <w:rFonts w:ascii="Arial" w:cs="Arial" w:eastAsia="Arial" w:hAnsi="Arial"/>
          <w:sz w:val="16"/>
          <w:szCs w:val="16"/>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James H. Dorton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 Corporate Development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2019-12-14T03:16:16Z</dcterms:created>
  <dcterms:modified xsi:type="dcterms:W3CDTF">2019-12-14T03:16:16Z</dcterms:modified>
</cp:coreProperties>
</file>