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WERNER MICHAEL E</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NNBR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gridSpan w:val="2"/>
            <w:vMerge w:val="restart"/>
          </w:tcPr>
          <w:p>
            <w:pPr>
              <w:ind w:left="140"/>
              <w:spacing w:after="0" w:line="157" w:lineRule="exact"/>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2000 WATERS EDGE DR.</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8"/>
                <w:szCs w:val="18"/>
                <w:color w:val="0000FF"/>
              </w:rPr>
              <w:t>09/09/2014</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40" w:type="dxa"/>
            <w:vAlign w:val="bottom"/>
            <w:gridSpan w:val="5"/>
            <w:vMerge w:val="continue"/>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BUILDING C, SUITE 12</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7"/>
          </w:tcPr>
          <w:p>
            <w:pPr>
              <w:spacing w:after="0" w:line="155" w:lineRule="exact"/>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60" w:type="dxa"/>
            <w:vAlign w:val="bottom"/>
            <w:gridSpan w:val="7"/>
          </w:tcPr>
          <w:p>
            <w:pPr>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tcPr>
          <w:p>
            <w:pPr>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JOHNSON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1"/>
              </w:rPr>
              <w:t>TN</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37604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line="129" w:lineRule="exact"/>
              <w:rPr>
                <w:sz w:val="20"/>
                <w:szCs w:val="20"/>
                <w:color w:val="auto"/>
              </w:rPr>
            </w:pPr>
            <w:r>
              <w:rPr>
                <w:rFonts w:ascii="Arial" w:cs="Arial" w:eastAsia="Arial" w:hAnsi="Arial"/>
                <w:sz w:val="14"/>
                <w:szCs w:val="14"/>
                <w:color w:val="0000FF"/>
              </w:rPr>
              <w:t>CITY</w:t>
            </w:r>
          </w:p>
        </w:tc>
        <w:tc>
          <w:tcPr>
            <w:tcW w:w="60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9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gridSpan w:val="2"/>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gridSpan w:val="3"/>
          </w:tcPr>
          <w:p>
            <w:pPr>
              <w:spacing w:after="0"/>
              <w:rPr>
                <w:sz w:val="11"/>
                <w:szCs w:val="11"/>
                <w:color w:val="auto"/>
              </w:rPr>
            </w:pPr>
          </w:p>
        </w:tc>
        <w:tc>
          <w:tcPr>
            <w:tcW w:w="31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8"/>
          </w:tcPr>
          <w:p>
            <w:pPr>
              <w:jc w:val="center"/>
              <w:ind w:right="47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8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4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w w:val="95"/>
              </w:rPr>
              <w:t>Price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w w:val="97"/>
              </w:rPr>
              <w:t>09/09/2014</w:t>
            </w: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2,000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4"/>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28.16</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34"/>
              <w:spacing w:after="0"/>
              <w:rPr>
                <w:sz w:val="20"/>
                <w:szCs w:val="20"/>
                <w:color w:val="auto"/>
              </w:rPr>
            </w:pPr>
            <w:r>
              <w:rPr>
                <w:rFonts w:ascii="Arial" w:cs="Arial" w:eastAsia="Arial" w:hAnsi="Arial"/>
                <w:sz w:val="18"/>
                <w:szCs w:val="18"/>
                <w:color w:val="0000FF"/>
                <w:w w:val="87"/>
              </w:rPr>
              <w:t>22,533</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vMerge w:val="restart"/>
          </w:tcPr>
          <w:p>
            <w:pPr>
              <w:jc w:val="right"/>
              <w:ind w:right="374"/>
              <w:spacing w:after="0"/>
              <w:rPr>
                <w:sz w:val="20"/>
                <w:szCs w:val="20"/>
                <w:color w:val="auto"/>
              </w:rPr>
            </w:pPr>
            <w:r>
              <w:rPr>
                <w:rFonts w:ascii="Arial" w:cs="Arial" w:eastAsia="Arial" w:hAnsi="Arial"/>
                <w:sz w:val="18"/>
                <w:szCs w:val="18"/>
                <w:color w:val="0000FF"/>
                <w:w w:val="97"/>
              </w:rPr>
              <w:t>5,287</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3340" w:type="dxa"/>
            <w:vAlign w:val="bottom"/>
            <w:tcBorders>
              <w:bottom w:val="single" w:sz="8" w:color="2C2C2C"/>
            </w:tcBorders>
            <w:gridSpan w:val="7"/>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8"/>
          </w:tcPr>
          <w:p>
            <w:pPr>
              <w:jc w:val="center"/>
              <w:ind w:right="454"/>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0" w:type="dxa"/>
            <w:vAlign w:val="bottom"/>
            <w:gridSpan w:val="15"/>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2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$28.05 to $28.30 per share, inclusive. The reporting person undertakes to provide NN, Inc., any security holder of NN, Inc., or the staff of the Securities and Exchange Commission, upon request, full information regarding the number of shares sold at each separate price within the foregoing range.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William C. Kelly, Jr., by</w:t>
            </w: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09/11/2014</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600" w:type="dxa"/>
            <w:vAlign w:val="bottom"/>
            <w:tcBorders>
              <w:top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600" w:type="dxa"/>
            <w:vAlign w:val="bottom"/>
            <w:tcBorders>
              <w:top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24"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2019-12-17T06:15:17Z</dcterms:created>
  <dcterms:modified xsi:type="dcterms:W3CDTF">2019-12-17T06:15:17Z</dcterms:modified>
</cp:coreProperties>
</file>