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TLCA Amendment</w:t>
      </w:r>
    </w:p>
    <w:p>
      <w:pPr>
        <w:spacing w:after="0" w:line="6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August 29, 2024, NN, Inc., a Delaware corporation (the “Company”), certain subsidiaries of the Company named therein, the lenders party thereto and Oaktree Fund Administration, LLC (“Oaktree”), as administrative agent, entered into that certain Amendment No. 4 to Term Loan Credit Agreement (the “TLCA Amendment”), which amended the Company’s existing Term Loan Credit Agreement, dated as of March 22, 2021 (as previously amended and as amended by the TLCA Amendment, the “Term Loan Credit Agreement”), by and among the Company, the lenders party thereto from time to time, and Oaktree, as administrative agent.</w:t>
      </w:r>
    </w:p>
    <w:p>
      <w:pPr>
        <w:spacing w:after="0" w:line="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TLCA Amendment, among other things, (i) requires the Company to use the net cash proceeds obtained in connection with any future sale and leaseback transactions to prepay any outstanding principal indebtedness under the Term Loan Credit Agreement; (ii) raises the amount of the Company’s allowable indebtedness – incurred in connection with the purchase or lease of fixed assets – from $20 million to $40 million, provided that no more than $26,950,000 is used with respect to any sale and leaseback transaction; (iii) makes certain modifications to the Domestic Liquidity (as defined in the Term Loan Credit Agreement) requirements; and (iv) amends certain definitions and other terms under the Term Loan Credit Agreement relating to sale and leaseback transactions.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Amendment</w:t>
      </w:r>
    </w:p>
    <w:p>
      <w:pPr>
        <w:spacing w:after="0" w:line="6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Additionally, on August 29, 2024, the Company, certain subsidiaries of the Company named therein, the lenders party thereto and JPMorgan Chase Bank, N.A., as administrative agent, entered into that certain Amendment No. 3 to Credit Agreement (the “ABL Amendment” and together with the TLCA Amendment, the “Loan Amendments”), which amended the Company’s existing Credit Agreement, dated as of March 22, 2021 (as previously amended and as amended by the ABL Amendment, the “ABL Credit Agreement”), by and among the Company, the lenders party thereto and JPMorgan Chase Bank, N.A., as administrative agent.</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ABL Amendment, among other things, (i) raises the amount of the Company’s allowable indebtedness – incurred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of the acquisition, construction or improvement of any fixed or capital assets – from $20 million to $40 million, provided that no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$26,950,000 is used with respect to any sale and leaseback transaction; (ii) makes certain modifications to the Domestic Liquidity (as defined in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Credit Agreement) requirements; and (iii) amends certain definitions and other terms under the ABL Credit Agreement relating to any future sale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leaseback transactions by the Company.</w:t>
      </w:r>
    </w:p>
    <w:p>
      <w:pPr>
        <w:spacing w:after="0" w:line="9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TLCA Amendment and ABL Amendment are qualified in their entirety by reference to the full text of: (i) the TLCA Amendment, a copy of which is filed as Exhibit 10.1 to this Current Report on Form 8-K; and (ii) the ABL Amendment, a copy of which is filed as Exhibit 10.2 to this Current Report on Form 8-K, each of which is incorporated herein by reference.</w:t>
      </w:r>
    </w:p>
    <w:p>
      <w:pPr>
        <w:spacing w:after="0" w:line="200" w:lineRule="exact"/>
        <w:rPr>
          <w:sz w:val="20"/>
          <w:szCs w:val="20"/>
          <w:color w:val="auto"/>
        </w:rPr>
      </w:pPr>
    </w:p>
    <w:p>
      <w:pPr>
        <w:spacing w:after="0" w:line="215" w:lineRule="exact"/>
        <w:rPr>
          <w:sz w:val="20"/>
          <w:szCs w:val="20"/>
          <w:color w:val="auto"/>
        </w:rPr>
      </w:pPr>
    </w:p>
    <w:p>
      <w:pPr>
        <w:ind w:left="1020" w:right="960" w:hanging="1295"/>
        <w:spacing w:after="0" w:line="284"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3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9"/>
                <w:szCs w:val="19"/>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Amendment No. 4 to Term Loan Credit Agreement, dated as of August 29, 2024, by and among NN, Inc., certain subsidiaries of NN, Inc., the</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lenders party thereto and Oaktree Fund Administration, LLC, as administrative agent.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9"/>
                <w:szCs w:val="19"/>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Amendment No. 3 to Credit Agreement, dated as of August 29, 2024, by and among NN, Inc., certain subsidiaries of NN, Inc., the lenders</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party thereto and JPMorgan Chase Bank, N.A., as administrative agent.</w:t>
            </w:r>
          </w:p>
        </w:tc>
        <w:tc>
          <w:tcPr>
            <w:tcW w:w="4800" w:type="dxa"/>
            <w:vAlign w:val="bottom"/>
            <w:tcBorders>
              <w:top w:val="single" w:sz="8" w:color="0000FF"/>
            </w:tcBorders>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2"/>
                <w:szCs w:val="22"/>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August 30, 2024</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9220"/>
          </w:cols>
          <w:pgMar w:left="1340" w:top="887" w:right="1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4 TO TERM LOAN CREDIT AGREEMENT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This AMENDMENT NO. 4 TO TERM LOAN CREDIT AGREEMENT, dated as of August 29, 2024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other Loan Party party hereto, each Lender (as defined below) party hereto, and Oaktree Fund Administration, LLC, as administrative agent and collateral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Borrower, the lenders party thereto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the Administrative Agent are parties to that certain Term Loan Credit Agreement, dated as of March 22, 2021 and amended by that certain Amendment No. 1 to Term Loan Credit Agreement, dated as of March 3, 2022, by that certain Amendment No. 2 to Term Loan Credit Agreement, dated as of March 3, 2023, and by that certain Amendment No. 3 to Term Loan Credit Agreement dated as of March 15, 2024 (and as further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the Credit Agreement, after giving effect to the effectiveness of this Amendment, the “</w:t>
      </w:r>
      <w:r>
        <w:rPr>
          <w:rFonts w:ascii="Times New Roman" w:cs="Times New Roman" w:eastAsia="Times New Roman" w:hAnsi="Times New Roman"/>
          <w:sz w:val="20"/>
          <w:szCs w:val="20"/>
          <w:u w:val="single" w:color="auto"/>
          <w:color w:val="auto"/>
        </w:rPr>
        <w:t>Amended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WHEREAS, the Borrower has requested that the Lenders agree to amend certain provisions of the Credit Agreement as provided for herein;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Lenders are willing to agree to such amendment to the Credit Agreement.</w:t>
      </w:r>
    </w:p>
    <w:p>
      <w:pPr>
        <w:spacing w:after="0" w:line="24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Capitalized terms used but not defined herein shall have the meanings assigned to such terms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Credit Agreement.</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2.</w:t>
      </w:r>
      <w:r>
        <w:rPr>
          <w:sz w:val="20"/>
          <w:szCs w:val="20"/>
          <w:color w:val="auto"/>
        </w:rPr>
        <w:tab/>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840" w:hanging="536"/>
        <w:spacing w:after="0"/>
        <w:tabs>
          <w:tab w:leader="none" w:pos="18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by inserting the following definitions in the appropriate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alphabetical order:</w:t>
      </w:r>
    </w:p>
    <w:p>
      <w:pPr>
        <w:spacing w:after="0" w:line="200" w:lineRule="exact"/>
        <w:rPr>
          <w:sz w:val="20"/>
          <w:szCs w:val="20"/>
          <w:color w:val="auto"/>
        </w:rPr>
      </w:pPr>
    </w:p>
    <w:p>
      <w:pPr>
        <w:jc w:val="both"/>
        <w:ind w:left="1960" w:right="660"/>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4</w:t>
      </w:r>
      <w:r>
        <w:rPr>
          <w:rFonts w:ascii="Times New Roman" w:cs="Times New Roman" w:eastAsia="Times New Roman" w:hAnsi="Times New Roman"/>
          <w:sz w:val="20"/>
          <w:szCs w:val="20"/>
          <w:color w:val="auto"/>
        </w:rPr>
        <w:t>” means that certain Amendment No. 4 to Term Loan Credit Agreement, dated as of August 29, 2024, among the Borrower, each other Loan Party thereto, each Lender party thereto and Oaktree Fund Administration, LLC, as administrative agent and collateral agent.</w:t>
      </w:r>
    </w:p>
    <w:p>
      <w:pPr>
        <w:spacing w:after="0" w:line="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4 Effective Date</w:t>
      </w:r>
      <w:r>
        <w:rPr>
          <w:rFonts w:ascii="Times New Roman" w:cs="Times New Roman" w:eastAsia="Times New Roman" w:hAnsi="Times New Roman"/>
          <w:sz w:val="20"/>
          <w:szCs w:val="20"/>
          <w:color w:val="auto"/>
        </w:rPr>
        <w:t>” means August 29, 2024.</w:t>
      </w:r>
    </w:p>
    <w:p>
      <w:pPr>
        <w:spacing w:after="0" w:line="121"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The final proviso of clause (a) of the definition of “Net Cash Proceeds” is hereby amended and restated in its entirety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7" w:lineRule="exact"/>
        <w:rPr>
          <w:sz w:val="20"/>
          <w:szCs w:val="20"/>
          <w:color w:val="auto"/>
        </w:rPr>
      </w:pPr>
    </w:p>
    <w:p>
      <w:pPr>
        <w:ind w:left="1960" w:right="660" w:hanging="8"/>
        <w:spacing w:after="0" w:line="283" w:lineRule="auto"/>
        <w:tabs>
          <w:tab w:leader="none" w:pos="207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cash or Cash Equivalents received in connection with any Disposition (other than (x) the 2024 Sale and Leaseback Transaction, (y) any other Disposition in the form of a sale</w:t>
      </w:r>
    </w:p>
    <w:p>
      <w:pPr>
        <w:sectPr>
          <w:pgSz w:w="11900" w:h="16838" w:orient="portrait"/>
          <w:cols w:equalWidth="0" w:num="1">
            <w:col w:w="11240"/>
          </w:cols>
          <w:pgMar w:left="320" w:top="100" w:right="339" w:bottom="1440" w:gutter="0" w:footer="0" w:header="0"/>
        </w:sectPr>
      </w:pPr>
    </w:p>
    <w:bookmarkStart w:id="4" w:name="page5"/>
    <w:bookmarkEnd w:id="4"/>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 xml:space="preserve">and leaseback transaction of assets owned by the Loan Parties or any of their respective Subsidiaries prior to the date such transaction is consummated and not acquired in contemplation thereof (and not, for the avoidance of doubt, in connection with any purchase money financing in connection with the acquisition of any assets), and (z) any other Disposition consummated after the Amendment No. 3 Effective Date and before June 30, 2024, the proceeds of which are greater than $5,000,000) or Extraordinary Receipt shall only constitute Net Cash Proceeds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in any fiscal year to the extent that the aggregate amount of such cash and Cash Equivalents received in such fiscal year exceeds $5,000,000; and</w:t>
      </w:r>
    </w:p>
    <w:p>
      <w:pPr>
        <w:spacing w:after="0" w:line="7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The final sentence of Section 2.05(b)(ii) is hereby amended and restated in its entirety as follows:</w:t>
      </w:r>
    </w:p>
    <w:p>
      <w:pPr>
        <w:spacing w:after="0" w:line="229"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anything in this Section 2.05(b) to the contrary, the Borrower shall prepay an aggregate principal amount of Term Loans equal to 100% of the Net Cash Proceeds received in connection with (x) the 2024 Sale and Leaseback Transaction, (y) any other Disposition in the form of a sale and leaseback transaction of assets owned by the Loan Parties or any of their respective Subsidiaries prior to the date such transaction is consummated and not acquired in contemplation thereof (and not, for the avoidance of doubt, in connection with any purchase money financing in connection with the acquisition of any assets), or (z) or any other Disposition consummated after the Amendment No. 3 Effective Date and before June 30, 2024, the proceeds of which are greater than $5,000,000, in each case, within ten (10) Business Days of receipt thereof by the Borrower (such prepayments to be applied as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without regard to any reinvestment rights with respect to such Net Cash Proceeds.</w:t>
      </w:r>
    </w:p>
    <w:p>
      <w:pPr>
        <w:spacing w:after="0" w:line="88"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The first sentence of Section 2.05(c) is hereby amended and restated in its entirety as follows:</w:t>
      </w:r>
    </w:p>
    <w:p>
      <w:pPr>
        <w:spacing w:after="0" w:line="216"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20"/>
          <w:szCs w:val="20"/>
          <w:color w:val="auto"/>
        </w:rPr>
        <w:t xml:space="preserve">In the event that all or any portion of the Term Loans is repaid or prepaid as a result of any voluntary prepayment or mandatory prepayment, but excluding any prepayment made pursuant to </w:t>
      </w:r>
      <w:r>
        <w:rPr>
          <w:rFonts w:ascii="Times New Roman" w:cs="Times New Roman" w:eastAsia="Times New Roman" w:hAnsi="Times New Roman"/>
          <w:sz w:val="20"/>
          <w:szCs w:val="20"/>
          <w:u w:val="single" w:color="auto"/>
          <w:color w:val="auto"/>
        </w:rPr>
        <w:t>Sections 2.05(b)(i)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(b)(ii)</w:t>
      </w:r>
      <w:r>
        <w:rPr>
          <w:rFonts w:ascii="Times New Roman" w:cs="Times New Roman" w:eastAsia="Times New Roman" w:hAnsi="Times New Roman"/>
          <w:sz w:val="20"/>
          <w:szCs w:val="20"/>
          <w:color w:val="auto"/>
        </w:rPr>
        <w:t xml:space="preserve"> (including, for the avoidance of doubt, prepayments made in connection with (x) the 2024 Sale and Leaseback Transaction, (y) any other Disposition in the form of a sale and leaseback transaction of assets owned by the Loan Parties or any of their respective Subsidiaries prior to the date such transaction is consummated and not acquired in contemplation thereof (and not, for the avoidance of doubt, in connection with any purchase money financing in connection with the acquisition of any assets), and (z) any other Disposition consummated after the Amendment No. 3 Effective Date and before June 30, 2024, the proceeds of which are greater than $5,000,000) and (</w:t>
      </w:r>
      <w:r>
        <w:rPr>
          <w:rFonts w:ascii="Times New Roman" w:cs="Times New Roman" w:eastAsia="Times New Roman" w:hAnsi="Times New Roman"/>
          <w:sz w:val="20"/>
          <w:szCs w:val="20"/>
          <w:u w:val="single" w:color="auto"/>
          <w:color w:val="auto"/>
        </w:rPr>
        <w:t>b)(iv</w:t>
      </w:r>
      <w:r>
        <w:rPr>
          <w:rFonts w:ascii="Times New Roman" w:cs="Times New Roman" w:eastAsia="Times New Roman" w:hAnsi="Times New Roman"/>
          <w:sz w:val="20"/>
          <w:szCs w:val="20"/>
          <w:color w:val="auto"/>
        </w:rPr>
        <w:t>), on or prior to the third anniversary of the Closing Date, such repayments, prepayments or required assignments shall be made at (A) an amount equal to the Make-Whole Amount, if such repayment, prepayment or required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480"/>
          </w:cols>
          <w:pgMar w:left="1440" w:top="1413" w:right="979" w:bottom="1440" w:gutter="0" w:footer="0" w:header="0"/>
        </w:sectPr>
      </w:pPr>
    </w:p>
    <w:bookmarkStart w:id="5" w:name="page6"/>
    <w:bookmarkEnd w:id="5"/>
    <w:p>
      <w:pPr>
        <w:jc w:val="both"/>
        <w:ind w:left="1960" w:right="640"/>
        <w:spacing w:after="0" w:line="253" w:lineRule="auto"/>
        <w:rPr>
          <w:sz w:val="20"/>
          <w:szCs w:val="20"/>
          <w:color w:val="auto"/>
        </w:rPr>
      </w:pPr>
      <w:r>
        <w:rPr>
          <w:rFonts w:ascii="Times New Roman" w:cs="Times New Roman" w:eastAsia="Times New Roman" w:hAnsi="Times New Roman"/>
          <w:sz w:val="20"/>
          <w:szCs w:val="20"/>
          <w:color w:val="auto"/>
        </w:rPr>
        <w:t>occurs on or prior to the first anniversary of the Closing Date, (B) 2.0% of the amount repaid or prepaid as of the date of such repayment, prepayment or required assignment, if such repayment, prepayment or required assignment occurs after the first anniversary of the Closing Date but on or prior to the second anniversary of the Closing Date and (C) 1.0% of the amount repaid or prepaid, if such repayment, prepayment or required assignment occurs after the second anniversary of the Closing Date but on or prior to the third anniversary of the Closing Date (the foregoing premiums (including the Make-Whole Amount), the “</w:t>
      </w:r>
      <w:r>
        <w:rPr>
          <w:rFonts w:ascii="Times New Roman" w:cs="Times New Roman" w:eastAsia="Times New Roman" w:hAnsi="Times New Roman"/>
          <w:sz w:val="20"/>
          <w:szCs w:val="20"/>
          <w:u w:val="single" w:color="auto"/>
          <w:color w:val="auto"/>
        </w:rPr>
        <w:t>Prepayment Premium</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Section 7.02(b) of the Credit Agreement is hereby amended and restated in its entirety as follows:</w:t>
      </w:r>
    </w:p>
    <w:p>
      <w:pPr>
        <w:spacing w:after="0" w:line="229" w:lineRule="exact"/>
        <w:rPr>
          <w:sz w:val="20"/>
          <w:szCs w:val="20"/>
          <w:color w:val="auto"/>
        </w:rPr>
      </w:pPr>
    </w:p>
    <w:p>
      <w:pPr>
        <w:jc w:val="both"/>
        <w:ind w:left="1300" w:right="640" w:firstLine="4"/>
        <w:spacing w:after="0" w:line="251" w:lineRule="auto"/>
        <w:tabs>
          <w:tab w:leader="none" w:pos="18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loans granted to or Indebtedness under Financing Lease Obligations entered into by the Borrower or any of its Subsidiaries for the purchase or lease of fixed assets and any Refinance Indebtedness in respect thereof permitted by clause (g) below, which loans and Indebtedness under Financing Lease Obligations shall only be secured by the fixed assets being purchased or leased, so long as the aggregate principal amount of all such loans and Indebtedness under Financing Lease Obligations (other than with respect to the 2024 Sale and Leaseback Transaction) for the Borrower and all of its Subsidiaries shall not exceed $40,000,000 at any time outstanding, of which no more than $26,950,000 shall be used with respect to any sale and leaseback transaction of assets not owned by the Loan Parties or any of their respective Subsidiaries prior to the date such transaction is consummated;</w:t>
      </w:r>
    </w:p>
    <w:p>
      <w:pPr>
        <w:spacing w:after="0" w:line="195" w:lineRule="exact"/>
        <w:rPr>
          <w:sz w:val="20"/>
          <w:szCs w:val="20"/>
          <w:color w:val="auto"/>
        </w:rPr>
      </w:pPr>
    </w:p>
    <w:p>
      <w:pPr>
        <w:ind w:left="1700" w:hanging="396"/>
        <w:spacing w:after="0"/>
        <w:tabs>
          <w:tab w:leader="none" w:pos="1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7.14(b) of the Credit Agreement is hereby amended and restated in its entirety as follows:</w:t>
      </w:r>
    </w:p>
    <w:p>
      <w:pPr>
        <w:spacing w:after="0" w:line="216" w:lineRule="exact"/>
        <w:rPr>
          <w:sz w:val="20"/>
          <w:szCs w:val="20"/>
          <w:color w:val="auto"/>
        </w:rPr>
      </w:pPr>
    </w:p>
    <w:p>
      <w:pPr>
        <w:ind w:left="1740" w:hanging="436"/>
        <w:spacing w:after="0"/>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(i) Permit Domestic Liquidity as of the last day of any fiscal quarter to be less than $10,000,000 and</w:t>
      </w:r>
    </w:p>
    <w:p>
      <w:pPr>
        <w:spacing w:after="0" w:line="28" w:lineRule="exact"/>
        <w:rPr>
          <w:rFonts w:ascii="Times New Roman" w:cs="Times New Roman" w:eastAsia="Times New Roman" w:hAnsi="Times New Roman"/>
          <w:sz w:val="20"/>
          <w:szCs w:val="20"/>
          <w:color w:val="auto"/>
        </w:rPr>
      </w:pPr>
    </w:p>
    <w:p>
      <w:pPr>
        <w:jc w:val="both"/>
        <w:ind w:left="1300" w:right="640" w:firstLine="4"/>
        <w:spacing w:after="0" w:line="248" w:lineRule="auto"/>
        <w:tabs>
          <w:tab w:leader="none" w:pos="161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 (clauses (i) and (ii) collectively, the “</w:t>
      </w:r>
      <w:r>
        <w:rPr>
          <w:rFonts w:ascii="Times New Roman" w:cs="Times New Roman" w:eastAsia="Times New Roman" w:hAnsi="Times New Roman"/>
          <w:sz w:val="20"/>
          <w:szCs w:val="20"/>
          <w:u w:val="single" w:color="auto"/>
          <w:color w:val="auto"/>
        </w:rPr>
        <w:t>Minimum Liquidity Covenant</w:t>
      </w:r>
      <w:r>
        <w:rPr>
          <w:rFonts w:ascii="Times New Roman" w:cs="Times New Roman" w:eastAsia="Times New Roman" w:hAnsi="Times New Roman"/>
          <w:sz w:val="20"/>
          <w:szCs w:val="20"/>
          <w:color w:val="auto"/>
        </w:rPr>
        <w:t>”, and together with the Consolidated Net Leverage Ratio Covenant, the “</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Covenant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1304"/>
        <w:spacing w:after="0" w:line="261" w:lineRule="auto"/>
        <w:tabs>
          <w:tab w:leader="none" w:pos="175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as amended pursuant to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highlight w:val="white"/>
        </w:rPr>
        <w:t>, is hereby ratified, approved and confirmed in each and</w:t>
      </w:r>
      <w:r>
        <w:rPr>
          <w:rFonts w:ascii="Times New Roman" w:cs="Times New Roman" w:eastAsia="Times New Roman" w:hAnsi="Times New Roman"/>
          <w:sz w:val="20"/>
          <w:szCs w:val="20"/>
          <w:color w:val="auto"/>
        </w:rPr>
        <w:t xml:space="preserve"> every respect by all parties hereto. The rights and obligations of the parties to the Credit Agreement with respect to the period prior to the Amendment No. 4 Effective Date shall not be affected by such amendment.</w:t>
      </w:r>
    </w:p>
    <w:p>
      <w:pPr>
        <w:spacing w:after="0" w:line="18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3. </w:t>
      </w:r>
      <w:r>
        <w:rPr>
          <w:rFonts w:ascii="Times New Roman" w:cs="Times New Roman" w:eastAsia="Times New Roman" w:hAnsi="Times New Roman"/>
          <w:sz w:val="20"/>
          <w:szCs w:val="20"/>
          <w:u w:val="single" w:color="auto"/>
          <w:color w:val="000000"/>
        </w:rPr>
        <w:t>Conditions to Effectiveness</w:t>
      </w:r>
      <w:r>
        <w:rPr>
          <w:rFonts w:ascii="Times New Roman" w:cs="Times New Roman" w:eastAsia="Times New Roman" w:hAnsi="Times New Roman"/>
          <w:sz w:val="20"/>
          <w:szCs w:val="20"/>
          <w:color w:val="000000"/>
        </w:rPr>
        <w:t>. This Amendment shall become effective upon satisfaction (or effective waiver)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following conditions precedent (such date, the “</w:t>
      </w:r>
      <w:r>
        <w:rPr>
          <w:rFonts w:ascii="Times New Roman" w:cs="Times New Roman" w:eastAsia="Times New Roman" w:hAnsi="Times New Roman"/>
          <w:sz w:val="20"/>
          <w:szCs w:val="20"/>
          <w:u w:val="single" w:color="auto"/>
          <w:color w:val="000000"/>
        </w:rPr>
        <w:t>Amendment No. 4 Effective Date</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 w:name="page7"/>
    <w:bookmarkEnd w:id="6"/>
    <w:p>
      <w:pPr>
        <w:jc w:val="both"/>
        <w:ind w:firstLine="1304"/>
        <w:spacing w:after="0" w:line="261" w:lineRule="auto"/>
        <w:tabs>
          <w:tab w:leader="none" w:pos="180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the Borrower, each other Loan Party, and each Lender an executed counterpart of this Amendment (or photocopies thereof sent by fax, .pdf or other electronic means, each of which shall be enforceable with the same effect as a signed original).</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2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the Borrower an executed copy of that certain Amendment No. 3 to Credit Agreement, dated as of the date hereof (the “</w:t>
      </w:r>
      <w:r>
        <w:rPr>
          <w:rFonts w:ascii="Times New Roman" w:cs="Times New Roman" w:eastAsia="Times New Roman" w:hAnsi="Times New Roman"/>
          <w:sz w:val="20"/>
          <w:szCs w:val="20"/>
          <w:u w:val="single" w:color="auto"/>
          <w:color w:val="auto"/>
        </w:rPr>
        <w:t>ABL Amendment</w:t>
      </w:r>
      <w:r>
        <w:rPr>
          <w:rFonts w:ascii="Times New Roman" w:cs="Times New Roman" w:eastAsia="Times New Roman" w:hAnsi="Times New Roman"/>
          <w:sz w:val="20"/>
          <w:szCs w:val="20"/>
          <w:color w:val="auto"/>
          <w:highlight w:val="white"/>
        </w:rPr>
        <w:t>”), duly executed by the Borrower, each other</w:t>
      </w:r>
      <w:r>
        <w:rPr>
          <w:rFonts w:ascii="Times New Roman" w:cs="Times New Roman" w:eastAsia="Times New Roman" w:hAnsi="Times New Roman"/>
          <w:sz w:val="20"/>
          <w:szCs w:val="20"/>
          <w:color w:val="auto"/>
        </w:rPr>
        <w:t xml:space="preserve"> loan party thereto, and the ABL Administrative Agent, which such ABL Amendment shall be in form and substance reasonably satisfactory to the Administrative Agent.</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1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the representations and warranties contained in each of the Loan Documents are true and correct in all material respects on and as of the Amendment No. 4 Effective Date (or to the extent such representations and warranties specifically relate to an earlier date, on and as of such earlier date).</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after giving effect to this Amendment.</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3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reimbursement or payment of all fees and expenses required to be reimbursed or paid hereunder or under any other Loan Document or otherwise agreed to in writing to be paid (including the reasonable and documented fees, charges and disbursements of Proskauer Rose LLP, as counsel to the Administrative Agent), in each case, on or prior to the Amendment No. 4 Effective Date, in the case of reimbursement of expenses, to the extent invoiced at least three (3) Business Days prior to the Amendment No. 4 Effective Date (or such later date as the Borrower may agree).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010000"/>
        </w:rPr>
        <w:t xml:space="preserve">SECTION 4. </w:t>
      </w:r>
      <w:r>
        <w:rPr>
          <w:rFonts w:ascii="Times New Roman" w:cs="Times New Roman" w:eastAsia="Times New Roman" w:hAnsi="Times New Roman"/>
          <w:sz w:val="20"/>
          <w:szCs w:val="20"/>
          <w:u w:val="single" w:color="auto"/>
          <w:color w:val="000000"/>
        </w:rPr>
        <w:t>Consent to ABL Amendment</w:t>
      </w:r>
      <w:r>
        <w:rPr>
          <w:rFonts w:ascii="Times New Roman" w:cs="Times New Roman" w:eastAsia="Times New Roman" w:hAnsi="Times New Roman"/>
          <w:sz w:val="20"/>
          <w:szCs w:val="20"/>
          <w:color w:val="000000"/>
        </w:rPr>
        <w:t>. Notwithstanding anything in the Amended Credit Agreement or the ABL Intercreditor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Agreement to the contrary, the Administrative Agent hereby consents to the amendment, supplementation, and modification of the ABL Credit Agreement pursuant to the ABL Amendment.</w:t>
      </w:r>
    </w:p>
    <w:p>
      <w:pPr>
        <w:spacing w:after="0" w:line="16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Effects on Loan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84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Amendment No. 4 Effective Date, each reference in the Amended Credit Agreement to “this Agreement,” “hereunder,” “hereof” or words of like import shall, unless expressly provided otherwise, mean and be a reference to the Amended Credit Agreement and each reference in each other Loan Document to the Credit Agreement (including by means of words like “thereunder,” “thereof” and words of like import) shall, unless expressly provided otherwise, mean and be a reference to the Amended Credit Agreement.</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each and every term, condition, obligation, covenant and agreement contained in the Credit Agreement or any other provision of either such agreement or any other Loan Document is hereby ratified and re-affirmed in all respects and shall continue in full force and effect and each Loan Party reaffirms its obligations under each of the Loan Documents to which it is party (including, for the avoidance of doubt, the Guaranty Agreement), and confirms that all obligations of such Loan Party under the Loan Documents to which such Loan Party is a party shall continue to apply to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7" w:name="page8"/>
    <w:bookmarkEnd w:id="7"/>
    <w:p>
      <w:pPr>
        <w:ind w:firstLine="1304"/>
        <w:spacing w:after="0" w:line="283" w:lineRule="auto"/>
        <w:tabs>
          <w:tab w:leader="none" w:pos="172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hereby, all Loan Documents shall continue to be in full force and effect and are hereby in all respects ratified and confirmed.</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any Lender, the Administrative Agent or any other Secured Party under any of the Loan Documents, nor constitute a waiver of any provision of the Loan Documents or in any way limit, impair or otherwise affect the rights and remedies of the Administrative Agent, the Lenders or any of the other Secured Parties under the Loan Documents.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74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parties hereto hereby acknowledge and agree that, from and after the Amendment No. 4 Effective Date, this Amendment shall constitute a Loan Document for all purposes of the Amended Credit Agreement.</w:t>
      </w:r>
    </w:p>
    <w:p>
      <w:pPr>
        <w:spacing w:after="0" w:line="17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820" w:hanging="516"/>
        <w:spacing w:after="0"/>
        <w:tabs>
          <w:tab w:leader="none" w:pos="1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binding and enforceable as of the date hereof against each party hereto and its successors and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assigns.</w:t>
      </w:r>
    </w:p>
    <w:p>
      <w:pPr>
        <w:spacing w:after="0" w:line="213"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6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one or more counterparts, each of which shall be deemed an original, but all of which together shall constitute one and the same instrument. Delivery of an executed signature page of this Amendment by facsimile or other electronic mail transmission shall be effective as delivery of a manually executed counterpart hereof. A set of the copies of this Amendment signed by all the parties shall be lodged with the Administrative Agent. Each party hereto agrees that the words “execution,” “signed,” “signature,” “delivery,” and words of like import in or relating to this Amendment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5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Amendment is held to be illegal, invalid or unenforceable, (x) the legality, validity and enforceability of the remaining provisions of this Amendment shall not be affected or impaired thereby and (y)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1" w:lineRule="exact"/>
        <w:rPr>
          <w:rFonts w:ascii="Times New Roman" w:cs="Times New Roman" w:eastAsia="Times New Roman" w:hAnsi="Times New Roman"/>
          <w:sz w:val="20"/>
          <w:szCs w:val="20"/>
          <w:color w:val="auto"/>
        </w:rPr>
      </w:pPr>
    </w:p>
    <w:p>
      <w:pPr>
        <w:ind w:firstLine="1304"/>
        <w:spacing w:after="0" w:line="269" w:lineRule="auto"/>
        <w:tabs>
          <w:tab w:leader="none" w:pos="179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hereby agrees that Sections 10.14 and 10.15 of the Credit Agreement are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shall have the same force and effect with respect to this Amendment as if originally set forth herein.</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73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are included herein for convenience of reference only and shall not constitute a part hereof for any other purpose or be given any substantive effect.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8" w:name="page9"/>
    <w:bookmarkEnd w:id="8"/>
    <w:p>
      <w:pPr>
        <w:ind w:firstLine="1296"/>
        <w:spacing w:after="0" w:line="297"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proper and duly authorized officers as of the day and year first above written.</w:t>
      </w: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NN, INC.</w:t>
      </w:r>
      <w:r>
        <w:rPr>
          <w:rFonts w:ascii="Times New Roman" w:cs="Times New Roman" w:eastAsia="Times New Roman" w:hAnsi="Times New Roman"/>
          <w:sz w:val="20"/>
          <w:szCs w:val="20"/>
          <w:color w:val="auto"/>
        </w:rPr>
        <w:t>, as the Borrower</w:t>
      </w:r>
    </w:p>
    <w:p>
      <w:pPr>
        <w:spacing w:after="0" w:line="287" w:lineRule="exact"/>
        <w:rPr>
          <w:sz w:val="20"/>
          <w:szCs w:val="20"/>
          <w:color w:val="auto"/>
        </w:rPr>
      </w:pPr>
    </w:p>
    <w:tbl>
      <w:tblPr>
        <w:tblLayout w:type="fixed"/>
        <w:tblInd w:w="392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 Cheif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No. 4 to Term Loan Credit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26" w:right="339" w:bottom="1440" w:gutter="0" w:footer="0" w:header="0"/>
        </w:sectPr>
      </w:pPr>
    </w:p>
    <w:bookmarkStart w:id="9" w:name="page10"/>
    <w:bookmarkEnd w:id="9"/>
    <w:p>
      <w:pPr>
        <w:ind w:left="2780"/>
        <w:spacing w:after="0"/>
        <w:rPr>
          <w:sz w:val="20"/>
          <w:szCs w:val="20"/>
          <w:color w:val="auto"/>
        </w:rPr>
      </w:pPr>
      <w:r>
        <w:rPr>
          <w:rFonts w:ascii="Times New Roman" w:cs="Times New Roman" w:eastAsia="Times New Roman" w:hAnsi="Times New Roman"/>
          <w:sz w:val="20"/>
          <w:szCs w:val="20"/>
          <w:color w:val="auto"/>
        </w:rPr>
        <w:t>The following other Loan Parties:</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Whirlaway Corporation</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PNC Acquisition Company,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PMC USA Acquisition Company,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PMC Acquisition Company, Inc.</w:t>
      </w:r>
    </w:p>
    <w:p>
      <w:pPr>
        <w:spacing w:after="0" w:line="6" w:lineRule="exact"/>
        <w:rPr>
          <w:sz w:val="20"/>
          <w:szCs w:val="20"/>
          <w:color w:val="auto"/>
        </w:rPr>
      </w:pPr>
    </w:p>
    <w:p>
      <w:pPr>
        <w:ind w:left="2780" w:right="3179" w:hanging="4"/>
        <w:spacing w:after="0" w:line="249" w:lineRule="auto"/>
        <w:tabs>
          <w:tab w:leader="none" w:pos="3115"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Precision Plastics, Inc. Caprock Manufacturing, Inc. Caprock Enclosures, LLC Brainin-Advance Industries LLC Wauconda Tool &amp; Engineering LLC General Metal Finishing LLC Advanced Precision Products, Inc. HowesTemco, LLC</w:t>
      </w:r>
    </w:p>
    <w:p>
      <w:pPr>
        <w:spacing w:after="0" w:line="233" w:lineRule="exact"/>
        <w:rPr>
          <w:rFonts w:ascii="Times New Roman" w:cs="Times New Roman" w:eastAsia="Times New Roman" w:hAnsi="Times New Roman"/>
          <w:sz w:val="20"/>
          <w:szCs w:val="20"/>
          <w:b w:val="1"/>
          <w:bCs w:val="1"/>
          <w:color w:val="auto"/>
        </w:rPr>
      </w:pPr>
    </w:p>
    <w:p>
      <w:pPr>
        <w:ind w:left="2780" w:right="4379"/>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Premco, Inc. Profiles, Incorporated Holmed, LLC</w:t>
      </w:r>
    </w:p>
    <w:p>
      <w:pPr>
        <w:spacing w:after="0" w:line="2" w:lineRule="exact"/>
        <w:rPr>
          <w:rFonts w:ascii="Times New Roman" w:cs="Times New Roman" w:eastAsia="Times New Roman" w:hAnsi="Times New Roman"/>
          <w:sz w:val="20"/>
          <w:szCs w:val="20"/>
          <w:b w:val="1"/>
          <w:bCs w:val="1"/>
          <w:color w:val="auto"/>
        </w:rPr>
      </w:pPr>
    </w:p>
    <w:p>
      <w:pPr>
        <w:ind w:left="2780" w:right="2839"/>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Southern California Technical Arts, Inc. Autocam Corporation Autocam-Pax, Inc.</w:t>
      </w:r>
    </w:p>
    <w:p>
      <w:pPr>
        <w:spacing w:after="0" w:line="1" w:lineRule="exact"/>
        <w:rPr>
          <w:rFonts w:ascii="Times New Roman" w:cs="Times New Roman" w:eastAsia="Times New Roman" w:hAnsi="Times New Roman"/>
          <w:sz w:val="20"/>
          <w:szCs w:val="20"/>
          <w:b w:val="1"/>
          <w:bCs w:val="1"/>
          <w:color w:val="auto"/>
        </w:rPr>
      </w:pPr>
    </w:p>
    <w:p>
      <w:pPr>
        <w:ind w:left="2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Polymetallurgical LLC</w:t>
      </w:r>
    </w:p>
    <w:p>
      <w:pPr>
        <w:spacing w:after="0" w:line="6" w:lineRule="exact"/>
        <w:rPr>
          <w:rFonts w:ascii="Times New Roman" w:cs="Times New Roman" w:eastAsia="Times New Roman" w:hAnsi="Times New Roman"/>
          <w:sz w:val="20"/>
          <w:szCs w:val="20"/>
          <w:b w:val="1"/>
          <w:bCs w:val="1"/>
          <w:color w:val="auto"/>
        </w:rPr>
      </w:pPr>
    </w:p>
    <w:p>
      <w:pPr>
        <w:ind w:left="2780" w:right="3219"/>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NN Power Solutions Holdings, LLC NN Power Solutions,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80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0" w:name="page11"/>
    <w:bookmarkEnd w:id="10"/>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 FUND ADMINISTRATION, LLC,</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0" w:lineRule="exact"/>
        <w:rPr>
          <w:sz w:val="20"/>
          <w:szCs w:val="20"/>
          <w:color w:val="auto"/>
        </w:rPr>
      </w:pPr>
    </w:p>
    <w:p>
      <w:pPr>
        <w:spacing w:after="0" w:line="365"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1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4"/>
        </w:trPr>
        <w:tc>
          <w:tcPr>
            <w:tcW w:w="6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Name: Mary Gallegly</w:t>
            </w:r>
          </w:p>
        </w:tc>
      </w:tr>
      <w:tr>
        <w:trPr>
          <w:trHeight w:val="258"/>
        </w:trPr>
        <w:tc>
          <w:tcPr>
            <w:tcW w:w="6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5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4"/>
        </w:trPr>
        <w:tc>
          <w:tcPr>
            <w:tcW w:w="6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Name: Jessica Dombroff</w:t>
            </w:r>
          </w:p>
        </w:tc>
      </w:tr>
      <w:tr>
        <w:trPr>
          <w:trHeight w:val="258"/>
        </w:trPr>
        <w:tc>
          <w:tcPr>
            <w:tcW w:w="6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1" w:name="page12"/>
    <w:bookmarkEnd w:id="11"/>
    <w:p>
      <w:pPr>
        <w:ind w:left="2780"/>
        <w:spacing w:after="0"/>
        <w:rPr>
          <w:sz w:val="20"/>
          <w:szCs w:val="20"/>
          <w:color w:val="auto"/>
        </w:rPr>
      </w:pPr>
      <w:r>
        <w:rPr>
          <w:rFonts w:ascii="Times New Roman" w:cs="Times New Roman" w:eastAsia="Times New Roman" w:hAnsi="Times New Roman"/>
          <w:sz w:val="19"/>
          <w:szCs w:val="19"/>
          <w:b w:val="1"/>
          <w:bCs w:val="1"/>
          <w:color w:val="auto"/>
        </w:rPr>
        <w:t>OAKTREE GILEAD INVESTMENT FUND AIF (DELAWARE), L.P.</w:t>
      </w:r>
    </w:p>
    <w:p>
      <w:pPr>
        <w:spacing w:after="0" w:line="200" w:lineRule="exact"/>
        <w:rPr>
          <w:sz w:val="20"/>
          <w:szCs w:val="20"/>
          <w:color w:val="auto"/>
        </w:rPr>
      </w:pPr>
    </w:p>
    <w:p>
      <w:pPr>
        <w:spacing w:after="0" w:line="355"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AIF Series, L.P. – Series 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AIF,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III,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77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12" w:name="page13"/>
    <w:bookmarkEnd w:id="12"/>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OAKTREE GCP FUND DELAWARE HOLDINGS, L.P.</w:t>
      </w:r>
    </w:p>
    <w:p>
      <w:pPr>
        <w:spacing w:after="0" w:line="200" w:lineRule="exact"/>
        <w:rPr>
          <w:sz w:val="20"/>
          <w:szCs w:val="20"/>
          <w:color w:val="auto"/>
        </w:rPr>
      </w:pPr>
    </w:p>
    <w:p>
      <w:pPr>
        <w:spacing w:after="0" w:line="337"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Global Credit Plus Fund GP,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Global Credit Plus Fund GP Ltd.</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77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3" w:name="page14"/>
    <w:bookmarkEnd w:id="13"/>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OAKTREE HUNTINGTON-GCF INVESTMENT FUND (DIRECT LENDING AIF), L.P.</w:t>
      </w:r>
    </w:p>
    <w:p>
      <w:pPr>
        <w:spacing w:after="0" w:line="200" w:lineRule="exact"/>
        <w:rPr>
          <w:sz w:val="20"/>
          <w:szCs w:val="20"/>
          <w:color w:val="auto"/>
        </w:rPr>
      </w:pPr>
    </w:p>
    <w:p>
      <w:pPr>
        <w:spacing w:after="0" w:line="253"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Huntington-GCF Investment Fund</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Lending AIF) GP,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Huntington-GCF Investment Fund</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Lending AIF) GP,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III,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77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No. 4 to Term Loan Credit Agreement</w:t>
      </w:r>
      <w:r>
        <w:rPr>
          <w:rFonts w:ascii="Times New Roman" w:cs="Times New Roman" w:eastAsia="Times New Roman" w:hAnsi="Times New Roman"/>
          <w:sz w:val="20"/>
          <w:szCs w:val="20"/>
          <w:color w:val="auto"/>
        </w:rPr>
        <w:t>]</w:t>
      </w:r>
    </w:p>
    <w:p>
      <w:pPr>
        <w:sectPr>
          <w:pgSz w:w="11900" w:h="16838" w:orient="portrait"/>
          <w:cols w:equalWidth="0" w:num="1">
            <w:col w:w="10020"/>
          </w:cols>
          <w:pgMar w:left="1440" w:top="1409" w:right="439" w:bottom="1440" w:gutter="0" w:footer="0" w:header="0"/>
        </w:sectPr>
      </w:pPr>
    </w:p>
    <w:bookmarkStart w:id="14" w:name="page15"/>
    <w:bookmarkEnd w:id="14"/>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OSI 2 SENIOR LENDING SPV, LLC</w:t>
      </w:r>
    </w:p>
    <w:p>
      <w:pPr>
        <w:spacing w:after="0" w:line="200" w:lineRule="exact"/>
        <w:rPr>
          <w:sz w:val="20"/>
          <w:szCs w:val="20"/>
          <w:color w:val="auto"/>
        </w:rPr>
      </w:pPr>
    </w:p>
    <w:p>
      <w:pPr>
        <w:spacing w:after="0" w:line="344"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Specialty Lending Corporation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Advisors,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5" w:name="page16"/>
    <w:bookmarkEnd w:id="15"/>
    <w:p>
      <w:pPr>
        <w:ind w:left="2780"/>
        <w:spacing w:after="0"/>
        <w:rPr>
          <w:sz w:val="20"/>
          <w:szCs w:val="20"/>
          <w:color w:val="auto"/>
        </w:rPr>
      </w:pPr>
      <w:r>
        <w:rPr>
          <w:rFonts w:ascii="Times New Roman" w:cs="Times New Roman" w:eastAsia="Times New Roman" w:hAnsi="Times New Roman"/>
          <w:sz w:val="19"/>
          <w:szCs w:val="19"/>
          <w:b w:val="1"/>
          <w:bCs w:val="1"/>
          <w:color w:val="auto"/>
        </w:rPr>
        <w:t>EXELON STRATEGIC CREDIT HOLDINGS,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51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 r</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OAKTREE-NGP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OAKTREE-FORREST MULTI-STRATEGY, LLC</w:t>
      </w:r>
    </w:p>
    <w:p>
      <w:pPr>
        <w:spacing w:after="0" w:line="287" w:lineRule="exact"/>
        <w:rPr>
          <w:sz w:val="20"/>
          <w:szCs w:val="20"/>
          <w:color w:val="auto"/>
        </w:rPr>
      </w:pPr>
    </w:p>
    <w:tbl>
      <w:tblPr>
        <w:tblLayout w:type="fixed"/>
        <w:tblInd w:w="2800" w:type="dxa"/>
        <w:tblCellMar>
          <w:top w:w="0" w:type="dxa"/>
          <w:left w:w="0" w:type="dxa"/>
          <w:bottom w:w="0" w:type="dxa"/>
          <w:right w:w="0" w:type="dxa"/>
        </w:tblCellMar>
      </w:tblP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16" w:name="page17"/>
    <w:bookmarkEnd w:id="16"/>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C,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F,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G, LLC</w:t>
      </w:r>
    </w:p>
    <w:p>
      <w:pPr>
        <w:spacing w:after="0" w:line="299"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17" w:name="page18"/>
    <w:bookmarkEnd w:id="17"/>
    <w:p>
      <w:pPr>
        <w:ind w:left="2780"/>
        <w:spacing w:after="0"/>
        <w:rPr>
          <w:sz w:val="20"/>
          <w:szCs w:val="20"/>
          <w:color w:val="auto"/>
        </w:rPr>
      </w:pPr>
      <w:r>
        <w:rPr>
          <w:rFonts w:ascii="Times New Roman" w:cs="Times New Roman" w:eastAsia="Times New Roman" w:hAnsi="Times New Roman"/>
          <w:sz w:val="20"/>
          <w:szCs w:val="20"/>
          <w:b w:val="1"/>
          <w:bCs w:val="1"/>
          <w:color w:val="auto"/>
        </w:rPr>
        <w:t>OAKTREE-MINN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INPRS STRATEGIC CREDIT HOLDINGS,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OAKTREE-TCDRS STRATEGIC CREDIT, LLC</w:t>
      </w:r>
    </w:p>
    <w:p>
      <w:pPr>
        <w:spacing w:after="0" w:line="299"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18" w:name="page19"/>
    <w:bookmarkEnd w:id="18"/>
    <w:p>
      <w:pPr>
        <w:ind w:left="2780"/>
        <w:spacing w:after="0"/>
        <w:rPr>
          <w:sz w:val="20"/>
          <w:szCs w:val="20"/>
          <w:color w:val="auto"/>
        </w:rPr>
      </w:pPr>
      <w:r>
        <w:rPr>
          <w:rFonts w:ascii="Times New Roman" w:cs="Times New Roman" w:eastAsia="Times New Roman" w:hAnsi="Times New Roman"/>
          <w:sz w:val="20"/>
          <w:szCs w:val="20"/>
          <w:b w:val="1"/>
          <w:bCs w:val="1"/>
          <w:color w:val="auto"/>
        </w:rPr>
        <w:t>OAKTREE-TSE 16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19" w:name="page20"/>
    <w:bookmarkEnd w:id="19"/>
    <w:p>
      <w:pPr>
        <w:ind w:left="2780"/>
        <w:spacing w:after="0"/>
        <w:rPr>
          <w:sz w:val="20"/>
          <w:szCs w:val="20"/>
          <w:color w:val="auto"/>
        </w:rPr>
      </w:pPr>
      <w:r>
        <w:rPr>
          <w:rFonts w:ascii="Times New Roman" w:cs="Times New Roman" w:eastAsia="Times New Roman" w:hAnsi="Times New Roman"/>
          <w:sz w:val="19"/>
          <w:szCs w:val="19"/>
          <w:b w:val="1"/>
          <w:bCs w:val="1"/>
          <w:color w:val="auto"/>
        </w:rPr>
        <w:t>OAKTREE SPECIALTY LENDING CORPORATION</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Advisors,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Advisor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4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3 TO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August 29, 2024</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THIS AMENDMENT NO. 3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August 29, 2024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and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Credit Agreement, dated as of March 22, 2021, by and among the Borrower, the subsidiaries of the Borrower from time to time party thereto as Loan Parties, the Lenders party thereto and the Administrative Agent (as amended by that certain Amendment No. 1 to Credit Agreement, dated as of March 3, 2023, by that certain Amendment No. 2 to Credit Agreement, dated as of March 15, 2024, and as further amended,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Amended Credit Agreement.</w:t>
      </w:r>
    </w:p>
    <w:p>
      <w:pPr>
        <w:spacing w:after="0" w:line="19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WHEREAS, the Borrower, the Lenders party hereto and the Administrative Agent have agreed to make certain modifications to the Existing Credit Agreement on the terms and conditions set forth herein.</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181" w:lineRule="exact"/>
        <w:rPr>
          <w:sz w:val="20"/>
          <w:szCs w:val="20"/>
          <w:color w:val="auto"/>
        </w:rPr>
      </w:pPr>
    </w:p>
    <w:p>
      <w:pPr>
        <w:ind w:firstLine="656"/>
        <w:spacing w:after="0" w:line="283" w:lineRule="auto"/>
        <w:tabs>
          <w:tab w:leader="none" w:pos="106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Existing Credit Agreement</w:t>
      </w:r>
      <w:r>
        <w:rPr>
          <w:rFonts w:ascii="Times New Roman" w:cs="Times New Roman" w:eastAsia="Times New Roman" w:hAnsi="Times New Roman"/>
          <w:sz w:val="20"/>
          <w:szCs w:val="20"/>
          <w:color w:val="auto"/>
        </w:rPr>
        <w:t>. Effective as of the Amendment No. 3 Effective Date (as defined below), the parties hereto agree that the Existing Credit Agreement is hereby amended as follows: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8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Existing Credit Agreement is hereby amended by adding the following new defined terms in the appropriate alphabetical order:</w:t>
      </w:r>
    </w:p>
    <w:p>
      <w:pPr>
        <w:spacing w:after="0" w:line="146" w:lineRule="exact"/>
        <w:rPr>
          <w:sz w:val="20"/>
          <w:szCs w:val="20"/>
          <w:color w:val="auto"/>
        </w:rPr>
      </w:pPr>
    </w:p>
    <w:p>
      <w:pPr>
        <w:ind w:left="1300" w:right="64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 No. 3</w:t>
      </w:r>
      <w:r>
        <w:rPr>
          <w:rFonts w:ascii="Times New Roman" w:cs="Times New Roman" w:eastAsia="Times New Roman" w:hAnsi="Times New Roman"/>
          <w:sz w:val="19"/>
          <w:szCs w:val="19"/>
          <w:color w:val="auto"/>
        </w:rPr>
        <w:t>” means that certain Amendment No. 3 to Credit Agreement, dated as of the Amendment No. 3 Effective Date, by and between the Borrower, the Administrative Agent, and the Lenders party thereto.</w:t>
      </w:r>
    </w:p>
    <w:p>
      <w:pPr>
        <w:spacing w:after="0" w:line="1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3 Effective Date</w:t>
      </w:r>
      <w:r>
        <w:rPr>
          <w:rFonts w:ascii="Times New Roman" w:cs="Times New Roman" w:eastAsia="Times New Roman" w:hAnsi="Times New Roman"/>
          <w:sz w:val="20"/>
          <w:szCs w:val="20"/>
          <w:color w:val="auto"/>
        </w:rPr>
        <w:t>” means August 29, 2024.</w:t>
      </w:r>
    </w:p>
    <w:p>
      <w:pPr>
        <w:spacing w:after="0" w:line="229" w:lineRule="exact"/>
        <w:rPr>
          <w:sz w:val="20"/>
          <w:szCs w:val="20"/>
          <w:color w:val="auto"/>
        </w:rPr>
      </w:pPr>
    </w:p>
    <w:p>
      <w:pPr>
        <w:ind w:left="1740" w:hanging="436"/>
        <w:spacing w:after="0"/>
        <w:tabs>
          <w:tab w:leader="none" w:pos="1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1.01 of the Existing Credit Agreement is hereby amended by deleting the term “Junior Capital Condition” in its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entirety.</w:t>
      </w:r>
    </w:p>
    <w:p>
      <w:pPr>
        <w:spacing w:after="0" w:line="200" w:lineRule="exact"/>
        <w:rPr>
          <w:sz w:val="20"/>
          <w:szCs w:val="20"/>
          <w:color w:val="auto"/>
        </w:rPr>
      </w:pPr>
    </w:p>
    <w:p>
      <w:pPr>
        <w:ind w:left="660" w:firstLine="644"/>
        <w:spacing w:after="0" w:line="283" w:lineRule="auto"/>
        <w:tabs>
          <w:tab w:leader="none" w:pos="17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“Net Proceeds” set forth in Section 1.01 of the Existing Credit Agreement is hereby amended and restated in its entirety with the following:</w:t>
      </w:r>
    </w:p>
    <w:p>
      <w:pPr>
        <w:spacing w:after="0" w:line="146" w:lineRule="exact"/>
        <w:rPr>
          <w:sz w:val="20"/>
          <w:szCs w:val="20"/>
          <w:color w:val="auto"/>
        </w:rPr>
      </w:pPr>
    </w:p>
    <w:p>
      <w:pPr>
        <w:jc w:val="both"/>
        <w:ind w:left="1300" w:right="66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486" w:right="339" w:bottom="1440" w:gutter="0" w:footer="0" w:header="0"/>
        </w:sectPr>
      </w:pPr>
    </w:p>
    <w:bookmarkStart w:id="21" w:name="page22"/>
    <w:bookmarkEnd w:id="21"/>
    <w:p>
      <w:pPr>
        <w:spacing w:after="0" w:line="81" w:lineRule="exact"/>
        <w:rPr>
          <w:sz w:val="20"/>
          <w:szCs w:val="20"/>
          <w:color w:val="auto"/>
        </w:rPr>
      </w:pPr>
    </w:p>
    <w:p>
      <w:pPr>
        <w:jc w:val="both"/>
        <w:ind w:left="180" w:right="620"/>
        <w:spacing w:after="0" w:line="249" w:lineRule="auto"/>
        <w:rPr>
          <w:sz w:val="20"/>
          <w:szCs w:val="20"/>
          <w:color w:val="auto"/>
        </w:rPr>
      </w:pPr>
      <w:r>
        <w:rPr>
          <w:rFonts w:ascii="Times New Roman" w:cs="Times New Roman" w:eastAsia="Times New Roman" w:hAnsi="Times New Roman"/>
          <w:sz w:val="20"/>
          <w:szCs w:val="20"/>
          <w:color w:val="auto"/>
        </w:rPr>
        <w:t>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(provided that (1) such amounts held in such reserves shall not exceed 10% of the gross cash proceeds received with respect to a Disposition or other event and (2) such amounts held in such reserves shall constitute Net Proceeds upon release to, or receipt by, the Borrower or any of its Subsidiaries), in each case during the year that such event occurred or the next succeeding year and that are directly attributable to such event (as determined reasonably and in good faith by a Financial Officer of the Borrower); provided, that the cash proceeds received in connection with any Disposition (other than (x) the 2024 Sale and Leaseback Transaction, (y) any other Disposition of assets solely constituting Term Loan Priority Collateral in the form of a sale and leaseback transaction of assets owned by the Loan Parties or any of their respective Subsidiaries prior to the date such transaction is consummated and not acquired in contemplation thereof (and not, for the avoidance of doubt, in connection with any purchase money financing in connection with the acquisition of any assets) and (z) any other Disposition of assets solely constituting Term Loan Priority Collateral consummated after the Amendment No. 2 Effective Date and before June 30, 2024, the proceeds of which are greater than $5,000,000) or Extraordinary Receipt shall only constitute Net Proceeds under this definition in any fiscal year to the extent that the aggregate amount of such cash proceeds received in such fiscal year exceeds $5,000,000.</w:t>
      </w:r>
    </w:p>
    <w:p>
      <w:pPr>
        <w:spacing w:after="0" w:line="187" w:lineRule="exact"/>
        <w:rPr>
          <w:sz w:val="20"/>
          <w:szCs w:val="20"/>
          <w:color w:val="auto"/>
        </w:rPr>
      </w:pPr>
    </w:p>
    <w:p>
      <w:pPr>
        <w:ind w:left="-460" w:firstLine="644"/>
        <w:spacing w:after="0" w:line="283" w:lineRule="auto"/>
        <w:tabs>
          <w:tab w:leader="none" w:pos="62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(a) of the definition of “Prepayment Event” set forth in Section 1.01 of the Existing Credit Agreement is hereby amended and restated in its entirety with the following:</w:t>
      </w:r>
    </w:p>
    <w:p>
      <w:pPr>
        <w:spacing w:after="0" w:line="160" w:lineRule="exact"/>
        <w:rPr>
          <w:sz w:val="20"/>
          <w:szCs w:val="20"/>
          <w:color w:val="auto"/>
        </w:rPr>
      </w:pPr>
    </w:p>
    <w:p>
      <w:pPr>
        <w:jc w:val="both"/>
        <w:ind w:left="180" w:right="620" w:firstLine="652"/>
        <w:spacing w:after="0" w:line="250" w:lineRule="auto"/>
        <w:tabs>
          <w:tab w:leader="none" w:pos="1257"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(including pursuant to a sale and leaseback transaction but excluding for the avoidance of doubt, (x) the 2024 Sale and Leaseback Transaction, (y) any other Disposition of assets solely constituting Term Loan Priority Collateral in the form of a sale and leaseback transaction of assets owned by the Loan Parties or any of their respective Subsidiaries prior to the date such transaction is consummated and not acquired in contemplation thereof (and not, for the avoidance of doubt, in connection with any purchase money financing in connection with the acquisition of any assets) and (z) any other Disposition of assets solely constituting Term Loan Priority Collateral consummated after the Amendment No. 2 Effective Date and before June 30, 2024, the proceeds of which are greater than $5,000,000) of any property or asset of any Loan Party or any Subsidiary that is made pursuant to Section 6.05(g); or</w:t>
      </w:r>
    </w:p>
    <w:p>
      <w:pPr>
        <w:spacing w:after="0" w:line="192" w:lineRule="exact"/>
        <w:rPr>
          <w:rFonts w:ascii="Times New Roman" w:cs="Times New Roman" w:eastAsia="Times New Roman" w:hAnsi="Times New Roman"/>
          <w:sz w:val="20"/>
          <w:szCs w:val="20"/>
          <w:color w:val="auto"/>
        </w:rPr>
      </w:pPr>
    </w:p>
    <w:p>
      <w:pPr>
        <w:ind w:left="600" w:hanging="416"/>
        <w:spacing w:after="0"/>
        <w:tabs>
          <w:tab w:leader="none" w:pos="6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6.01(e) of the Existing Credit Agreement is hereby amended and restated in its entirety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00"/>
          </w:cols>
          <w:pgMar w:left="1440" w:top="1440" w:right="359" w:bottom="1440" w:gutter="0" w:footer="0" w:header="0"/>
        </w:sectPr>
      </w:pPr>
    </w:p>
    <w:bookmarkStart w:id="22" w:name="page23"/>
    <w:bookmarkEnd w:id="22"/>
    <w:p>
      <w:pPr>
        <w:spacing w:after="0" w:line="81" w:lineRule="exact"/>
        <w:rPr>
          <w:sz w:val="20"/>
          <w:szCs w:val="20"/>
          <w:color w:val="auto"/>
        </w:rPr>
      </w:pPr>
    </w:p>
    <w:p>
      <w:pPr>
        <w:jc w:val="both"/>
        <w:ind w:left="1300" w:right="640" w:firstLine="652"/>
        <w:spacing w:after="0" w:line="250" w:lineRule="auto"/>
        <w:tabs>
          <w:tab w:leader="none" w:pos="2509"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incurred to finance the acquisition, construction or improvement of any fixed or capital assets (whether or not constituting purchase money Indebtedness), including Financing Lease Obligations and any Indebtedness assumed in connection with the acquisition of any such assets or secured by a Lien on any such assets prior to the acquisition thereof, and extensions, renewals and replacements of any such Indebtedness in accordance with clause (f) below; provided that (i) such Indebtedness is incurred prior to or within 90 days after such acquisition or the completion of such construction or improvement and (ii) the aggregate principal amount of Indebtedness permitted by this clause (e) (other than with respect to the 2024 Sale and Leaseback Transaction) together with any Refinance Indebtedness in respect thereof permitted by clause (f) below, shall not exceed $40,000,000 at any time outstanding, of which no more than $26,950,000 shall be used with respect to any sale and leaseback transaction of assets not owned by the Loan Parties or any of their respective Subsidiaries prior to the date such transaction is consummated;</w:t>
      </w:r>
    </w:p>
    <w:p>
      <w:pPr>
        <w:spacing w:after="0" w:line="199" w:lineRule="exact"/>
        <w:rPr>
          <w:rFonts w:ascii="Times New Roman" w:cs="Times New Roman" w:eastAsia="Times New Roman" w:hAnsi="Times New Roman"/>
          <w:sz w:val="20"/>
          <w:szCs w:val="20"/>
          <w:color w:val="auto"/>
        </w:rPr>
      </w:pPr>
    </w:p>
    <w:p>
      <w:pPr>
        <w:ind w:left="1380" w:hanging="400"/>
        <w:spacing w:after="0"/>
        <w:tabs>
          <w:tab w:leader="none" w:pos="13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6.13(b) of the Existing Credit Agreement is hereby amended and restated in its entirety with the following:</w:t>
      </w:r>
    </w:p>
    <w:p>
      <w:pPr>
        <w:spacing w:after="0" w:line="229" w:lineRule="exact"/>
        <w:rPr>
          <w:rFonts w:ascii="Times New Roman" w:cs="Times New Roman" w:eastAsia="Times New Roman" w:hAnsi="Times New Roman"/>
          <w:sz w:val="20"/>
          <w:szCs w:val="20"/>
          <w:color w:val="auto"/>
        </w:rPr>
      </w:pPr>
    </w:p>
    <w:p>
      <w:pPr>
        <w:jc w:val="both"/>
        <w:ind w:left="980" w:firstLine="324"/>
        <w:spacing w:after="0" w:line="279" w:lineRule="auto"/>
        <w:tabs>
          <w:tab w:leader="none" w:pos="1732"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(i) The Borrower will not permit Domestic Liquidity as of the last day of any fiscal quarter to be less than (x) from the Amendment No. 3 Effective Date through and including the date that is ninety (90) days after the Amendment No. 3 Effective Date, $10,000,000, and (y) thereafter, $20,000,000 and (ii) within five (5) 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w:t>
      </w:r>
    </w:p>
    <w:p>
      <w:pPr>
        <w:spacing w:after="0" w:line="72" w:lineRule="exact"/>
        <w:rPr>
          <w:rFonts w:ascii="Times New Roman" w:cs="Times New Roman" w:eastAsia="Times New Roman" w:hAnsi="Times New Roman"/>
          <w:sz w:val="20"/>
          <w:szCs w:val="20"/>
          <w:color w:val="auto"/>
        </w:rPr>
      </w:pPr>
    </w:p>
    <w:p>
      <w:pPr>
        <w:ind w:firstLine="656"/>
        <w:spacing w:after="0" w:line="269" w:lineRule="auto"/>
        <w:tabs>
          <w:tab w:leader="none" w:pos="106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Effectiveness</w:t>
      </w:r>
      <w:r>
        <w:rPr>
          <w:rFonts w:ascii="Times New Roman" w:cs="Times New Roman" w:eastAsia="Times New Roman" w:hAnsi="Times New Roman"/>
          <w:sz w:val="20"/>
          <w:szCs w:val="20"/>
          <w:color w:val="auto"/>
        </w:rPr>
        <w:t>. The effectiveness of this Amendment (the “</w:t>
      </w:r>
      <w:r>
        <w:rPr>
          <w:rFonts w:ascii="Times New Roman" w:cs="Times New Roman" w:eastAsia="Times New Roman" w:hAnsi="Times New Roman"/>
          <w:sz w:val="20"/>
          <w:szCs w:val="20"/>
          <w:u w:val="single" w:color="auto"/>
          <w:color w:val="auto"/>
        </w:rPr>
        <w:t>Amendment No. 3 Effective Date</w:t>
      </w:r>
      <w:r>
        <w:rPr>
          <w:rFonts w:ascii="Times New Roman" w:cs="Times New Roman" w:eastAsia="Times New Roman" w:hAnsi="Times New Roman"/>
          <w:sz w:val="20"/>
          <w:szCs w:val="20"/>
          <w:color w:val="auto"/>
        </w:rPr>
        <w:t>”) is subject to the satisfaction (or effective waiver) of the following conditions precedent: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9"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counterparts of this Amendment duly executed by the Borrower, the Lenders and the Administrative Agent (or photocopies thereof sent by fax, pdf or other electronic means, each of which shall be enforceable with the same effect as a signed original).</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59"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payment of the Administrative Agent’s and its affiliates’ reasonable and documented out-of-pocket expenses (including reasonable and documented out-of-pocket fees and expenses of counsel for the Administrative Agent) in connection with this Amendment.</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29"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a duly executed copy of that certain Amendment No. 4 to Term Loan Credit Agreement, dated as of the date hereof (the “</w:t>
      </w:r>
      <w:r>
        <w:rPr>
          <w:rFonts w:ascii="Times New Roman" w:cs="Times New Roman" w:eastAsia="Times New Roman" w:hAnsi="Times New Roman"/>
          <w:sz w:val="20"/>
          <w:szCs w:val="20"/>
          <w:u w:val="single" w:color="auto"/>
          <w:color w:val="auto"/>
        </w:rPr>
        <w:t>Term Loan Amendment</w:t>
      </w:r>
      <w:r>
        <w:rPr>
          <w:rFonts w:ascii="Times New Roman" w:cs="Times New Roman" w:eastAsia="Times New Roman" w:hAnsi="Times New Roman"/>
          <w:sz w:val="20"/>
          <w:szCs w:val="20"/>
          <w:color w:val="auto"/>
        </w:rPr>
        <w:t>”), duly executed by the Borrower, each other loan party thereto, and the Term Loan Agent, which such amendment shall be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81" w:lineRule="exact"/>
        <w:rPr>
          <w:sz w:val="20"/>
          <w:szCs w:val="20"/>
          <w:color w:val="auto"/>
        </w:rPr>
      </w:pPr>
    </w:p>
    <w:p>
      <w:pPr>
        <w:jc w:val="both"/>
        <w:ind w:firstLine="656"/>
        <w:spacing w:after="0" w:line="261" w:lineRule="auto"/>
        <w:tabs>
          <w:tab w:leader="none" w:pos="99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Term Loan Amendment</w:t>
      </w:r>
      <w:r>
        <w:rPr>
          <w:rFonts w:ascii="Times New Roman" w:cs="Times New Roman" w:eastAsia="Times New Roman" w:hAnsi="Times New Roman"/>
          <w:sz w:val="20"/>
          <w:szCs w:val="20"/>
          <w:color w:val="auto"/>
        </w:rPr>
        <w:t>. Notwithstanding anything in the Amended Credit Agreement or the Intercreditor Agreement to the contrary, the Administrative Agent hereby consents to the amendment, supplementation, and modification of the Term Loan Credit Agreement pursuant to the Term Loan Amendment.</w:t>
      </w:r>
    </w:p>
    <w:p>
      <w:pPr>
        <w:spacing w:after="0" w:line="18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Borrower</w:t>
      </w:r>
      <w:r>
        <w:rPr>
          <w:rFonts w:ascii="Times New Roman" w:cs="Times New Roman" w:eastAsia="Times New Roman" w:hAnsi="Times New Roman"/>
          <w:sz w:val="20"/>
          <w:szCs w:val="20"/>
          <w:color w:val="auto"/>
        </w:rPr>
        <w:t>. The Borrower hereby represents and warrants as follows: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Amended Credit Agreement constitute legal, valid and binding obligations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and after giving effect to the terms of this Amendment, (i) no Default or Event of Default has occurred and is continuing or would result therefrom and (ii) the representations and warranties of the Loan Parties set forth in the Amended Credit Agreement and the other Loan Documents are true and correct in all respects with the same effect as though made on and as of the date hereof (it being understood and agreed that any representation or warranty which by its terms is made as of a specified date is true and correct only as of such specified date).</w:t>
      </w:r>
    </w:p>
    <w:p>
      <w:pPr>
        <w:spacing w:after="0" w:line="19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Existing Credit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77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hereof, each reference to the Existing Credit Agreement in the Amended Credit Agreement or any other Loan Document shall mean and be a reference to the Amended Credit Agreement.</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81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Credit Agreement and all other documents, instruments and agreements executed and/or delivered in connection with the Existing Credit Agreement shall remain in full force and effect and are hereby ratified and confirmed.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7"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the Administrative Agent or the Lenders, nor constitute a waiver of any provision of the Existing Credit Agreement or any other documents, instruments and agreements executed and/or delivered in connection therewith.</w:t>
      </w:r>
    </w:p>
    <w:p>
      <w:pPr>
        <w:spacing w:after="0" w:line="16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w:t>
      </w:r>
    </w:p>
    <w:p>
      <w:pPr>
        <w:spacing w:after="0" w:line="22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in accordance with and governed by the law of the State of New York.</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2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 convenience of reference only and shall not constitute a part of this Amendment for any other purpose.</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03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As used herein, “Electronic Signature” means an electronic sound, symbol, or process attached to, or associated with, a contract or other record and adopted by a Person with the intent to sign, authenticate or accept such contract or record.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Amendment has been duly executed as of the day and year first above written.</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NN,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311" w:lineRule="exact"/>
        <w:rPr>
          <w:sz w:val="20"/>
          <w:szCs w:val="20"/>
          <w:color w:val="auto"/>
        </w:rPr>
      </w:pPr>
    </w:p>
    <w:tbl>
      <w:tblPr>
        <w:tblLayout w:type="fixed"/>
        <w:tblInd w:w="326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 Cheif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hanging="4"/>
        <w:spacing w:after="0" w:line="254" w:lineRule="auto"/>
        <w:tabs>
          <w:tab w:leader="none" w:pos="360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SOLUTIONS HOLDINGS, LLC, AUTOCAM CORPORATION, NN PRECISION PLASTICS, INC.,</w:t>
      </w:r>
    </w:p>
    <w:p>
      <w:pPr>
        <w:spacing w:after="0" w:line="1" w:lineRule="exact"/>
        <w:rPr>
          <w:rFonts w:ascii="Times New Roman" w:cs="Times New Roman" w:eastAsia="Times New Roman" w:hAnsi="Times New Roman"/>
          <w:sz w:val="22"/>
          <w:szCs w:val="22"/>
          <w:color w:val="auto"/>
        </w:rPr>
      </w:pPr>
    </w:p>
    <w:p>
      <w:pPr>
        <w:ind w:left="3240" w:right="332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WHIRLAWAY CORPORATION, CAPROCK MANUFACTURING, INC., CAPROCK ENCLOSURES, LLC,</w:t>
      </w:r>
    </w:p>
    <w:p>
      <w:pPr>
        <w:spacing w:after="0" w:line="1" w:lineRule="exact"/>
        <w:rPr>
          <w:rFonts w:ascii="Times New Roman" w:cs="Times New Roman" w:eastAsia="Times New Roman" w:hAnsi="Times New Roman"/>
          <w:sz w:val="22"/>
          <w:szCs w:val="22"/>
          <w:color w:val="auto"/>
        </w:rPr>
      </w:pPr>
    </w:p>
    <w:p>
      <w:pPr>
        <w:ind w:left="3240" w:right="280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PMC USA ACQUISITION COMPANY, INC., AUTOCAM-PAX, INC.,</w:t>
      </w:r>
    </w:p>
    <w:p>
      <w:pPr>
        <w:ind w:left="3240" w:right="30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BRAININ-ADVANCE INDUSTRIES LLC, POLYMETALLURGICAL LLC,</w:t>
      </w:r>
    </w:p>
    <w:p>
      <w:pPr>
        <w:spacing w:after="0" w:line="1" w:lineRule="exact"/>
        <w:rPr>
          <w:rFonts w:ascii="Times New Roman" w:cs="Times New Roman" w:eastAsia="Times New Roman" w:hAnsi="Times New Roman"/>
          <w:sz w:val="22"/>
          <w:szCs w:val="22"/>
          <w:color w:val="auto"/>
        </w:rPr>
      </w:pPr>
    </w:p>
    <w:p>
      <w:pPr>
        <w:ind w:left="3240" w:right="19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SOUTHERN CALIFORNIA TECHNICAL ARTS, INC., GENERAL METAL FINISHING LLC, WAUCONDA TOOL &amp; ENGINEERING LLC, ADVANCED PRECISION PRODUCTS, INC., HOLMED LLC,</w:t>
      </w:r>
    </w:p>
    <w:p>
      <w:pPr>
        <w:spacing w:after="0" w:line="4" w:lineRule="exact"/>
        <w:rPr>
          <w:rFonts w:ascii="Times New Roman" w:cs="Times New Roman" w:eastAsia="Times New Roman" w:hAnsi="Times New Roman"/>
          <w:sz w:val="22"/>
          <w:szCs w:val="22"/>
          <w:color w:val="auto"/>
        </w:rPr>
      </w:pPr>
    </w:p>
    <w:p>
      <w:pPr>
        <w:ind w:left="3240" w:right="48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HOWESTEMCO LLC, PREMCO, INC.,</w:t>
      </w:r>
    </w:p>
    <w:p>
      <w:pPr>
        <w:ind w:left="3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NN POWER SOLUTIONS, LLC,</w:t>
      </w:r>
    </w:p>
    <w:p>
      <w:pPr>
        <w:spacing w:after="0" w:line="3" w:lineRule="exact"/>
        <w:rPr>
          <w:rFonts w:ascii="Times New Roman" w:cs="Times New Roman" w:eastAsia="Times New Roman" w:hAnsi="Times New Roman"/>
          <w:sz w:val="22"/>
          <w:szCs w:val="22"/>
          <w:color w:val="auto"/>
        </w:rPr>
      </w:pPr>
    </w:p>
    <w:p>
      <w:pPr>
        <w:ind w:left="3240" w:right="2680"/>
        <w:spacing w:after="0" w:line="27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PNC ACQUISITION COMPANY, INC., PMC ACQUISITION COMPANY, INC., PROFILES, INCORPORATED, as Loan Parties</w:t>
      </w:r>
    </w:p>
    <w:p>
      <w:pPr>
        <w:spacing w:after="0" w:line="192" w:lineRule="exact"/>
        <w:rPr>
          <w:sz w:val="20"/>
          <w:szCs w:val="20"/>
          <w:color w:val="auto"/>
        </w:rPr>
      </w:pPr>
    </w:p>
    <w:tbl>
      <w:tblPr>
        <w:tblLayout w:type="fixed"/>
        <w:tblInd w:w="326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ectPr>
          <w:pgSz w:w="11900" w:h="16838" w:orient="portrait"/>
          <w:cols w:equalWidth="0" w:num="1">
            <w:col w:w="10100"/>
          </w:cols>
          <w:pgMar w:left="98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Credit Agreement</w:t>
      </w:r>
    </w:p>
    <w:p>
      <w:pPr>
        <w:sectPr>
          <w:pgSz w:w="11900" w:h="16838" w:orient="portrait"/>
          <w:cols w:equalWidth="0" w:num="1">
            <w:col w:w="10100"/>
          </w:cols>
          <w:pgMar w:left="980" w:top="1440" w:right="819" w:bottom="1440" w:gutter="0" w:footer="0" w:header="0"/>
          <w:type w:val="continuous"/>
        </w:sectPr>
      </w:pPr>
    </w:p>
    <w:bookmarkStart w:id="26" w:name="page27"/>
    <w:bookmarkEnd w:id="26"/>
    <w:p>
      <w:pPr>
        <w:spacing w:after="0" w:line="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Administrative Agent and as a Lender</w:t>
      </w:r>
    </w:p>
    <w:p>
      <w:pPr>
        <w:spacing w:after="0" w:line="200" w:lineRule="exact"/>
        <w:rPr>
          <w:sz w:val="20"/>
          <w:szCs w:val="20"/>
          <w:color w:val="auto"/>
        </w:rPr>
      </w:pPr>
    </w:p>
    <w:p>
      <w:pPr>
        <w:spacing w:after="0" w:line="311" w:lineRule="exact"/>
        <w:rPr>
          <w:sz w:val="20"/>
          <w:szCs w:val="20"/>
          <w:color w:val="auto"/>
        </w:rPr>
      </w:pPr>
    </w:p>
    <w:tbl>
      <w:tblPr>
        <w:tblLayout w:type="fixed"/>
        <w:tblInd w:w="280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Andrew Rossman</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Andrew Rossman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2"/>
    </w:lvl>
  </w:abstractNum>
  <w:abstractNum w:abstractNumId="5">
    <w:nsid w:val="41A7C4C9"/>
    <w:multiLevelType w:val="hybridMultilevel"/>
    <w:lvl w:ilvl="0">
      <w:lvlJc w:val="left"/>
      <w:lvlText w:val="(%1)"/>
      <w:numFmt w:val="lowerLetter"/>
      <w:start w:val="6"/>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Letter"/>
      <w:start w:val="35"/>
    </w:lvl>
  </w:abstractNum>
  <w:abstractNum w:abstractNumId="8">
    <w:nsid w:val="25E45D32"/>
    <w:multiLevelType w:val="hybridMultilevel"/>
    <w:lvl w:ilvl="0">
      <w:lvlJc w:val="left"/>
      <w:lvlText w:val="(%1)"/>
      <w:numFmt w:val="lowerLetter"/>
      <w:start w:val="7"/>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3"/>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upperLetter"/>
      <w:start w:val="40"/>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lowerLetter"/>
      <w:start w:val="3"/>
    </w:lvl>
  </w:abstractNum>
  <w:abstractNum w:abstractNumId="17">
    <w:nsid w:val="333AB105"/>
    <w:multiLevelType w:val="hybridMultilevel"/>
    <w:lvl w:ilvl="0">
      <w:lvlJc w:val="left"/>
      <w:lvlText w:val="(%1)"/>
      <w:numFmt w:val="lowerLetter"/>
      <w:start w:val="4"/>
    </w:lvl>
  </w:abstractNum>
  <w:abstractNum w:abstractNumId="18">
    <w:nsid w:val="721DA317"/>
    <w:multiLevelType w:val="hybridMultilevel"/>
    <w:lvl w:ilvl="0">
      <w:lvlJc w:val="left"/>
      <w:lvlText w:val="%1"/>
      <w:numFmt w:val="lowerLetter"/>
      <w:start w:val="1"/>
    </w:lvl>
    <w:lvl w:ilvl="1">
      <w:lvlJc w:val="left"/>
      <w:lvlText w:val="(%2)"/>
      <w:numFmt w:val="lowerLetter"/>
      <w:start w:val="1"/>
    </w:lvl>
  </w:abstractNum>
  <w:abstractNum w:abstractNumId="19">
    <w:nsid w:val="2443A858"/>
    <w:multiLevelType w:val="hybridMultilevel"/>
    <w:lvl w:ilvl="0">
      <w:lvlJc w:val="left"/>
      <w:lvlText w:val="(%1)"/>
      <w:numFmt w:val="lowerLetter"/>
      <w:start w:val="5"/>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21">
    <w:nsid w:val="6763845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2"/>
    </w:lvl>
    <w:lvl w:ilvl="3">
      <w:lvlJc w:val="left"/>
      <w:lvlText w:val="%4"/>
      <w:numFmt w:val="lowerLetter"/>
      <w:start w:val="1"/>
    </w:lvl>
  </w:abstractNum>
  <w:abstractNum w:abstractNumId="22">
    <w:nsid w:val="75A2A8D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3">
    <w:nsid w:val="8EDBDAB"/>
    <w:multiLevelType w:val="hybridMultilevel"/>
    <w:lvl w:ilvl="0">
      <w:lvlJc w:val="left"/>
      <w:lvlText w:val="%1."/>
      <w:numFmt w:val="decimal"/>
      <w:start w:val="3"/>
    </w:lvl>
    <w:lvl w:ilvl="1">
      <w:lvlJc w:val="left"/>
      <w:lvlText w:val="(%2)"/>
      <w:numFmt w:val="lowerLetter"/>
      <w:start w:val="1"/>
    </w:lvl>
  </w:abstractNum>
  <w:abstractNum w:abstractNumId="24">
    <w:nsid w:val="79838CB2"/>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2024-08-30T08:06:35Z</dcterms:created>
  <dcterms:modified xsi:type="dcterms:W3CDTF">2024-08-30T08:06:35Z</dcterms:modified>
</cp:coreProperties>
</file>