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b w:val="1"/>
          <w:bCs w:val="1"/>
          <w:color w:val="auto"/>
        </w:rPr>
        <w:t>FORM 10-Q</w:t>
      </w:r>
    </w:p>
    <w:p>
      <w:pPr>
        <w:spacing w:after="0" w:line="173" w:lineRule="exact"/>
        <w:rPr>
          <w:sz w:val="24"/>
          <w:szCs w:val="24"/>
          <w:color w:val="auto"/>
        </w:rPr>
      </w:pPr>
    </w:p>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 xml:space="preserve">For the quarterly period ended </w:t>
      </w:r>
      <w:r>
        <w:rPr>
          <w:rFonts w:ascii="Courier New" w:cs="Courier New" w:eastAsia="Courier New" w:hAnsi="Courier New"/>
          <w:sz w:val="15"/>
          <w:szCs w:val="15"/>
          <w:u w:val="single" w:color="auto"/>
          <w:color w:val="auto"/>
        </w:rPr>
        <w:t>March 31, 2004</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1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 xml:space="preserve">Commission File Number </w:t>
      </w:r>
      <w:r>
        <w:rPr>
          <w:rFonts w:ascii="Courier New" w:cs="Courier New" w:eastAsia="Courier New" w:hAnsi="Courier New"/>
          <w:sz w:val="15"/>
          <w:szCs w:val="15"/>
          <w:u w:val="single" w:color="auto"/>
          <w:color w:val="auto"/>
        </w:rPr>
        <w:t>0-23486</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b w:val="1"/>
          <w:bCs w:val="1"/>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8" w:orient="portrait"/>
          <w:cols w:equalWidth="0" w:num="1">
            <w:col w:w="10239"/>
          </w:cols>
          <w:pgMar w:left="220" w:top="399" w:right="1440" w:bottom="0" w:gutter="0" w:footer="0" w:header="0"/>
        </w:sectPr>
      </w:pPr>
    </w:p>
    <w:p>
      <w:pPr>
        <w:spacing w:after="0" w:line="335"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b w:val="1"/>
          <w:bCs w:val="1"/>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b w:val="1"/>
          <w:bCs w:val="1"/>
          <w:color w:val="auto"/>
        </w:rPr>
        <w:t>62-1096725</w:t>
      </w:r>
    </w:p>
    <w:p>
      <w:pPr>
        <w:ind w:left="34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0" w:lineRule="exact"/>
        <w:rPr>
          <w:sz w:val="24"/>
          <w:szCs w:val="24"/>
          <w:color w:val="auto"/>
        </w:rPr>
      </w:pPr>
    </w:p>
    <w:p>
      <w:pPr>
        <w:sectPr>
          <w:pgSz w:w="11900" w:h="16888" w:orient="portrait"/>
          <w:cols w:equalWidth="0" w:num="2">
            <w:col w:w="3580" w:space="720"/>
            <w:col w:w="5939"/>
          </w:cols>
          <w:pgMar w:left="220" w:top="399" w:right="1440" w:bottom="0" w:gutter="0" w:footer="0" w:header="0"/>
          <w:type w:val="continuous"/>
        </w:sectPr>
      </w:pPr>
    </w:p>
    <w:p>
      <w:pPr>
        <w:ind w:left="2540"/>
        <w:spacing w:after="0"/>
        <w:rPr>
          <w:sz w:val="20"/>
          <w:szCs w:val="20"/>
          <w:color w:val="auto"/>
        </w:rPr>
      </w:pPr>
      <w:r>
        <w:rPr>
          <w:rFonts w:ascii="Courier New" w:cs="Courier New" w:eastAsia="Courier New" w:hAnsi="Courier New"/>
          <w:sz w:val="15"/>
          <w:szCs w:val="15"/>
          <w:b w:val="1"/>
          <w:bCs w:val="1"/>
          <w:color w:val="auto"/>
        </w:rPr>
        <w:t>2000 Waters Edge Drive</w:t>
      </w:r>
    </w:p>
    <w:p>
      <w:pPr>
        <w:ind w:left="2640"/>
        <w:spacing w:after="0" w:line="237" w:lineRule="auto"/>
        <w:rPr>
          <w:sz w:val="20"/>
          <w:szCs w:val="20"/>
          <w:color w:val="auto"/>
        </w:rPr>
      </w:pPr>
      <w:r>
        <w:rPr>
          <w:rFonts w:ascii="Courier New" w:cs="Courier New" w:eastAsia="Courier New" w:hAnsi="Courier New"/>
          <w:sz w:val="15"/>
          <w:szCs w:val="15"/>
          <w:b w:val="1"/>
          <w:bCs w:val="1"/>
          <w:color w:val="auto"/>
        </w:rPr>
        <w:t>Building C, Suite 12</w:t>
      </w:r>
    </w:p>
    <w:p>
      <w:pPr>
        <w:ind w:left="2280"/>
        <w:spacing w:after="0" w:line="238" w:lineRule="auto"/>
        <w:rPr>
          <w:sz w:val="20"/>
          <w:szCs w:val="20"/>
          <w:color w:val="auto"/>
        </w:rPr>
      </w:pPr>
      <w:r>
        <w:rPr>
          <w:rFonts w:ascii="Courier New" w:cs="Courier New" w:eastAsia="Courier New" w:hAnsi="Courier New"/>
          <w:sz w:val="15"/>
          <w:szCs w:val="15"/>
          <w:b w:val="1"/>
          <w:bCs w:val="1"/>
          <w:color w:val="auto"/>
        </w:rPr>
        <w:t>Johnson City, Tennessee 37604</w:t>
      </w:r>
    </w:p>
    <w:p>
      <w:pPr>
        <w:ind w:left="880"/>
        <w:spacing w:after="0" w:line="237" w:lineRule="auto"/>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b w:val="1"/>
          <w:bCs w:val="1"/>
          <w:color w:val="auto"/>
        </w:rPr>
        <w:t>(423) 743-9151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2"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 Yes |X| No |_|</w:t>
      </w:r>
    </w:p>
    <w:p>
      <w:pPr>
        <w:spacing w:after="0" w:line="17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As of May 7, 2004 there were 16,711,958 shares of the registrant's common stock, par value $0.01 per share, outstanding.</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b w:val="1"/>
          <w:bCs w:val="1"/>
          <w:color w:val="auto"/>
        </w:rPr>
        <w:t>NN, Inc.</w:t>
      </w:r>
    </w:p>
    <w:p>
      <w:pPr>
        <w:ind w:left="3340"/>
        <w:spacing w:after="0" w:line="237" w:lineRule="auto"/>
        <w:rPr>
          <w:sz w:val="20"/>
          <w:szCs w:val="20"/>
          <w:color w:val="auto"/>
        </w:rPr>
      </w:pPr>
      <w:r>
        <w:rPr>
          <w:rFonts w:ascii="Courier New" w:cs="Courier New" w:eastAsia="Courier New" w:hAnsi="Courier New"/>
          <w:sz w:val="15"/>
          <w:szCs w:val="15"/>
          <w:b w:val="1"/>
          <w:bCs w:val="1"/>
          <w:color w:val="auto"/>
        </w:rPr>
        <w:t>INDEX</w:t>
      </w:r>
    </w:p>
    <w:p>
      <w:pPr>
        <w:spacing w:after="0" w:line="335" w:lineRule="exact"/>
        <w:rPr>
          <w:sz w:val="24"/>
          <w:szCs w:val="24"/>
          <w:color w:val="auto"/>
        </w:rPr>
      </w:pPr>
    </w:p>
    <w:p>
      <w:pPr>
        <w:jc w:val="right"/>
        <w:ind w:right="599"/>
        <w:spacing w:after="0"/>
        <w:rPr>
          <w:sz w:val="20"/>
          <w:szCs w:val="20"/>
          <w:color w:val="auto"/>
        </w:rPr>
      </w:pPr>
      <w:r>
        <w:rPr>
          <w:rFonts w:ascii="Courier New" w:cs="Courier New" w:eastAsia="Courier New" w:hAnsi="Courier New"/>
          <w:sz w:val="15"/>
          <w:szCs w:val="15"/>
          <w:u w:val="single" w:color="auto"/>
          <w:color w:val="auto"/>
        </w:rPr>
        <w:t>Page No</w:t>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b w:val="1"/>
          <w:bCs w:val="1"/>
          <w:color w:val="auto"/>
        </w:rPr>
        <w:t>Part I. Financial Information</w:t>
      </w:r>
    </w:p>
    <w:p>
      <w:pPr>
        <w:spacing w:after="0" w:line="167"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Income and Comprehensive Income for the three</w:t>
      </w:r>
    </w:p>
    <w:p>
      <w:pPr>
        <w:ind w:left="1400"/>
        <w:spacing w:after="0"/>
        <w:tabs>
          <w:tab w:leader="dot" w:pos="9180" w:val="left"/>
        </w:tabs>
        <w:rPr>
          <w:sz w:val="20"/>
          <w:szCs w:val="20"/>
          <w:color w:val="auto"/>
        </w:rPr>
      </w:pPr>
      <w:r>
        <w:rPr>
          <w:rFonts w:ascii="Courier New" w:cs="Courier New" w:eastAsia="Courier New" w:hAnsi="Courier New"/>
          <w:sz w:val="15"/>
          <w:szCs w:val="15"/>
          <w:color w:val="auto"/>
        </w:rPr>
        <w:t>months ended March 31, 2004 and 2003 (unaudited)</w:t>
      </w:r>
      <w:r>
        <w:rPr>
          <w:sz w:val="20"/>
          <w:szCs w:val="20"/>
          <w:color w:val="auto"/>
        </w:rPr>
        <w:tab/>
      </w:r>
      <w:r>
        <w:rPr>
          <w:rFonts w:ascii="Courier New" w:cs="Courier New" w:eastAsia="Courier New" w:hAnsi="Courier New"/>
          <w:sz w:val="12"/>
          <w:szCs w:val="12"/>
          <w:color w:val="auto"/>
        </w:rPr>
        <w:t>2</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Condensed Consolidated Balance Sheets at March 31, 2004 and December 31, 2003</w:t>
      </w:r>
    </w:p>
    <w:p>
      <w:pPr>
        <w:ind w:left="1400"/>
        <w:spacing w:after="0"/>
        <w:tabs>
          <w:tab w:leader="dot" w:pos="918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2"/>
          <w:szCs w:val="12"/>
          <w:color w:val="auto"/>
        </w:rPr>
        <w:t>3</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Changes in Stockholders' Equity for the</w:t>
      </w:r>
    </w:p>
    <w:p>
      <w:pPr>
        <w:ind w:left="2020"/>
        <w:spacing w:after="0"/>
        <w:tabs>
          <w:tab w:leader="dot" w:pos="9180" w:val="left"/>
        </w:tabs>
        <w:rPr>
          <w:sz w:val="20"/>
          <w:szCs w:val="20"/>
          <w:color w:val="auto"/>
        </w:rPr>
      </w:pPr>
      <w:r>
        <w:rPr>
          <w:rFonts w:ascii="Courier New" w:cs="Courier New" w:eastAsia="Courier New" w:hAnsi="Courier New"/>
          <w:sz w:val="15"/>
          <w:szCs w:val="15"/>
          <w:color w:val="auto"/>
        </w:rPr>
        <w:t>three months ended March 31, 2004 and 2003 (unaudited)</w:t>
      </w:r>
      <w:r>
        <w:rPr>
          <w:sz w:val="20"/>
          <w:szCs w:val="20"/>
          <w:color w:val="auto"/>
        </w:rPr>
        <w:tab/>
      </w:r>
      <w:r>
        <w:rPr>
          <w:rFonts w:ascii="Courier New" w:cs="Courier New" w:eastAsia="Courier New" w:hAnsi="Courier New"/>
          <w:sz w:val="12"/>
          <w:szCs w:val="12"/>
          <w:color w:val="auto"/>
        </w:rPr>
        <w:t>4</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Cash Flows for the three months ended</w:t>
      </w:r>
    </w:p>
    <w:p>
      <w:pPr>
        <w:ind w:left="1400"/>
        <w:spacing w:after="0"/>
        <w:tabs>
          <w:tab w:leader="dot" w:pos="9180" w:val="left"/>
        </w:tabs>
        <w:rPr>
          <w:sz w:val="20"/>
          <w:szCs w:val="20"/>
          <w:color w:val="auto"/>
        </w:rPr>
      </w:pPr>
      <w:r>
        <w:rPr>
          <w:rFonts w:ascii="Courier New" w:cs="Courier New" w:eastAsia="Courier New" w:hAnsi="Courier New"/>
          <w:sz w:val="15"/>
          <w:szCs w:val="15"/>
          <w:color w:val="auto"/>
        </w:rPr>
        <w:t>March 31, 2004 and 2003 (unaudited)</w:t>
      </w:r>
      <w:r>
        <w:rPr>
          <w:sz w:val="20"/>
          <w:szCs w:val="20"/>
          <w:color w:val="auto"/>
        </w:rPr>
        <w:tab/>
      </w:r>
      <w:r>
        <w:rPr>
          <w:rFonts w:ascii="Courier New" w:cs="Courier New" w:eastAsia="Courier New" w:hAnsi="Courier New"/>
          <w:sz w:val="12"/>
          <w:szCs w:val="12"/>
          <w:color w:val="auto"/>
        </w:rPr>
        <w:t>5</w:t>
      </w:r>
    </w:p>
    <w:p>
      <w:pPr>
        <w:spacing w:after="0" w:line="167" w:lineRule="exact"/>
        <w:rPr>
          <w:sz w:val="24"/>
          <w:szCs w:val="24"/>
          <w:color w:val="auto"/>
        </w:rPr>
      </w:pPr>
    </w:p>
    <w:p>
      <w:pPr>
        <w:ind w:left="1140"/>
        <w:spacing w:after="0"/>
        <w:tabs>
          <w:tab w:leader="dot" w:pos="9180" w:val="left"/>
        </w:tabs>
        <w:rPr>
          <w:sz w:val="20"/>
          <w:szCs w:val="20"/>
          <w:color w:val="auto"/>
        </w:rPr>
      </w:pPr>
      <w:r>
        <w:rPr>
          <w:rFonts w:ascii="Courier New" w:cs="Courier New" w:eastAsia="Courier New" w:hAnsi="Courier New"/>
          <w:sz w:val="15"/>
          <w:szCs w:val="15"/>
          <w:color w:val="auto"/>
        </w:rPr>
        <w:t>Notes to Consolidated Financial Statements (unaudited)</w:t>
      </w:r>
      <w:r>
        <w:rPr>
          <w:sz w:val="20"/>
          <w:szCs w:val="20"/>
          <w:color w:val="auto"/>
        </w:rPr>
        <w:tab/>
      </w:r>
      <w:r>
        <w:rPr>
          <w:rFonts w:ascii="Courier New" w:cs="Courier New" w:eastAsia="Courier New" w:hAnsi="Courier New"/>
          <w:sz w:val="12"/>
          <w:szCs w:val="12"/>
          <w:color w:val="auto"/>
        </w:rPr>
        <w:t>6</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ind w:left="1400"/>
        <w:spacing w:after="0" w:line="237" w:lineRule="auto"/>
        <w:tabs>
          <w:tab w:leader="dot" w:pos="908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12</w:t>
      </w:r>
    </w:p>
    <w:p>
      <w:pPr>
        <w:spacing w:after="0" w:line="167" w:lineRule="exact"/>
        <w:rPr>
          <w:sz w:val="24"/>
          <w:szCs w:val="24"/>
          <w:color w:val="auto"/>
        </w:rPr>
      </w:pPr>
    </w:p>
    <w:p>
      <w:pPr>
        <w:spacing w:after="0"/>
        <w:tabs>
          <w:tab w:leader="dot" w:pos="780" w:val="left"/>
          <w:tab w:leader="dot" w:pos="9080" w:val="left"/>
        </w:tabs>
        <w:rPr>
          <w:sz w:val="20"/>
          <w:szCs w:val="20"/>
          <w:color w:val="auto"/>
        </w:rPr>
      </w:pPr>
      <w:r>
        <w:rPr>
          <w:rFonts w:ascii="Courier New" w:cs="Courier New" w:eastAsia="Courier New" w:hAnsi="Courier New"/>
          <w:sz w:val="15"/>
          <w:szCs w:val="15"/>
          <w:color w:val="auto"/>
        </w:rPr>
        <w:t>Item 3</w:t>
        <w:tab/>
        <w:t>Quantitative and Qualitative Disclosures about Market Risk</w:t>
      </w:r>
      <w:r>
        <w:rPr>
          <w:sz w:val="20"/>
          <w:szCs w:val="20"/>
          <w:color w:val="auto"/>
        </w:rPr>
        <w:tab/>
      </w:r>
      <w:r>
        <w:rPr>
          <w:rFonts w:ascii="Courier New" w:cs="Courier New" w:eastAsia="Courier New" w:hAnsi="Courier New"/>
          <w:sz w:val="15"/>
          <w:szCs w:val="15"/>
          <w:color w:val="auto"/>
        </w:rPr>
        <w:t>20</w:t>
      </w:r>
    </w:p>
    <w:p>
      <w:pPr>
        <w:spacing w:after="0" w:line="166" w:lineRule="exact"/>
        <w:rPr>
          <w:sz w:val="24"/>
          <w:szCs w:val="24"/>
          <w:color w:val="auto"/>
        </w:rPr>
      </w:pPr>
    </w:p>
    <w:p>
      <w:pPr>
        <w:spacing w:after="0"/>
        <w:tabs>
          <w:tab w:leader="dot" w:pos="780" w:val="left"/>
          <w:tab w:leader="dot" w:pos="9080" w:val="left"/>
        </w:tabs>
        <w:rPr>
          <w:sz w:val="20"/>
          <w:szCs w:val="20"/>
          <w:color w:val="auto"/>
        </w:rPr>
      </w:pPr>
      <w:r>
        <w:rPr>
          <w:rFonts w:ascii="Courier New" w:cs="Courier New" w:eastAsia="Courier New" w:hAnsi="Courier New"/>
          <w:sz w:val="15"/>
          <w:szCs w:val="15"/>
          <w:color w:val="auto"/>
        </w:rPr>
        <w:t>Item 4</w:t>
        <w:tab/>
        <w:t>Controls and Procedures</w:t>
      </w:r>
      <w:r>
        <w:rPr>
          <w:sz w:val="20"/>
          <w:szCs w:val="20"/>
          <w:color w:val="auto"/>
        </w:rPr>
        <w:tab/>
      </w:r>
      <w:r>
        <w:rPr>
          <w:rFonts w:ascii="Courier New" w:cs="Courier New" w:eastAsia="Courier New" w:hAnsi="Courier New"/>
          <w:sz w:val="15"/>
          <w:szCs w:val="15"/>
          <w:color w:val="auto"/>
        </w:rPr>
        <w:t>21</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b w:val="1"/>
          <w:bCs w:val="1"/>
          <w:color w:val="auto"/>
        </w:rPr>
        <w:t>Part II. Other Information</w:t>
      </w:r>
    </w:p>
    <w:p>
      <w:pPr>
        <w:spacing w:after="0" w:line="166" w:lineRule="exact"/>
        <w:rPr>
          <w:sz w:val="24"/>
          <w:szCs w:val="24"/>
          <w:color w:val="auto"/>
        </w:rPr>
      </w:pPr>
    </w:p>
    <w:p>
      <w:pPr>
        <w:spacing w:after="0"/>
        <w:tabs>
          <w:tab w:leader="dot" w:pos="780" w:val="left"/>
          <w:tab w:leader="dot" w:pos="9080"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5"/>
          <w:szCs w:val="15"/>
          <w:color w:val="auto"/>
        </w:rPr>
        <w:t>22</w:t>
      </w:r>
    </w:p>
    <w:p>
      <w:pPr>
        <w:spacing w:after="0" w:line="166" w:lineRule="exact"/>
        <w:rPr>
          <w:sz w:val="24"/>
          <w:szCs w:val="24"/>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Item 2.</w:t>
        <w:tab/>
        <w:t>Changes in Securities and Use of Proceeds</w:t>
      </w:r>
      <w:r>
        <w:rPr>
          <w:sz w:val="20"/>
          <w:szCs w:val="20"/>
          <w:color w:val="auto"/>
        </w:rPr>
        <w:tab/>
      </w:r>
      <w:r>
        <w:rPr>
          <w:rFonts w:ascii="Courier New" w:cs="Courier New" w:eastAsia="Courier New" w:hAnsi="Courier New"/>
          <w:sz w:val="15"/>
          <w:szCs w:val="15"/>
          <w:color w:val="auto"/>
        </w:rPr>
        <w:t>22</w:t>
      </w:r>
    </w:p>
    <w:p>
      <w:pPr>
        <w:spacing w:after="0" w:line="166" w:lineRule="exact"/>
        <w:rPr>
          <w:sz w:val="24"/>
          <w:szCs w:val="24"/>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Item 3.</w:t>
        <w:tab/>
        <w:t>Defaults Upon Senior Securities</w:t>
      </w:r>
      <w:r>
        <w:rPr>
          <w:sz w:val="20"/>
          <w:szCs w:val="20"/>
          <w:color w:val="auto"/>
        </w:rPr>
        <w:tab/>
      </w:r>
      <w:r>
        <w:rPr>
          <w:rFonts w:ascii="Courier New" w:cs="Courier New" w:eastAsia="Courier New" w:hAnsi="Courier New"/>
          <w:sz w:val="15"/>
          <w:szCs w:val="15"/>
          <w:color w:val="auto"/>
        </w:rPr>
        <w:t>22</w:t>
      </w:r>
    </w:p>
    <w:p>
      <w:pPr>
        <w:spacing w:after="0" w:line="166" w:lineRule="exact"/>
        <w:rPr>
          <w:sz w:val="24"/>
          <w:szCs w:val="24"/>
          <w:color w:val="auto"/>
        </w:rPr>
      </w:pPr>
    </w:p>
    <w:p>
      <w:pPr>
        <w:spacing w:after="0"/>
        <w:tabs>
          <w:tab w:leader="dot" w:pos="780" w:val="left"/>
          <w:tab w:leader="dot" w:pos="90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r>
        <w:rPr>
          <w:sz w:val="20"/>
          <w:szCs w:val="20"/>
          <w:color w:val="auto"/>
        </w:rPr>
        <w:tab/>
      </w:r>
      <w:r>
        <w:rPr>
          <w:rFonts w:ascii="Courier New" w:cs="Courier New" w:eastAsia="Courier New" w:hAnsi="Courier New"/>
          <w:sz w:val="15"/>
          <w:szCs w:val="15"/>
          <w:color w:val="auto"/>
        </w:rPr>
        <w:t>22</w:t>
      </w:r>
    </w:p>
    <w:p>
      <w:pPr>
        <w:sectPr>
          <w:pgSz w:w="11900" w:h="16888" w:orient="portrait"/>
          <w:cols w:equalWidth="0" w:num="1">
            <w:col w:w="10239"/>
          </w:cols>
          <w:pgMar w:left="220" w:top="39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5...</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w w:val="96"/>
              </w:rPr>
              <w:t>Other Information..............................................................................</w:t>
            </w:r>
          </w:p>
        </w:tc>
        <w:tc>
          <w:tcPr>
            <w:tcW w:w="236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88"/>
              </w:rPr>
              <w:t>22</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w w:val="96"/>
              </w:rPr>
              <w:t>Exhibits and Reports on Form 8-K...............................................................</w:t>
            </w:r>
          </w:p>
        </w:tc>
        <w:tc>
          <w:tcPr>
            <w:tcW w:w="236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88"/>
              </w:rPr>
              <w:t>22</w:t>
            </w:r>
          </w:p>
        </w:tc>
      </w:tr>
      <w:tr>
        <w:trPr>
          <w:trHeight w:val="336"/>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Signatures..............................................................................................</w:t>
            </w:r>
          </w:p>
        </w:tc>
        <w:tc>
          <w:tcPr>
            <w:tcW w:w="236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88"/>
              </w:rPr>
              <w:t>23</w:t>
            </w:r>
          </w:p>
        </w:tc>
      </w:tr>
      <w:tr>
        <w:trPr>
          <w:trHeight w:val="505"/>
        </w:trPr>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00" w:type="dxa"/>
            <w:vAlign w:val="bottom"/>
          </w:tcPr>
          <w:p>
            <w:pPr>
              <w:jc w:val="right"/>
              <w:ind w:right="5527"/>
              <w:spacing w:after="0"/>
              <w:rPr>
                <w:sz w:val="20"/>
                <w:szCs w:val="20"/>
                <w:color w:val="auto"/>
              </w:rPr>
            </w:pPr>
            <w:r>
              <w:rPr>
                <w:rFonts w:ascii="Courier New" w:cs="Courier New" w:eastAsia="Courier New" w:hAnsi="Courier New"/>
                <w:sz w:val="15"/>
                <w:szCs w:val="15"/>
                <w:color w:val="auto"/>
              </w:rPr>
              <w:t>1</w:t>
            </w:r>
          </w:p>
        </w:tc>
        <w:tc>
          <w:tcPr>
            <w:tcW w:w="2360" w:type="dxa"/>
            <w:vAlign w:val="bottom"/>
          </w:tcPr>
          <w:p>
            <w:pPr>
              <w:spacing w:after="0"/>
              <w:rPr>
                <w:sz w:val="24"/>
                <w:szCs w:val="24"/>
                <w:color w:val="auto"/>
              </w:rPr>
            </w:pPr>
          </w:p>
        </w:tc>
      </w:tr>
      <w:tr>
        <w:trPr>
          <w:trHeight w:val="319"/>
        </w:trPr>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-26035</wp:posOffset>
            </wp:positionV>
            <wp:extent cx="3238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b w:val="1"/>
          <w:bCs w:val="1"/>
          <w:color w:val="auto"/>
        </w:rPr>
        <w:t>PART I. 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1.</w:t>
      </w:r>
      <w:r>
        <w:rPr>
          <w:sz w:val="20"/>
          <w:szCs w:val="20"/>
          <w:color w:val="auto"/>
        </w:rPr>
        <w:tab/>
      </w:r>
      <w:r>
        <w:rPr>
          <w:rFonts w:ascii="Courier New" w:cs="Courier New" w:eastAsia="Courier New" w:hAnsi="Courier New"/>
          <w:sz w:val="14"/>
          <w:szCs w:val="14"/>
          <w:b w:val="1"/>
          <w:bCs w:val="1"/>
          <w:color w:val="auto"/>
        </w:rPr>
        <w:t>Financial Statements</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b w:val="1"/>
          <w:bCs w:val="1"/>
          <w:color w:val="auto"/>
        </w:rPr>
        <w:t>NN, Inc.</w:t>
      </w:r>
    </w:p>
    <w:p>
      <w:pPr>
        <w:jc w:val="center"/>
        <w:ind w:right="4440"/>
        <w:spacing w:after="0" w:line="237" w:lineRule="auto"/>
        <w:rPr>
          <w:sz w:val="20"/>
          <w:szCs w:val="20"/>
          <w:color w:val="auto"/>
        </w:rPr>
      </w:pPr>
      <w:r>
        <w:rPr>
          <w:rFonts w:ascii="Courier New" w:cs="Courier New" w:eastAsia="Courier New" w:hAnsi="Courier New"/>
          <w:sz w:val="15"/>
          <w:szCs w:val="15"/>
          <w:b w:val="1"/>
          <w:bCs w:val="1"/>
          <w:color w:val="auto"/>
        </w:rPr>
        <w:t>Consolidated Statements of Income and Comprehensive Income</w:t>
      </w:r>
    </w:p>
    <w:p>
      <w:pPr>
        <w:jc w:val="center"/>
        <w:ind w:right="4360"/>
        <w:spacing w:after="0" w:line="238" w:lineRule="auto"/>
        <w:rPr>
          <w:sz w:val="20"/>
          <w:szCs w:val="20"/>
          <w:color w:val="auto"/>
        </w:rPr>
      </w:pPr>
      <w:r>
        <w:rPr>
          <w:rFonts w:ascii="Courier New" w:cs="Courier New" w:eastAsia="Courier New" w:hAnsi="Courier New"/>
          <w:sz w:val="15"/>
          <w:szCs w:val="15"/>
          <w:b w:val="1"/>
          <w:bCs w:val="1"/>
          <w:color w:val="auto"/>
        </w:rPr>
        <w:t>(Unaudited)</w:t>
      </w:r>
    </w:p>
    <w:p>
      <w:pPr>
        <w:spacing w:after="0" w:line="16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b w:val="1"/>
          <w:bCs w:val="1"/>
          <w:color w:val="auto"/>
        </w:rPr>
        <w:t>Three Months Ended</w:t>
      </w:r>
    </w:p>
    <w:p>
      <w:pPr>
        <w:ind w:left="5860"/>
        <w:spacing w:after="0" w:line="237" w:lineRule="auto"/>
        <w:rPr>
          <w:sz w:val="20"/>
          <w:szCs w:val="20"/>
          <w:color w:val="auto"/>
        </w:rPr>
      </w:pPr>
      <w:r>
        <w:rPr>
          <w:rFonts w:ascii="Courier New" w:cs="Courier New" w:eastAsia="Courier New" w:hAnsi="Courier New"/>
          <w:sz w:val="15"/>
          <w:szCs w:val="15"/>
          <w:b w:val="1"/>
          <w:bCs w:val="1"/>
          <w:color w:val="auto"/>
        </w:rPr>
        <w:t>March 31,</w:t>
      </w:r>
    </w:p>
    <w:p>
      <w:pPr>
        <w:spacing w:after="0"/>
        <w:tabs>
          <w:tab w:leader="none" w:pos="5320" w:val="left"/>
          <w:tab w:leader="none" w:pos="6820" w:val="left"/>
        </w:tabs>
        <w:rPr>
          <w:sz w:val="20"/>
          <w:szCs w:val="20"/>
          <w:color w:val="auto"/>
        </w:rPr>
      </w:pPr>
      <w:r>
        <w:rPr>
          <w:rFonts w:ascii="Courier New" w:cs="Courier New" w:eastAsia="Courier New" w:hAnsi="Courier New"/>
          <w:sz w:val="15"/>
          <w:szCs w:val="15"/>
          <w:b w:val="1"/>
          <w:bCs w:val="1"/>
          <w:color w:val="auto"/>
        </w:rPr>
        <w:t>Thousands of Dollars, Except Per Share Data</w:t>
      </w:r>
      <w:r>
        <w:rPr>
          <w:sz w:val="20"/>
          <w:szCs w:val="20"/>
          <w:color w:val="auto"/>
        </w:rPr>
        <w:tab/>
      </w:r>
      <w:r>
        <w:rPr>
          <w:rFonts w:ascii="Courier New" w:cs="Courier New" w:eastAsia="Courier New" w:hAnsi="Courier New"/>
          <w:sz w:val="15"/>
          <w:szCs w:val="15"/>
          <w:b w:val="1"/>
          <w:bCs w:val="1"/>
          <w:color w:val="auto"/>
        </w:rPr>
        <w:t>2004</w:t>
      </w:r>
      <w:r>
        <w:rPr>
          <w:sz w:val="20"/>
          <w:szCs w:val="20"/>
          <w:color w:val="auto"/>
        </w:rPr>
        <w:tab/>
      </w:r>
      <w:r>
        <w:rPr>
          <w:rFonts w:ascii="Courier New" w:cs="Courier New" w:eastAsia="Courier New" w:hAnsi="Courier New"/>
          <w:sz w:val="14"/>
          <w:szCs w:val="14"/>
          <w:b w:val="1"/>
          <w:bCs w:val="1"/>
          <w:color w:val="auto"/>
        </w:rPr>
        <w:t>2003</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4640" w:type="dxa"/>
            <w:vAlign w:val="bottom"/>
          </w:tcPr>
          <w:p>
            <w:pPr>
              <w:spacing w:after="0" w:line="169" w:lineRule="exact"/>
              <w:rPr>
                <w:sz w:val="20"/>
                <w:szCs w:val="20"/>
                <w:color w:val="auto"/>
              </w:rPr>
            </w:pPr>
            <w:r>
              <w:rPr>
                <w:rFonts w:ascii="Courier New" w:cs="Courier New" w:eastAsia="Courier New" w:hAnsi="Courier New"/>
                <w:sz w:val="15"/>
                <w:szCs w:val="15"/>
                <w:color w:val="auto"/>
              </w:rPr>
              <w:t>Net sales</w:t>
            </w:r>
          </w:p>
        </w:tc>
        <w:tc>
          <w:tcPr>
            <w:tcW w:w="17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$ 77,632</w:t>
            </w:r>
          </w:p>
        </w:tc>
        <w:tc>
          <w:tcPr>
            <w:tcW w:w="11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$ 57,609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 (exclusive of depreciation</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shown separately below)</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60,390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42,743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7,143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3,999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3,079</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7,155</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5,315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2,097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consolidated subsidiaries</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3,218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3,643</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(2,489)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1,798</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$ 729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$5,441</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Basic income per common share:</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$ 0.19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$ 0.24</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 outstanding</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16,712</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15,378</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Diluted income per common share:</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$ 0.19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$ 0.23</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 outstanding</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17,189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15,574</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dividends per common share</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$ 0.08</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$ 0.08</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b w:val="1"/>
          <w:bCs w:val="1"/>
          <w:color w:val="auto"/>
        </w:rPr>
        <w:t>NN, Inc.</w:t>
      </w:r>
    </w:p>
    <w:p>
      <w:pPr>
        <w:jc w:val="center"/>
        <w:ind w:right="4360"/>
        <w:spacing w:after="0" w:line="237" w:lineRule="auto"/>
        <w:rPr>
          <w:sz w:val="20"/>
          <w:szCs w:val="20"/>
          <w:color w:val="auto"/>
        </w:rPr>
      </w:pPr>
      <w:r>
        <w:rPr>
          <w:rFonts w:ascii="Courier New" w:cs="Courier New" w:eastAsia="Courier New" w:hAnsi="Courier New"/>
          <w:sz w:val="15"/>
          <w:szCs w:val="15"/>
          <w:b w:val="1"/>
          <w:bCs w:val="1"/>
          <w:color w:val="auto"/>
        </w:rPr>
        <w:t>Condensed Consolidated Balance Sheets</w:t>
      </w:r>
    </w:p>
    <w:p>
      <w:pPr>
        <w:jc w:val="center"/>
        <w:ind w:right="4360"/>
        <w:spacing w:after="0" w:line="238" w:lineRule="auto"/>
        <w:rPr>
          <w:sz w:val="20"/>
          <w:szCs w:val="20"/>
          <w:color w:val="auto"/>
        </w:rPr>
      </w:pPr>
      <w:r>
        <w:rPr>
          <w:rFonts w:ascii="Courier New" w:cs="Courier New" w:eastAsia="Courier New" w:hAnsi="Courier New"/>
          <w:sz w:val="15"/>
          <w:szCs w:val="15"/>
          <w:b w:val="1"/>
          <w:bCs w:val="1"/>
          <w:color w:val="auto"/>
        </w:rPr>
        <w:t>(Unaudited)</w:t>
      </w:r>
    </w:p>
    <w:p>
      <w:pPr>
        <w:spacing w:after="0" w:line="167" w:lineRule="exact"/>
        <w:rPr>
          <w:sz w:val="20"/>
          <w:szCs w:val="20"/>
          <w:color w:val="auto"/>
        </w:rPr>
      </w:pPr>
    </w:p>
    <w:p>
      <w:pPr>
        <w:ind w:left="6560"/>
        <w:spacing w:after="0"/>
        <w:tabs>
          <w:tab w:leader="none" w:pos="8560" w:val="left"/>
        </w:tabs>
        <w:rPr>
          <w:sz w:val="20"/>
          <w:szCs w:val="20"/>
          <w:color w:val="auto"/>
        </w:rPr>
      </w:pPr>
      <w:r>
        <w:rPr>
          <w:rFonts w:ascii="Courier New" w:cs="Courier New" w:eastAsia="Courier New" w:hAnsi="Courier New"/>
          <w:sz w:val="15"/>
          <w:szCs w:val="15"/>
          <w:b w:val="1"/>
          <w:bCs w:val="1"/>
          <w:color w:val="auto"/>
        </w:rPr>
        <w:t>March 31,</w:t>
      </w:r>
      <w:r>
        <w:rPr>
          <w:sz w:val="20"/>
          <w:szCs w:val="20"/>
          <w:color w:val="auto"/>
        </w:rPr>
        <w:tab/>
      </w:r>
      <w:r>
        <w:rPr>
          <w:rFonts w:ascii="Courier New" w:cs="Courier New" w:eastAsia="Courier New" w:hAnsi="Courier New"/>
          <w:sz w:val="14"/>
          <w:szCs w:val="14"/>
          <w:b w:val="1"/>
          <w:bCs w:val="1"/>
          <w:color w:val="auto"/>
        </w:rPr>
        <w:t>December 31,</w:t>
      </w:r>
    </w:p>
    <w:p>
      <w:pPr>
        <w:spacing w:after="0"/>
        <w:tabs>
          <w:tab w:leader="none" w:pos="6720" w:val="left"/>
          <w:tab w:leader="none" w:pos="8920" w:val="left"/>
        </w:tabs>
        <w:rPr>
          <w:sz w:val="20"/>
          <w:szCs w:val="20"/>
          <w:color w:val="auto"/>
        </w:rPr>
      </w:pPr>
      <w:r>
        <w:rPr>
          <w:rFonts w:ascii="Courier New" w:cs="Courier New" w:eastAsia="Courier New" w:hAnsi="Courier New"/>
          <w:sz w:val="15"/>
          <w:szCs w:val="15"/>
          <w:b w:val="1"/>
          <w:bCs w:val="1"/>
          <w:color w:val="auto"/>
        </w:rPr>
        <w:t>Thousands of Dollars</w:t>
      </w:r>
      <w:r>
        <w:rPr>
          <w:sz w:val="20"/>
          <w:szCs w:val="20"/>
          <w:color w:val="auto"/>
        </w:rPr>
        <w:tab/>
      </w:r>
      <w:r>
        <w:rPr>
          <w:rFonts w:ascii="Courier New" w:cs="Courier New" w:eastAsia="Courier New" w:hAnsi="Courier New"/>
          <w:sz w:val="15"/>
          <w:szCs w:val="15"/>
          <w:b w:val="1"/>
          <w:bCs w:val="1"/>
          <w:color w:val="auto"/>
        </w:rPr>
        <w:t>2004</w:t>
      </w:r>
      <w:r>
        <w:rPr>
          <w:sz w:val="20"/>
          <w:szCs w:val="20"/>
          <w:color w:val="auto"/>
        </w:rPr>
        <w:tab/>
      </w:r>
      <w:r>
        <w:rPr>
          <w:rFonts w:ascii="Courier New" w:cs="Courier New" w:eastAsia="Courier New" w:hAnsi="Courier New"/>
          <w:sz w:val="14"/>
          <w:szCs w:val="14"/>
          <w:b w:val="1"/>
          <w:bCs w:val="1"/>
          <w:color w:val="auto"/>
        </w:rPr>
        <w:t>2003</w:t>
      </w:r>
    </w:p>
    <w:p>
      <w:pPr>
        <w:ind w:left="180" w:hanging="170"/>
        <w:spacing w:after="0" w:line="238" w:lineRule="auto"/>
        <w:tabs>
          <w:tab w:leader="none" w:pos="180" w:val="left"/>
        </w:tabs>
        <w:numPr>
          <w:ilvl w:val="0"/>
          <w:numId w:val="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w:t>
      </w:r>
    </w:p>
    <w:p>
      <w:pPr>
        <w:spacing w:after="0" w:line="237"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Assets</w:t>
      </w:r>
    </w:p>
    <w:p>
      <w:pPr>
        <w:spacing w:after="0" w:line="237"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Current assets:</w:t>
      </w:r>
    </w:p>
    <w:tbl>
      <w:tblPr>
        <w:tblLayout w:type="fixed"/>
        <w:tblInd w:w="0" w:type="dxa"/>
        <w:tblCellMar>
          <w:top w:w="0" w:type="dxa"/>
          <w:left w:w="0" w:type="dxa"/>
          <w:bottom w:w="0" w:type="dxa"/>
          <w:right w:w="0" w:type="dxa"/>
        </w:tblCellMar>
      </w:tblPr>
      <w:tr>
        <w:trPr>
          <w:trHeight w:val="169"/>
        </w:trPr>
        <w:tc>
          <w:tcPr>
            <w:tcW w:w="460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Cash and cash equivalents</w:t>
            </w:r>
          </w:p>
        </w:tc>
        <w:tc>
          <w:tcPr>
            <w:tcW w:w="35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$ 7,143</w:t>
            </w:r>
          </w:p>
        </w:tc>
        <w:tc>
          <w:tcPr>
            <w:tcW w:w="18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$ 4,978</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48,728</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40,864</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33,322</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36,278</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6,342</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6,299</w:t>
            </w:r>
          </w:p>
        </w:tc>
      </w:tr>
      <w:tr>
        <w:trPr>
          <w:trHeight w:val="168"/>
        </w:trPr>
        <w:tc>
          <w:tcPr>
            <w:tcW w:w="4600" w:type="dxa"/>
            <w:vAlign w:val="bottom"/>
          </w:tcPr>
          <w:p>
            <w:pPr>
              <w:spacing w:after="0"/>
              <w:rPr>
                <w:sz w:val="14"/>
                <w:szCs w:val="14"/>
                <w:color w:val="auto"/>
              </w:rPr>
            </w:pPr>
          </w:p>
        </w:tc>
        <w:tc>
          <w:tcPr>
            <w:tcW w:w="3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95,535</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88,419</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126,142</w:t>
            </w: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128,996</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held for sale</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42,245</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42,893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4,103</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4,304</w:t>
            </w:r>
          </w:p>
        </w:tc>
      </w:tr>
      <w:tr>
        <w:trPr>
          <w:trHeight w:val="168"/>
        </w:trPr>
        <w:tc>
          <w:tcPr>
            <w:tcW w:w="4600" w:type="dxa"/>
            <w:vAlign w:val="bottom"/>
          </w:tcPr>
          <w:p>
            <w:pPr>
              <w:spacing w:after="0"/>
              <w:rPr>
                <w:sz w:val="14"/>
                <w:szCs w:val="14"/>
                <w:color w:val="auto"/>
              </w:rPr>
            </w:pPr>
          </w:p>
        </w:tc>
        <w:tc>
          <w:tcPr>
            <w:tcW w:w="3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3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$ 268,025</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$ 266,417</w:t>
            </w:r>
          </w:p>
        </w:tc>
      </w:tr>
      <w:tr>
        <w:trPr>
          <w:trHeight w:val="168"/>
        </w:trPr>
        <w:tc>
          <w:tcPr>
            <w:tcW w:w="4600" w:type="dxa"/>
            <w:vAlign w:val="bottom"/>
          </w:tcPr>
          <w:p>
            <w:pPr>
              <w:spacing w:after="0"/>
              <w:rPr>
                <w:sz w:val="14"/>
                <w:szCs w:val="14"/>
                <w:color w:val="auto"/>
              </w:rPr>
            </w:pPr>
          </w:p>
        </w:tc>
        <w:tc>
          <w:tcPr>
            <w:tcW w:w="3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60"/>
          </w:cols>
          <w:pgMar w:left="220" w:top="303" w:right="2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b w:val="1"/>
                <w:bCs w:val="1"/>
                <w:color w:val="auto"/>
              </w:rPr>
              <w:t>Liabilities and Stockholders' Equity</w:t>
            </w:r>
          </w:p>
        </w:tc>
        <w:tc>
          <w:tcPr>
            <w:tcW w:w="3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$ 35,901</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$ 32,867</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1,337</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11,181</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12,032</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6,426</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12,725</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4,996</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3,070</w:t>
            </w:r>
          </w:p>
        </w:tc>
      </w:tr>
      <w:tr>
        <w:trPr>
          <w:trHeight w:val="168"/>
        </w:trPr>
        <w:tc>
          <w:tcPr>
            <w:tcW w:w="4960" w:type="dxa"/>
            <w:vAlign w:val="bottom"/>
          </w:tcPr>
          <w:p>
            <w:pPr>
              <w:spacing w:after="0"/>
              <w:rPr>
                <w:sz w:val="14"/>
                <w:szCs w:val="14"/>
                <w:color w:val="auto"/>
              </w:rPr>
            </w:pPr>
          </w:p>
        </w:tc>
        <w:tc>
          <w:tcPr>
            <w:tcW w:w="3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59,841</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62,694</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3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13,157</w:t>
            </w: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13,423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loans</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75,579</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69,752</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pension and other</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13,586</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14,080</w:t>
            </w:r>
          </w:p>
        </w:tc>
      </w:tr>
      <w:tr>
        <w:trPr>
          <w:trHeight w:val="168"/>
        </w:trPr>
        <w:tc>
          <w:tcPr>
            <w:tcW w:w="4960" w:type="dxa"/>
            <w:vAlign w:val="bottom"/>
          </w:tcPr>
          <w:p>
            <w:pPr>
              <w:spacing w:after="0"/>
              <w:rPr>
                <w:sz w:val="14"/>
                <w:szCs w:val="14"/>
                <w:color w:val="auto"/>
              </w:rPr>
            </w:pPr>
          </w:p>
        </w:tc>
        <w:tc>
          <w:tcPr>
            <w:tcW w:w="3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162,163</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159,949</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105,862</w:t>
            </w: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106,468</w:t>
            </w:r>
          </w:p>
        </w:tc>
      </w:tr>
      <w:tr>
        <w:trPr>
          <w:trHeight w:val="168"/>
        </w:trPr>
        <w:tc>
          <w:tcPr>
            <w:tcW w:w="4960" w:type="dxa"/>
            <w:vAlign w:val="bottom"/>
          </w:tcPr>
          <w:p>
            <w:pPr>
              <w:spacing w:after="0"/>
              <w:rPr>
                <w:sz w:val="14"/>
                <w:szCs w:val="14"/>
                <w:color w:val="auto"/>
              </w:rPr>
            </w:pPr>
          </w:p>
        </w:tc>
        <w:tc>
          <w:tcPr>
            <w:tcW w:w="3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$268,025</w:t>
            </w: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$266,417</w:t>
            </w:r>
          </w:p>
        </w:tc>
      </w:tr>
      <w:tr>
        <w:trPr>
          <w:trHeight w:val="168"/>
        </w:trPr>
        <w:tc>
          <w:tcPr>
            <w:tcW w:w="4960" w:type="dxa"/>
            <w:vAlign w:val="bottom"/>
          </w:tcPr>
          <w:p>
            <w:pPr>
              <w:spacing w:after="0"/>
              <w:rPr>
                <w:sz w:val="14"/>
                <w:szCs w:val="14"/>
                <w:color w:val="auto"/>
              </w:rPr>
            </w:pPr>
          </w:p>
        </w:tc>
        <w:tc>
          <w:tcPr>
            <w:tcW w:w="3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b w:val="1"/>
          <w:bCs w:val="1"/>
          <w:color w:val="auto"/>
        </w:rPr>
        <w:t>NN, Inc.</w:t>
      </w:r>
    </w:p>
    <w:p>
      <w:pPr>
        <w:jc w:val="center"/>
        <w:ind w:right="4520"/>
        <w:spacing w:after="0" w:line="237" w:lineRule="auto"/>
        <w:rPr>
          <w:sz w:val="20"/>
          <w:szCs w:val="20"/>
          <w:color w:val="auto"/>
        </w:rPr>
      </w:pPr>
      <w:r>
        <w:rPr>
          <w:rFonts w:ascii="Courier New" w:cs="Courier New" w:eastAsia="Courier New" w:hAnsi="Courier New"/>
          <w:sz w:val="15"/>
          <w:szCs w:val="15"/>
          <w:b w:val="1"/>
          <w:bCs w:val="1"/>
          <w:color w:val="auto"/>
        </w:rPr>
        <w:t>Consolidated Statements of Changes in Stockholders' Equity</w:t>
      </w:r>
    </w:p>
    <w:p>
      <w:pPr>
        <w:jc w:val="center"/>
        <w:ind w:right="4440"/>
        <w:spacing w:after="0" w:line="238" w:lineRule="auto"/>
        <w:rPr>
          <w:sz w:val="20"/>
          <w:szCs w:val="20"/>
          <w:color w:val="auto"/>
        </w:rPr>
      </w:pPr>
      <w:r>
        <w:rPr>
          <w:rFonts w:ascii="Courier New" w:cs="Courier New" w:eastAsia="Courier New" w:hAnsi="Courier New"/>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20"/>
        <w:spacing w:after="0"/>
        <w:rPr>
          <w:sz w:val="20"/>
          <w:szCs w:val="20"/>
          <w:color w:val="auto"/>
        </w:rPr>
      </w:pPr>
      <w:r>
        <w:rPr>
          <w:rFonts w:ascii="Courier New" w:cs="Courier New" w:eastAsia="Courier New" w:hAnsi="Courier New"/>
          <w:sz w:val="15"/>
          <w:szCs w:val="15"/>
          <w:b w:val="1"/>
          <w:bCs w:val="1"/>
          <w:color w:val="auto"/>
        </w:rPr>
        <w:t>Accumulated</w:t>
      </w:r>
    </w:p>
    <w:p>
      <w:pPr>
        <w:ind w:left="4380"/>
        <w:spacing w:after="0"/>
        <w:tabs>
          <w:tab w:leader="none" w:pos="6200" w:val="left"/>
          <w:tab w:leader="none" w:pos="9260" w:val="left"/>
        </w:tabs>
        <w:rPr>
          <w:sz w:val="20"/>
          <w:szCs w:val="20"/>
          <w:color w:val="auto"/>
        </w:rPr>
      </w:pPr>
      <w:r>
        <w:rPr>
          <w:rFonts w:ascii="Courier New" w:cs="Courier New" w:eastAsia="Courier New" w:hAnsi="Courier New"/>
          <w:sz w:val="15"/>
          <w:szCs w:val="15"/>
          <w:b w:val="1"/>
          <w:bCs w:val="1"/>
          <w:color w:val="auto"/>
        </w:rPr>
        <w:t>Common Stock</w:t>
      </w:r>
      <w:r>
        <w:rPr>
          <w:sz w:val="20"/>
          <w:szCs w:val="20"/>
          <w:color w:val="auto"/>
        </w:rPr>
        <w:tab/>
      </w:r>
      <w:r>
        <w:rPr>
          <w:rFonts w:ascii="Courier New" w:cs="Courier New" w:eastAsia="Courier New" w:hAnsi="Courier New"/>
          <w:sz w:val="15"/>
          <w:szCs w:val="15"/>
          <w:b w:val="1"/>
          <w:bCs w:val="1"/>
          <w:color w:val="auto"/>
        </w:rPr>
        <w:t>Additional</w:t>
      </w:r>
      <w:r>
        <w:rPr>
          <w:sz w:val="20"/>
          <w:szCs w:val="20"/>
          <w:color w:val="auto"/>
        </w:rPr>
        <w:tab/>
      </w:r>
      <w:r>
        <w:rPr>
          <w:rFonts w:ascii="Courier New" w:cs="Courier New" w:eastAsia="Courier New" w:hAnsi="Courier New"/>
          <w:sz w:val="14"/>
          <w:szCs w:val="14"/>
          <w:b w:val="1"/>
          <w:bCs w:val="1"/>
          <w:color w:val="auto"/>
        </w:rPr>
        <w:t>Other</w:t>
      </w:r>
    </w:p>
    <w:p>
      <w:pPr>
        <w:ind w:left="3940"/>
        <w:spacing w:after="0"/>
        <w:tabs>
          <w:tab w:leader="none" w:pos="5420" w:val="left"/>
          <w:tab w:leader="none" w:pos="6280" w:val="left"/>
          <w:tab w:leader="none" w:pos="7600" w:val="left"/>
          <w:tab w:leader="none" w:pos="8920" w:val="left"/>
        </w:tabs>
        <w:rPr>
          <w:sz w:val="20"/>
          <w:szCs w:val="20"/>
          <w:color w:val="auto"/>
        </w:rPr>
      </w:pPr>
      <w:r>
        <w:rPr>
          <w:rFonts w:ascii="Courier New" w:cs="Courier New" w:eastAsia="Courier New" w:hAnsi="Courier New"/>
          <w:sz w:val="15"/>
          <w:szCs w:val="15"/>
          <w:b w:val="1"/>
          <w:bCs w:val="1"/>
          <w:color w:val="auto"/>
        </w:rPr>
        <w:t>Number Of</w:t>
      </w:r>
      <w:r>
        <w:rPr>
          <w:sz w:val="20"/>
          <w:szCs w:val="20"/>
          <w:color w:val="auto"/>
        </w:rPr>
        <w:tab/>
      </w:r>
      <w:r>
        <w:rPr>
          <w:rFonts w:ascii="Courier New" w:cs="Courier New" w:eastAsia="Courier New" w:hAnsi="Courier New"/>
          <w:sz w:val="15"/>
          <w:szCs w:val="15"/>
          <w:b w:val="1"/>
          <w:bCs w:val="1"/>
          <w:color w:val="auto"/>
        </w:rPr>
        <w:t>Par</w:t>
      </w:r>
      <w:r>
        <w:rPr>
          <w:sz w:val="20"/>
          <w:szCs w:val="20"/>
          <w:color w:val="auto"/>
        </w:rPr>
        <w:tab/>
      </w:r>
      <w:r>
        <w:rPr>
          <w:rFonts w:ascii="Courier New" w:cs="Courier New" w:eastAsia="Courier New" w:hAnsi="Courier New"/>
          <w:sz w:val="15"/>
          <w:szCs w:val="15"/>
          <w:b w:val="1"/>
          <w:bCs w:val="1"/>
          <w:color w:val="auto"/>
        </w:rPr>
        <w:t>paid in</w:t>
      </w:r>
      <w:r>
        <w:rPr>
          <w:sz w:val="20"/>
          <w:szCs w:val="20"/>
          <w:color w:val="auto"/>
        </w:rPr>
        <w:tab/>
      </w:r>
      <w:r>
        <w:rPr>
          <w:rFonts w:ascii="Courier New" w:cs="Courier New" w:eastAsia="Courier New" w:hAnsi="Courier New"/>
          <w:sz w:val="15"/>
          <w:szCs w:val="15"/>
          <w:b w:val="1"/>
          <w:bCs w:val="1"/>
          <w:color w:val="auto"/>
        </w:rPr>
        <w:t>Retained</w:t>
      </w:r>
      <w:r>
        <w:rPr>
          <w:sz w:val="20"/>
          <w:szCs w:val="20"/>
          <w:color w:val="auto"/>
        </w:rPr>
        <w:tab/>
      </w:r>
      <w:r>
        <w:rPr>
          <w:rFonts w:ascii="Courier New" w:cs="Courier New" w:eastAsia="Courier New" w:hAnsi="Courier New"/>
          <w:sz w:val="14"/>
          <w:szCs w:val="14"/>
          <w:b w:val="1"/>
          <w:bCs w:val="1"/>
          <w:color w:val="auto"/>
        </w:rPr>
        <w:t>Comprehensive</w:t>
      </w:r>
    </w:p>
    <w:p>
      <w:pPr>
        <w:spacing w:after="0"/>
        <w:tabs>
          <w:tab w:leader="none" w:pos="4020" w:val="left"/>
          <w:tab w:leader="none" w:pos="5320" w:val="left"/>
          <w:tab w:leader="none" w:pos="6280" w:val="left"/>
          <w:tab w:leader="none" w:pos="7600" w:val="left"/>
          <w:tab w:leader="none" w:pos="8920" w:val="left"/>
          <w:tab w:leader="none" w:pos="10660" w:val="left"/>
        </w:tabs>
        <w:rPr>
          <w:sz w:val="20"/>
          <w:szCs w:val="20"/>
          <w:color w:val="auto"/>
        </w:rPr>
      </w:pPr>
      <w:r>
        <w:rPr>
          <w:rFonts w:ascii="Courier New" w:cs="Courier New" w:eastAsia="Courier New" w:hAnsi="Courier New"/>
          <w:sz w:val="15"/>
          <w:szCs w:val="15"/>
          <w:b w:val="1"/>
          <w:bCs w:val="1"/>
          <w:color w:val="auto"/>
        </w:rPr>
        <w:t>Thousands of Dollars and Shares</w:t>
      </w:r>
      <w:r>
        <w:rPr>
          <w:sz w:val="20"/>
          <w:szCs w:val="20"/>
          <w:color w:val="auto"/>
        </w:rPr>
        <w:tab/>
      </w: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value</w:t>
      </w:r>
      <w:r>
        <w:rPr>
          <w:sz w:val="20"/>
          <w:szCs w:val="20"/>
          <w:color w:val="auto"/>
        </w:rPr>
        <w:tab/>
      </w:r>
      <w:r>
        <w:rPr>
          <w:rFonts w:ascii="Courier New" w:cs="Courier New" w:eastAsia="Courier New" w:hAnsi="Courier New"/>
          <w:sz w:val="15"/>
          <w:szCs w:val="15"/>
          <w:b w:val="1"/>
          <w:bCs w:val="1"/>
          <w:color w:val="auto"/>
        </w:rPr>
        <w:t>capital</w:t>
      </w:r>
      <w:r>
        <w:rPr>
          <w:sz w:val="20"/>
          <w:szCs w:val="20"/>
          <w:color w:val="auto"/>
        </w:rPr>
        <w:tab/>
      </w:r>
      <w:r>
        <w:rPr>
          <w:rFonts w:ascii="Courier New" w:cs="Courier New" w:eastAsia="Courier New" w:hAnsi="Courier New"/>
          <w:sz w:val="15"/>
          <w:szCs w:val="15"/>
          <w:b w:val="1"/>
          <w:bCs w:val="1"/>
          <w:color w:val="auto"/>
        </w:rPr>
        <w:t>Earnings</w:t>
      </w:r>
      <w:r>
        <w:rPr>
          <w:sz w:val="20"/>
          <w:szCs w:val="20"/>
          <w:color w:val="auto"/>
        </w:rPr>
        <w:tab/>
      </w:r>
      <w:r>
        <w:rPr>
          <w:rFonts w:ascii="Courier New" w:cs="Courier New" w:eastAsia="Courier New" w:hAnsi="Courier New"/>
          <w:sz w:val="15"/>
          <w:szCs w:val="15"/>
          <w:b w:val="1"/>
          <w:bCs w:val="1"/>
          <w:color w:val="auto"/>
        </w:rPr>
        <w:t>Income (Loss)</w:t>
      </w:r>
      <w:r>
        <w:rPr>
          <w:sz w:val="20"/>
          <w:szCs w:val="20"/>
          <w:color w:val="auto"/>
        </w:rPr>
        <w:tab/>
      </w:r>
      <w:r>
        <w:rPr>
          <w:rFonts w:ascii="Courier New" w:cs="Courier New" w:eastAsia="Courier New" w:hAnsi="Courier New"/>
          <w:sz w:val="14"/>
          <w:szCs w:val="14"/>
          <w:b w:val="1"/>
          <w:bCs w:val="1"/>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January 1, 2003</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15,370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$154</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$ 40,457</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$ 38,984</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(1,687)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$ 77,908</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issued</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3,643</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1,798</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March 31, 2003</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15,381</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$ 40,535</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$ 41,397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$ 82,198</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January 1, 2004</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16,712</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$ 52,960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$ 43,931</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$ 9,409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$106,468</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3,218</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(2,489)</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March 31, 2004</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16,712</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$ 52,962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$ 45,812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$ 105,862</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b w:val="1"/>
          <w:bCs w:val="1"/>
          <w:color w:val="auto"/>
        </w:rPr>
        <w:t>NN, Inc.</w:t>
      </w:r>
    </w:p>
    <w:p>
      <w:pPr>
        <w:jc w:val="center"/>
        <w:ind w:right="4440"/>
        <w:spacing w:after="0" w:line="237" w:lineRule="auto"/>
        <w:rPr>
          <w:sz w:val="20"/>
          <w:szCs w:val="20"/>
          <w:color w:val="auto"/>
        </w:rPr>
      </w:pPr>
      <w:r>
        <w:rPr>
          <w:rFonts w:ascii="Courier New" w:cs="Courier New" w:eastAsia="Courier New" w:hAnsi="Courier New"/>
          <w:sz w:val="15"/>
          <w:szCs w:val="15"/>
          <w:b w:val="1"/>
          <w:bCs w:val="1"/>
          <w:color w:val="auto"/>
        </w:rPr>
        <w:t>Consolidated Statements of Cash Flows</w:t>
      </w:r>
    </w:p>
    <w:p>
      <w:pPr>
        <w:jc w:val="center"/>
        <w:ind w:right="4440"/>
        <w:spacing w:after="0" w:line="238" w:lineRule="auto"/>
        <w:rPr>
          <w:sz w:val="20"/>
          <w:szCs w:val="20"/>
          <w:color w:val="auto"/>
        </w:rPr>
      </w:pPr>
      <w:r>
        <w:rPr>
          <w:rFonts w:ascii="Courier New" w:cs="Courier New" w:eastAsia="Courier New" w:hAnsi="Courier New"/>
          <w:sz w:val="15"/>
          <w:szCs w:val="15"/>
          <w:b w:val="1"/>
          <w:bCs w:val="1"/>
          <w:color w:val="auto"/>
        </w:rPr>
        <w:t>(Unaudited)</w:t>
      </w:r>
    </w:p>
    <w:p>
      <w:pPr>
        <w:spacing w:after="0" w:line="335"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b w:val="1"/>
          <w:bCs w:val="1"/>
          <w:color w:val="auto"/>
        </w:rPr>
        <w:t>Three Months Ended</w:t>
      </w:r>
    </w:p>
    <w:p>
      <w:pPr>
        <w:ind w:left="7960"/>
        <w:spacing w:after="0" w:line="237" w:lineRule="auto"/>
        <w:rPr>
          <w:sz w:val="20"/>
          <w:szCs w:val="20"/>
          <w:color w:val="auto"/>
        </w:rPr>
      </w:pPr>
      <w:r>
        <w:rPr>
          <w:rFonts w:ascii="Courier New" w:cs="Courier New" w:eastAsia="Courier New" w:hAnsi="Courier New"/>
          <w:sz w:val="15"/>
          <w:szCs w:val="15"/>
          <w:b w:val="1"/>
          <w:bCs w:val="1"/>
          <w:color w:val="auto"/>
        </w:rPr>
        <w:t>March 31,</w:t>
      </w:r>
    </w:p>
    <w:tbl>
      <w:tblPr>
        <w:tblLayout w:type="fixed"/>
        <w:tblInd w:w="0" w:type="dxa"/>
        <w:tblCellMar>
          <w:top w:w="0" w:type="dxa"/>
          <w:left w:w="0" w:type="dxa"/>
          <w:bottom w:w="0" w:type="dxa"/>
          <w:right w:w="0" w:type="dxa"/>
        </w:tblCellMar>
      </w:tblPr>
      <w:tr>
        <w:trPr>
          <w:trHeight w:val="169"/>
        </w:trPr>
        <w:tc>
          <w:tcPr>
            <w:tcW w:w="4640" w:type="dxa"/>
            <w:vAlign w:val="bottom"/>
          </w:tcPr>
          <w:p>
            <w:pPr>
              <w:spacing w:after="0" w:line="169" w:lineRule="exact"/>
              <w:rPr>
                <w:sz w:val="20"/>
                <w:szCs w:val="20"/>
                <w:color w:val="auto"/>
              </w:rPr>
            </w:pPr>
            <w:r>
              <w:rPr>
                <w:rFonts w:ascii="Courier New" w:cs="Courier New" w:eastAsia="Courier New" w:hAnsi="Courier New"/>
                <w:sz w:val="15"/>
                <w:szCs w:val="15"/>
                <w:b w:val="1"/>
                <w:bCs w:val="1"/>
                <w:color w:val="auto"/>
              </w:rPr>
              <w:t>Thousands of Dollars</w:t>
            </w:r>
          </w:p>
        </w:tc>
        <w:tc>
          <w:tcPr>
            <w:tcW w:w="376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b w:val="1"/>
                <w:bCs w:val="1"/>
                <w:color w:val="auto"/>
              </w:rPr>
              <w:t>2004</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b w:val="1"/>
                <w:bCs w:val="1"/>
                <w:color w:val="auto"/>
              </w:rPr>
              <w:t>2003</w:t>
            </w:r>
          </w:p>
        </w:tc>
      </w:tr>
    </w:tbl>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Operating Activities:</w:t>
      </w:r>
    </w:p>
    <w:tbl>
      <w:tblPr>
        <w:tblLayout w:type="fixed"/>
        <w:tblInd w:w="180" w:type="dxa"/>
        <w:tblCellMar>
          <w:top w:w="0" w:type="dxa"/>
          <w:left w:w="0" w:type="dxa"/>
          <w:bottom w:w="0" w:type="dxa"/>
          <w:right w:w="0" w:type="dxa"/>
        </w:tblCellMar>
      </w:tblPr>
      <w:tr>
        <w:trPr>
          <w:trHeight w:val="169"/>
        </w:trPr>
        <w:tc>
          <w:tcPr>
            <w:tcW w:w="68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$ 3,218</w:t>
            </w:r>
          </w:p>
        </w:tc>
        <w:tc>
          <w:tcPr>
            <w:tcW w:w="114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$ 3,643</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(used) by operating</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3,079</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debt issue costs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 in consolidated subsidiary</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(8,859)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(9,416)</w:t>
            </w: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(1,833)</w:t>
            </w: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w:t>
            </w: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(1,522)</w:t>
            </w: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3,014</w:t>
            </w: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688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cash provided (used) by operating activities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(2,812)</w:t>
            </w:r>
          </w:p>
        </w:tc>
      </w:tr>
      <w:tr>
        <w:trPr>
          <w:trHeight w:val="168"/>
        </w:trPr>
        <w:tc>
          <w:tcPr>
            <w:tcW w:w="688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b w:val="1"/>
                <w:bCs w:val="1"/>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b w:val="1"/>
                <w:bCs w:val="1"/>
                <w:color w:val="auto"/>
              </w:rPr>
              <w:t>-----------</w:t>
            </w:r>
          </w:p>
        </w:tc>
      </w:tr>
    </w:tbl>
    <w:p>
      <w:pPr>
        <w:sectPr>
          <w:pgSz w:w="11900" w:h="16838" w:orient="portrait"/>
          <w:cols w:equalWidth="0" w:num="1">
            <w:col w:w="11540"/>
          </w:cols>
          <w:pgMar w:left="220" w:top="135" w:right="1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b w:val="1"/>
                <w:bCs w:val="1"/>
                <w:color w:val="auto"/>
              </w:rPr>
              <w:t>Investing Activities: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(2,071)</w:t>
            </w:r>
          </w:p>
        </w:tc>
      </w:tr>
      <w:tr>
        <w:trPr>
          <w:trHeight w:val="168"/>
        </w:trPr>
        <w:tc>
          <w:tcPr>
            <w:tcW w:w="6260" w:type="dxa"/>
            <w:vAlign w:val="bottom"/>
          </w:tcPr>
          <w:p>
            <w:pPr>
              <w:spacing w:after="0"/>
              <w:rPr>
                <w:sz w:val="14"/>
                <w:szCs w:val="14"/>
                <w:color w:val="auto"/>
              </w:rPr>
            </w:pP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(2,071)</w:t>
            </w:r>
          </w:p>
        </w:tc>
      </w:tr>
      <w:tr>
        <w:trPr>
          <w:trHeight w:val="168"/>
        </w:trPr>
        <w:tc>
          <w:tcPr>
            <w:tcW w:w="6260" w:type="dxa"/>
            <w:vAlign w:val="bottom"/>
          </w:tcPr>
          <w:p>
            <w:pPr>
              <w:spacing w:after="0"/>
              <w:rPr>
                <w:sz w:val="14"/>
                <w:szCs w:val="14"/>
                <w:color w:val="auto"/>
              </w:rPr>
            </w:pP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b w:val="1"/>
                <w:bCs w:val="1"/>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b w:val="1"/>
                <w:bCs w:val="1"/>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b w:val="1"/>
                <w:bCs w:val="1"/>
                <w:color w:val="auto"/>
              </w:rPr>
              <w:t>Financing Activities: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short-term debt</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Book overdraft</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2,775</w:t>
            </w: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6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stock</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6260" w:type="dxa"/>
            <w:vAlign w:val="bottom"/>
          </w:tcPr>
          <w:p>
            <w:pPr>
              <w:spacing w:after="0"/>
              <w:rPr>
                <w:sz w:val="14"/>
                <w:szCs w:val="14"/>
                <w:color w:val="auto"/>
              </w:rPr>
            </w:pP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(used) by financing activities</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2,771</w:t>
            </w:r>
          </w:p>
        </w:tc>
      </w:tr>
      <w:tr>
        <w:trPr>
          <w:trHeight w:val="168"/>
        </w:trPr>
        <w:tc>
          <w:tcPr>
            <w:tcW w:w="6260" w:type="dxa"/>
            <w:vAlign w:val="bottom"/>
          </w:tcPr>
          <w:p>
            <w:pPr>
              <w:spacing w:after="0"/>
              <w:rPr>
                <w:sz w:val="14"/>
                <w:szCs w:val="14"/>
                <w:color w:val="auto"/>
              </w:rPr>
            </w:pP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2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b w:val="1"/>
                <w:bCs w:val="1"/>
                <w:color w:val="auto"/>
              </w:rPr>
              <w:t>Net Change in Cash and Cash Equivalents</w:t>
            </w:r>
          </w:p>
        </w:tc>
        <w:tc>
          <w:tcPr>
            <w:tcW w:w="2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2,165</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(1,916)</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b w:val="1"/>
                <w:bCs w:val="1"/>
                <w:color w:val="auto"/>
              </w:rPr>
              <w:t>Cash and Cash Equivalents at Beginning of Period</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5,144</w:t>
            </w:r>
          </w:p>
        </w:tc>
      </w:tr>
      <w:tr>
        <w:trPr>
          <w:trHeight w:val="168"/>
        </w:trPr>
        <w:tc>
          <w:tcPr>
            <w:tcW w:w="6260" w:type="dxa"/>
            <w:vAlign w:val="bottom"/>
          </w:tcPr>
          <w:p>
            <w:pPr>
              <w:spacing w:after="0"/>
              <w:rPr>
                <w:sz w:val="14"/>
                <w:szCs w:val="14"/>
                <w:color w:val="auto"/>
              </w:rPr>
            </w:pP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b w:val="1"/>
                <w:bCs w:val="1"/>
                <w:color w:val="auto"/>
              </w:rPr>
              <w:t>Cash and Cash Equivalents at End of Period</w:t>
            </w:r>
          </w:p>
        </w:tc>
        <w:tc>
          <w:tcPr>
            <w:tcW w:w="2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$ 7,143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$ 3,228</w:t>
            </w:r>
          </w:p>
        </w:tc>
      </w:tr>
      <w:tr>
        <w:trPr>
          <w:trHeight w:val="168"/>
        </w:trPr>
        <w:tc>
          <w:tcPr>
            <w:tcW w:w="6260" w:type="dxa"/>
            <w:vAlign w:val="bottom"/>
          </w:tcPr>
          <w:p>
            <w:pPr>
              <w:spacing w:after="0"/>
              <w:rPr>
                <w:sz w:val="14"/>
                <w:szCs w:val="14"/>
                <w:color w:val="auto"/>
              </w:rPr>
            </w:pP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b w:val="1"/>
          <w:bCs w:val="1"/>
          <w:color w:val="auto"/>
        </w:rPr>
        <w:t>NN, Inc.</w:t>
      </w:r>
    </w:p>
    <w:p>
      <w:pPr>
        <w:jc w:val="center"/>
        <w:ind w:right="3219"/>
        <w:spacing w:after="0" w:line="237" w:lineRule="auto"/>
        <w:rPr>
          <w:sz w:val="20"/>
          <w:szCs w:val="20"/>
          <w:color w:val="auto"/>
        </w:rPr>
      </w:pPr>
      <w:r>
        <w:rPr>
          <w:rFonts w:ascii="Courier New" w:cs="Courier New" w:eastAsia="Courier New" w:hAnsi="Courier New"/>
          <w:sz w:val="15"/>
          <w:szCs w:val="15"/>
          <w:b w:val="1"/>
          <w:bCs w:val="1"/>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b w:val="1"/>
          <w:bCs w:val="1"/>
          <w:color w:val="auto"/>
        </w:rPr>
        <w:t>(unaudited)</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1.</w:t>
      </w:r>
      <w:r>
        <w:rPr>
          <w:sz w:val="20"/>
          <w:szCs w:val="20"/>
          <w:color w:val="auto"/>
        </w:rPr>
        <w:tab/>
      </w:r>
      <w:r>
        <w:rPr>
          <w:rFonts w:ascii="Courier New" w:cs="Courier New" w:eastAsia="Courier New" w:hAnsi="Courier New"/>
          <w:sz w:val="14"/>
          <w:szCs w:val="14"/>
          <w:b w:val="1"/>
          <w:bCs w:val="1"/>
          <w:color w:val="auto"/>
        </w:rPr>
        <w:t>Interim Financial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of NN, Inc. (the "Company") have not been audited by independent accountants, except that the balance sheet at December 31, 2003 is derived from the Company's audited financial statements. In the opinion of the Company's management, the financial statements reflect all adjustments necessary to present fairly the results of operations for the three month periods ended March 31, 2004 and 2003, the Company's financial position at March 31, 2004 and December 31, 2003, and the cash flows for the three month period ended March 31, 2004 and 2003.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annual report on Form 10-K which we filed with the Securities and Exchange Commission on March 15, 2004.</w:t>
      </w:r>
    </w:p>
    <w:p>
      <w:pPr>
        <w:spacing w:after="0" w:line="177"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results for the first quarter of 2004 are not necessarily indicative of future results.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2.</w:t>
      </w:r>
      <w:r>
        <w:rPr>
          <w:sz w:val="20"/>
          <w:szCs w:val="20"/>
          <w:color w:val="auto"/>
        </w:rPr>
        <w:tab/>
      </w:r>
      <w:r>
        <w:rPr>
          <w:rFonts w:ascii="Courier New" w:cs="Courier New" w:eastAsia="Courier New" w:hAnsi="Courier New"/>
          <w:sz w:val="14"/>
          <w:szCs w:val="14"/>
          <w:b w:val="1"/>
          <w:bCs w:val="1"/>
          <w:color w:val="auto"/>
        </w:rPr>
        <w:t>Derivative Financial Instruments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a variable Euribor rate debt financing in July 2000, our subsidiary, NN Europe ApS (formerly known as NN Euroball ApS) entered into an interest rate swap with a notional amount of 12.5 million Euro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7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of March 31, 2004, the fair value of the swap was approximately $404,000, which is recorded in other non-current liabilities. The change in fair value during the three month periods ended March 31, 2004 and 2003 was a loss of approximately $8,000 and $104,000, respectively, which have been included as a component of other (income) expense.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729551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3.</w:t>
      </w:r>
      <w:r>
        <w:rPr>
          <w:sz w:val="20"/>
          <w:szCs w:val="20"/>
          <w:color w:val="auto"/>
        </w:rPr>
        <w:tab/>
      </w:r>
      <w:r>
        <w:rPr>
          <w:rFonts w:ascii="Courier New" w:cs="Courier New" w:eastAsia="Courier New" w:hAnsi="Courier New"/>
          <w:sz w:val="14"/>
          <w:szCs w:val="14"/>
          <w:b w:val="1"/>
          <w:bCs w:val="1"/>
          <w:color w:val="auto"/>
        </w:rPr>
        <w:t>Inventories</w:t>
      </w:r>
    </w:p>
    <w:p>
      <w:pPr>
        <w:sectPr>
          <w:pgSz w:w="11900" w:h="16838" w:orient="portrait"/>
          <w:cols w:equalWidth="0" w:num="1">
            <w:col w:w="10239"/>
          </w:cols>
          <w:pgMar w:left="220" w:top="135" w:right="1440" w:bottom="0" w:gutter="0" w:footer="0" w:header="0"/>
          <w:type w:val="continuous"/>
        </w:sectPr>
      </w:pPr>
    </w:p>
    <w:bookmarkStart w:id="4" w:name="page5"/>
    <w:bookmarkEnd w:id="4"/>
    <w:p>
      <w:pPr>
        <w:ind w:right="4280"/>
        <w:spacing w:after="0" w:line="234"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Inventories are comprised of the following (in thousands):</w:t>
            </w:r>
          </w:p>
        </w:tc>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6520" w:type="dxa"/>
            <w:vAlign w:val="bottom"/>
          </w:tcPr>
          <w:p>
            <w:pPr>
              <w:spacing w:after="0"/>
              <w:rPr>
                <w:sz w:val="24"/>
                <w:szCs w:val="24"/>
                <w:color w:val="auto"/>
              </w:rPr>
            </w:pP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b w:val="1"/>
                <w:bCs w:val="1"/>
                <w:color w:val="auto"/>
              </w:rPr>
              <w:t>March 31,</w:t>
            </w:r>
          </w:p>
        </w:tc>
        <w:tc>
          <w:tcPr>
            <w:tcW w:w="1920" w:type="dxa"/>
            <w:vAlign w:val="bottom"/>
          </w:tcPr>
          <w:p>
            <w:pPr>
              <w:ind w:left="260"/>
              <w:spacing w:after="0"/>
              <w:rPr>
                <w:sz w:val="20"/>
                <w:szCs w:val="20"/>
                <w:color w:val="auto"/>
              </w:rPr>
            </w:pPr>
            <w:r>
              <w:rPr>
                <w:rFonts w:ascii="Courier New" w:cs="Courier New" w:eastAsia="Courier New" w:hAnsi="Courier New"/>
                <w:sz w:val="15"/>
                <w:szCs w:val="15"/>
                <w:b w:val="1"/>
                <w:bCs w:val="1"/>
                <w:color w:val="auto"/>
              </w:rPr>
              <w:t>December. 31,</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b w:val="1"/>
                <w:bCs w:val="1"/>
                <w:color w:val="auto"/>
              </w:rPr>
              <w:t>2004</w:t>
            </w: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b w:val="1"/>
                <w:bCs w:val="1"/>
                <w:color w:val="auto"/>
              </w:rPr>
              <w:t>2003</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7,808</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8,492</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6,772</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19,883</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22,128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inventory reserves</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(1,141)</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$ 33,322</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$ 36,278</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w w:val="98"/>
              </w:rPr>
              <w:t>Inventories on consignment at customer locations as of March 31, 2004 and</w:t>
            </w:r>
          </w:p>
        </w:tc>
        <w:tc>
          <w:tcPr>
            <w:tcW w:w="20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2003 were $2,509 and $3,046, respectively.</w:t>
            </w:r>
          </w:p>
        </w:tc>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b w:val="1"/>
                <w:bCs w:val="1"/>
                <w:color w:val="auto"/>
              </w:rPr>
              <w:t>Note 4.  Net Income Per Share</w:t>
            </w:r>
          </w:p>
        </w:tc>
        <w:tc>
          <w:tcPr>
            <w:tcW w:w="20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520" w:type="dxa"/>
            <w:vAlign w:val="bottom"/>
          </w:tcPr>
          <w:p>
            <w:pPr>
              <w:spacing w:after="0"/>
              <w:rPr>
                <w:sz w:val="14"/>
                <w:szCs w:val="14"/>
                <w:color w:val="auto"/>
              </w:rPr>
            </w:pPr>
          </w:p>
        </w:tc>
        <w:tc>
          <w:tcPr>
            <w:tcW w:w="3980" w:type="dxa"/>
            <w:vAlign w:val="bottom"/>
            <w:gridSpan w:val="2"/>
          </w:tcPr>
          <w:p>
            <w:pPr>
              <w:jc w:val="right"/>
              <w:ind w:right="1227"/>
              <w:spacing w:after="0" w:line="168" w:lineRule="exact"/>
              <w:rPr>
                <w:sz w:val="20"/>
                <w:szCs w:val="20"/>
                <w:color w:val="auto"/>
              </w:rPr>
            </w:pPr>
            <w:r>
              <w:rPr>
                <w:rFonts w:ascii="Courier New" w:cs="Courier New" w:eastAsia="Courier New" w:hAnsi="Courier New"/>
                <w:sz w:val="15"/>
                <w:szCs w:val="15"/>
                <w:b w:val="1"/>
                <w:bCs w:val="1"/>
                <w:color w:val="auto"/>
              </w:rPr>
              <w:t>Three Months Ended</w:t>
            </w:r>
          </w:p>
        </w:tc>
      </w:tr>
      <w:tr>
        <w:trPr>
          <w:trHeight w:val="168"/>
        </w:trPr>
        <w:tc>
          <w:tcPr>
            <w:tcW w:w="6520" w:type="dxa"/>
            <w:vAlign w:val="bottom"/>
          </w:tcPr>
          <w:p>
            <w:pPr>
              <w:spacing w:after="0"/>
              <w:rPr>
                <w:sz w:val="14"/>
                <w:szCs w:val="14"/>
                <w:color w:val="auto"/>
              </w:rPr>
            </w:pPr>
          </w:p>
        </w:tc>
        <w:tc>
          <w:tcPr>
            <w:tcW w:w="3980" w:type="dxa"/>
            <w:vAlign w:val="bottom"/>
            <w:gridSpan w:val="2"/>
          </w:tcPr>
          <w:p>
            <w:pPr>
              <w:jc w:val="right"/>
              <w:ind w:right="1587"/>
              <w:spacing w:after="0" w:line="168" w:lineRule="exact"/>
              <w:rPr>
                <w:sz w:val="20"/>
                <w:szCs w:val="20"/>
                <w:color w:val="auto"/>
              </w:rPr>
            </w:pPr>
            <w:r>
              <w:rPr>
                <w:rFonts w:ascii="Courier New" w:cs="Courier New" w:eastAsia="Courier New" w:hAnsi="Courier New"/>
                <w:sz w:val="15"/>
                <w:szCs w:val="15"/>
                <w:b w:val="1"/>
                <w:bCs w:val="1"/>
                <w:color w:val="auto"/>
              </w:rPr>
              <w:t>March 31,</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b w:val="1"/>
                <w:bCs w:val="1"/>
                <w:color w:val="auto"/>
              </w:rPr>
              <w:t>Thousands of Dollars, Except Share and Per Share Data</w:t>
            </w:r>
          </w:p>
        </w:tc>
        <w:tc>
          <w:tcPr>
            <w:tcW w:w="20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b w:val="1"/>
                <w:bCs w:val="1"/>
                <w:color w:val="auto"/>
              </w:rPr>
              <w:t>2004</w:t>
            </w: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b w:val="1"/>
                <w:bCs w:val="1"/>
                <w:color w:val="auto"/>
              </w:rPr>
              <w:t>2003</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$3,218</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$3,643</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520" w:type="dxa"/>
            <w:vAlign w:val="bottom"/>
          </w:tcPr>
          <w:p>
            <w:pPr>
              <w:spacing w:after="0"/>
              <w:rPr>
                <w:sz w:val="20"/>
                <w:szCs w:val="20"/>
                <w:color w:val="auto"/>
              </w:rPr>
            </w:pPr>
            <w:r>
              <w:rPr>
                <w:rFonts w:ascii="Courier New" w:cs="Courier New" w:eastAsia="Courier New" w:hAnsi="Courier New"/>
                <w:sz w:val="15"/>
                <w:szCs w:val="15"/>
                <w:color w:val="auto"/>
              </w:rPr>
              <w:t>Weighted average basic shares</w:t>
            </w:r>
          </w:p>
        </w:tc>
        <w:tc>
          <w:tcPr>
            <w:tcW w:w="2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16,711,651</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15,378,313</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stock options</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477,099</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195,881</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dilutive shares outstanding</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17,188,750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15,574,194</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$0.19</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$0.24</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$0.19</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652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280"/>
        <w:spacing w:after="0" w:line="235" w:lineRule="auto"/>
        <w:rPr>
          <w:sz w:val="20"/>
          <w:szCs w:val="20"/>
          <w:color w:val="auto"/>
        </w:rPr>
      </w:pPr>
      <w:r>
        <w:rPr>
          <w:rFonts w:ascii="Courier New" w:cs="Courier New" w:eastAsia="Courier New" w:hAnsi="Courier New"/>
          <w:sz w:val="15"/>
          <w:szCs w:val="15"/>
          <w:color w:val="auto"/>
        </w:rPr>
        <w:t>Excluded from the shares outstanding for each of the periods ended March 31, 2004 and 2003 were 438,000 and 39,800 antidilutive options, respectively, which had exercise prices of $12.62 as of March 31, 2004 and exercise prices ranging from $9.75 to $10.26 as of March 31, 2003.</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5.</w:t>
      </w:r>
      <w:r>
        <w:rPr>
          <w:sz w:val="20"/>
          <w:szCs w:val="20"/>
          <w:color w:val="auto"/>
        </w:rPr>
        <w:tab/>
      </w:r>
      <w:r>
        <w:rPr>
          <w:rFonts w:ascii="Courier New" w:cs="Courier New" w:eastAsia="Courier New" w:hAnsi="Courier New"/>
          <w:sz w:val="14"/>
          <w:szCs w:val="14"/>
          <w:b w:val="1"/>
          <w:bCs w:val="1"/>
          <w:color w:val="auto"/>
        </w:rPr>
        <w:t>Segment Information</w:t>
      </w:r>
    </w:p>
    <w:p>
      <w:pPr>
        <w:spacing w:after="0" w:line="173" w:lineRule="exact"/>
        <w:rPr>
          <w:sz w:val="20"/>
          <w:szCs w:val="20"/>
          <w:color w:val="auto"/>
        </w:rPr>
      </w:pPr>
    </w:p>
    <w:p>
      <w:pPr>
        <w:ind w:right="4200"/>
        <w:spacing w:after="0" w:line="254" w:lineRule="auto"/>
        <w:rPr>
          <w:sz w:val="20"/>
          <w:szCs w:val="20"/>
          <w:color w:val="auto"/>
        </w:rPr>
      </w:pPr>
      <w:r>
        <w:rPr>
          <w:rFonts w:ascii="Courier New" w:cs="Courier New" w:eastAsia="Courier New" w:hAnsi="Courier New"/>
          <w:sz w:val="14"/>
          <w:szCs w:val="14"/>
          <w:color w:val="auto"/>
        </w:rPr>
        <w:t>During 2004 and 2003,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manufacturing facilities located in Kilkenny, Ireland, Eltmann, Germany, Pinerolo, Italy, Veenendaal, The Netherlands ("Veenendaal") which is a tapered roller and metal cage manufacturing operation acquired in May 2003 and Kysucke Nove Mesto, Slovakia, which is expected to begin production in the second quarter of 2004. See Note 6, "Acquisitions and Joint Ventures".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fiber optic and office automation markets. Delta is engaged principally in the production of engineered bearing seals used principally in automotive, industrial, agricultural, mining and aerospace applications.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5"/>
          <w:szCs w:val="15"/>
          <w:color w:val="auto"/>
        </w:rPr>
        <w:t>The accounting policies of each segment are the same as those described in the summary of significant accounting policies in the Company's Annual Report on Form 10-K for the fiscal year ended December 31, 2003, including those policies as discussed in Note 1. We evaluate segment performance based on profit or loss from operations before income taxes and minority interest. We account for inter-segment sales and transfers at current market prices; however, we did not have any material inter-segment transactions during the three month periods ended March 31, 2004 or 2003.</w:t>
      </w:r>
    </w:p>
    <w:p>
      <w:pPr>
        <w:spacing w:after="0" w:line="171"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b w:val="1"/>
          <w:bCs w:val="1"/>
          <w:color w:val="auto"/>
        </w:rPr>
        <w:t>Three Months Ended March 31,</w:t>
      </w:r>
    </w:p>
    <w:p>
      <w:pPr>
        <w:sectPr>
          <w:pgSz w:w="11900" w:h="16838" w:orient="portrait"/>
          <w:cols w:equalWidth="0" w:num="1">
            <w:col w:w="11200"/>
          </w:cols>
          <w:pgMar w:left="220" w:top="310" w:right="479" w:bottom="0" w:gutter="0" w:footer="0" w:header="0"/>
        </w:sectPr>
      </w:pPr>
    </w:p>
    <w:p>
      <w:pPr>
        <w:ind w:left="4640"/>
        <w:spacing w:after="0" w:line="237" w:lineRule="auto"/>
        <w:rPr>
          <w:sz w:val="20"/>
          <w:szCs w:val="20"/>
          <w:color w:val="auto"/>
        </w:rPr>
      </w:pPr>
      <w:r>
        <w:rPr>
          <w:rFonts w:ascii="Courier New" w:cs="Courier New" w:eastAsia="Courier New" w:hAnsi="Courier New"/>
          <w:sz w:val="15"/>
          <w:szCs w:val="15"/>
          <w:b w:val="1"/>
          <w:bCs w:val="1"/>
          <w:color w:val="auto"/>
        </w:rPr>
        <w:t>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b w:val="1"/>
          <w:bCs w:val="1"/>
          <w:color w:val="auto"/>
        </w:rPr>
        <w:t>2003</w:t>
      </w:r>
    </w:p>
    <w:p>
      <w:pPr>
        <w:spacing w:after="0" w:line="5" w:lineRule="exact"/>
        <w:rPr>
          <w:sz w:val="20"/>
          <w:szCs w:val="20"/>
          <w:color w:val="auto"/>
        </w:rPr>
      </w:pPr>
    </w:p>
    <w:p>
      <w:pPr>
        <w:sectPr>
          <w:pgSz w:w="11900" w:h="16838" w:orient="portrait"/>
          <w:cols w:equalWidth="0" w:num="2">
            <w:col w:w="8040" w:space="720"/>
            <w:col w:w="2440"/>
          </w:cols>
          <w:pgMar w:left="220" w:top="310" w:right="479" w:bottom="0" w:gutter="0" w:footer="0" w:header="0"/>
          <w:type w:val="continuous"/>
        </w:sectPr>
      </w:pPr>
    </w:p>
    <w:p>
      <w:pPr>
        <w:ind w:left="3160"/>
        <w:spacing w:after="0"/>
        <w:tabs>
          <w:tab w:leader="none" w:pos="5840" w:val="left"/>
          <w:tab w:leader="none" w:pos="7340" w:val="left"/>
          <w:tab w:leader="none" w:pos="9960" w:val="left"/>
        </w:tabs>
        <w:rPr>
          <w:sz w:val="20"/>
          <w:szCs w:val="20"/>
          <w:color w:val="auto"/>
        </w:rPr>
      </w:pPr>
      <w:r>
        <w:rPr>
          <w:rFonts w:ascii="Courier New" w:cs="Courier New" w:eastAsia="Courier New" w:hAnsi="Courier New"/>
          <w:sz w:val="15"/>
          <w:szCs w:val="15"/>
          <w:b w:val="1"/>
          <w:bCs w:val="1"/>
          <w:color w:val="auto"/>
        </w:rPr>
        <w:t>Domestic</w:t>
      </w:r>
      <w:r>
        <w:rPr>
          <w:sz w:val="20"/>
          <w:szCs w:val="20"/>
          <w:color w:val="auto"/>
        </w:rPr>
        <w:tab/>
      </w:r>
      <w:r>
        <w:rPr>
          <w:rFonts w:ascii="Courier New" w:cs="Courier New" w:eastAsia="Courier New" w:hAnsi="Courier New"/>
          <w:sz w:val="15"/>
          <w:szCs w:val="15"/>
          <w:b w:val="1"/>
          <w:bCs w:val="1"/>
          <w:color w:val="auto"/>
        </w:rPr>
        <w:t>Plastic and</w:t>
      </w:r>
      <w:r>
        <w:rPr>
          <w:sz w:val="20"/>
          <w:szCs w:val="20"/>
          <w:color w:val="auto"/>
        </w:rPr>
        <w:tab/>
      </w:r>
      <w:r>
        <w:rPr>
          <w:rFonts w:ascii="Courier New" w:cs="Courier New" w:eastAsia="Courier New" w:hAnsi="Courier New"/>
          <w:sz w:val="15"/>
          <w:szCs w:val="15"/>
          <w:b w:val="1"/>
          <w:bCs w:val="1"/>
          <w:color w:val="auto"/>
        </w:rPr>
        <w:t>Domestic</w:t>
      </w:r>
      <w:r>
        <w:rPr>
          <w:sz w:val="20"/>
          <w:szCs w:val="20"/>
          <w:color w:val="auto"/>
        </w:rPr>
        <w:tab/>
      </w:r>
      <w:r>
        <w:rPr>
          <w:rFonts w:ascii="Courier New" w:cs="Courier New" w:eastAsia="Courier New" w:hAnsi="Courier New"/>
          <w:sz w:val="14"/>
          <w:szCs w:val="14"/>
          <w:b w:val="1"/>
          <w:bCs w:val="1"/>
          <w:color w:val="auto"/>
        </w:rPr>
        <w:t>Plastic and</w:t>
      </w:r>
    </w:p>
    <w:p>
      <w:pPr>
        <w:ind w:left="3240"/>
        <w:spacing w:after="0"/>
        <w:tabs>
          <w:tab w:leader="none" w:pos="4620" w:val="left"/>
          <w:tab w:leader="none" w:pos="6120" w:val="left"/>
          <w:tab w:leader="none" w:pos="7420" w:val="left"/>
          <w:tab w:leader="none" w:pos="8560" w:val="left"/>
          <w:tab w:leader="none" w:pos="10140" w:val="left"/>
        </w:tabs>
        <w:rPr>
          <w:sz w:val="20"/>
          <w:szCs w:val="20"/>
          <w:color w:val="auto"/>
        </w:rPr>
      </w:pPr>
      <w:r>
        <w:rPr>
          <w:rFonts w:ascii="Courier New" w:cs="Courier New" w:eastAsia="Courier New" w:hAnsi="Courier New"/>
          <w:sz w:val="15"/>
          <w:szCs w:val="15"/>
          <w:b w:val="1"/>
          <w:bCs w:val="1"/>
          <w:color w:val="auto"/>
        </w:rPr>
        <w:t>Ball &amp;</w:t>
      </w:r>
      <w:r>
        <w:rPr>
          <w:sz w:val="20"/>
          <w:szCs w:val="20"/>
          <w:color w:val="auto"/>
        </w:rPr>
        <w:tab/>
      </w:r>
      <w:r>
        <w:rPr>
          <w:rFonts w:ascii="Courier New" w:cs="Courier New" w:eastAsia="Courier New" w:hAnsi="Courier New"/>
          <w:sz w:val="15"/>
          <w:szCs w:val="15"/>
          <w:b w:val="1"/>
          <w:bCs w:val="1"/>
          <w:color w:val="auto"/>
        </w:rPr>
        <w:t>NN Europe</w:t>
      </w:r>
      <w:r>
        <w:rPr>
          <w:sz w:val="20"/>
          <w:szCs w:val="20"/>
          <w:color w:val="auto"/>
        </w:rPr>
        <w:tab/>
      </w:r>
      <w:r>
        <w:rPr>
          <w:rFonts w:ascii="Courier New" w:cs="Courier New" w:eastAsia="Courier New" w:hAnsi="Courier New"/>
          <w:sz w:val="15"/>
          <w:szCs w:val="15"/>
          <w:b w:val="1"/>
          <w:bCs w:val="1"/>
          <w:color w:val="auto"/>
        </w:rPr>
        <w:t>Rubber</w:t>
      </w:r>
      <w:r>
        <w:rPr>
          <w:sz w:val="20"/>
          <w:szCs w:val="20"/>
          <w:color w:val="auto"/>
        </w:rPr>
        <w:tab/>
      </w:r>
      <w:r>
        <w:rPr>
          <w:rFonts w:ascii="Courier New" w:cs="Courier New" w:eastAsia="Courier New" w:hAnsi="Courier New"/>
          <w:sz w:val="15"/>
          <w:szCs w:val="15"/>
          <w:b w:val="1"/>
          <w:bCs w:val="1"/>
          <w:color w:val="auto"/>
        </w:rPr>
        <w:t>Ball &amp;</w:t>
      </w:r>
      <w:r>
        <w:rPr>
          <w:sz w:val="20"/>
          <w:szCs w:val="20"/>
          <w:color w:val="auto"/>
        </w:rPr>
        <w:tab/>
      </w:r>
      <w:r>
        <w:rPr>
          <w:rFonts w:ascii="Courier New" w:cs="Courier New" w:eastAsia="Courier New" w:hAnsi="Courier New"/>
          <w:sz w:val="15"/>
          <w:szCs w:val="15"/>
          <w:b w:val="1"/>
          <w:bCs w:val="1"/>
          <w:color w:val="auto"/>
        </w:rPr>
        <w:t>NN Europe</w:t>
      </w:r>
      <w:r>
        <w:rPr>
          <w:sz w:val="20"/>
          <w:szCs w:val="20"/>
          <w:color w:val="auto"/>
        </w:rPr>
        <w:tab/>
      </w:r>
      <w:r>
        <w:rPr>
          <w:rFonts w:ascii="Courier New" w:cs="Courier New" w:eastAsia="Courier New" w:hAnsi="Courier New"/>
          <w:sz w:val="14"/>
          <w:szCs w:val="14"/>
          <w:b w:val="1"/>
          <w:bCs w:val="1"/>
          <w:color w:val="auto"/>
        </w:rPr>
        <w:t>Rubber</w:t>
      </w:r>
    </w:p>
    <w:p>
      <w:pPr>
        <w:spacing w:after="0"/>
        <w:tabs>
          <w:tab w:leader="none" w:pos="3220" w:val="left"/>
          <w:tab w:leader="none" w:pos="4620" w:val="left"/>
          <w:tab w:leader="none" w:pos="5840" w:val="left"/>
          <w:tab w:leader="none" w:pos="7420" w:val="left"/>
          <w:tab w:leader="none" w:pos="8640" w:val="left"/>
          <w:tab w:leader="none" w:pos="9960" w:val="left"/>
        </w:tabs>
        <w:rPr>
          <w:sz w:val="20"/>
          <w:szCs w:val="20"/>
          <w:color w:val="auto"/>
        </w:rPr>
      </w:pPr>
      <w:r>
        <w:rPr>
          <w:rFonts w:ascii="Courier New" w:cs="Courier New" w:eastAsia="Courier New" w:hAnsi="Courier New"/>
          <w:sz w:val="15"/>
          <w:szCs w:val="15"/>
          <w:b w:val="1"/>
          <w:bCs w:val="1"/>
          <w:color w:val="auto"/>
        </w:rPr>
        <w:t>Thousands of Dollars</w:t>
      </w:r>
      <w:r>
        <w:rPr>
          <w:sz w:val="20"/>
          <w:szCs w:val="20"/>
          <w:color w:val="auto"/>
        </w:rPr>
        <w:tab/>
      </w:r>
      <w:r>
        <w:rPr>
          <w:rFonts w:ascii="Courier New" w:cs="Courier New" w:eastAsia="Courier New" w:hAnsi="Courier New"/>
          <w:sz w:val="15"/>
          <w:szCs w:val="15"/>
          <w:b w:val="1"/>
          <w:bCs w:val="1"/>
          <w:color w:val="auto"/>
        </w:rPr>
        <w:t>Roller</w:t>
      </w:r>
      <w:r>
        <w:rPr>
          <w:sz w:val="20"/>
          <w:szCs w:val="20"/>
          <w:color w:val="auto"/>
        </w:rPr>
        <w:tab/>
      </w:r>
      <w:r>
        <w:rPr>
          <w:rFonts w:ascii="Courier New" w:cs="Courier New" w:eastAsia="Courier New" w:hAnsi="Courier New"/>
          <w:sz w:val="15"/>
          <w:szCs w:val="15"/>
          <w:b w:val="1"/>
          <w:bCs w:val="1"/>
          <w:color w:val="auto"/>
        </w:rPr>
        <w:t>Segment</w:t>
      </w:r>
      <w:r>
        <w:rPr>
          <w:sz w:val="20"/>
          <w:szCs w:val="20"/>
          <w:color w:val="auto"/>
        </w:rPr>
        <w:tab/>
      </w:r>
      <w:r>
        <w:rPr>
          <w:rFonts w:ascii="Courier New" w:cs="Courier New" w:eastAsia="Courier New" w:hAnsi="Courier New"/>
          <w:sz w:val="15"/>
          <w:szCs w:val="15"/>
          <w:b w:val="1"/>
          <w:bCs w:val="1"/>
          <w:color w:val="auto"/>
        </w:rPr>
        <w:t>Components</w:t>
      </w:r>
      <w:r>
        <w:rPr>
          <w:sz w:val="20"/>
          <w:szCs w:val="20"/>
          <w:color w:val="auto"/>
        </w:rPr>
        <w:tab/>
      </w:r>
      <w:r>
        <w:rPr>
          <w:rFonts w:ascii="Courier New" w:cs="Courier New" w:eastAsia="Courier New" w:hAnsi="Courier New"/>
          <w:sz w:val="15"/>
          <w:szCs w:val="15"/>
          <w:b w:val="1"/>
          <w:bCs w:val="1"/>
          <w:color w:val="auto"/>
        </w:rPr>
        <w:t>Roller</w:t>
      </w:r>
      <w:r>
        <w:rPr>
          <w:sz w:val="20"/>
          <w:szCs w:val="20"/>
          <w:color w:val="auto"/>
        </w:rPr>
        <w:tab/>
      </w:r>
      <w:r>
        <w:rPr>
          <w:rFonts w:ascii="Courier New" w:cs="Courier New" w:eastAsia="Courier New" w:hAnsi="Courier New"/>
          <w:sz w:val="15"/>
          <w:szCs w:val="15"/>
          <w:b w:val="1"/>
          <w:bCs w:val="1"/>
          <w:color w:val="auto"/>
        </w:rPr>
        <w:t>Segment</w:t>
      </w:r>
      <w:r>
        <w:rPr>
          <w:sz w:val="20"/>
          <w:szCs w:val="20"/>
          <w:color w:val="auto"/>
        </w:rPr>
        <w:tab/>
      </w:r>
      <w:r>
        <w:rPr>
          <w:rFonts w:ascii="Courier New" w:cs="Courier New" w:eastAsia="Courier New" w:hAnsi="Courier New"/>
          <w:sz w:val="14"/>
          <w:szCs w:val="14"/>
          <w:b w:val="1"/>
          <w:bCs w:val="1"/>
          <w:color w:val="auto"/>
        </w:rPr>
        <w:t>Components</w:t>
      </w:r>
    </w:p>
    <w:p>
      <w:pPr>
        <w:sectPr>
          <w:pgSz w:w="11900" w:h="16838" w:orient="portrait"/>
          <w:cols w:equalWidth="0" w:num="1">
            <w:col w:w="11200"/>
          </w:cols>
          <w:pgMar w:left="220" w:top="310" w:right="479" w:bottom="0" w:gutter="0" w:footer="0" w:header="0"/>
          <w:type w:val="continuous"/>
        </w:sectPr>
      </w:pPr>
    </w:p>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 ------------ ---------------- ---------------- ------------- --------------- ----------------</w:t>
      </w:r>
    </w:p>
    <w:p>
      <w:pPr>
        <w:spacing w:after="0" w:line="4" w:lineRule="exact"/>
        <w:rPr>
          <w:rFonts w:ascii="Courier New" w:cs="Courier New" w:eastAsia="Courier New" w:hAnsi="Courier New"/>
          <w:sz w:val="14"/>
          <w:szCs w:val="14"/>
          <w:b w:val="1"/>
          <w:bCs w:val="1"/>
          <w:color w:val="auto"/>
        </w:rPr>
      </w:pPr>
    </w:p>
    <w:p>
      <w:pPr>
        <w:spacing w:after="0" w:line="237" w:lineRule="auto"/>
        <w:rPr>
          <w:rFonts w:ascii="Courier New" w:cs="Courier New" w:eastAsia="Courier New" w:hAnsi="Courier New"/>
          <w:sz w:val="14"/>
          <w:szCs w:val="14"/>
          <w:b w:val="1"/>
          <w:bCs w:val="1"/>
          <w:color w:val="auto"/>
        </w:rPr>
      </w:pPr>
      <w:r>
        <w:rPr>
          <w:rFonts w:ascii="Courier New" w:cs="Courier New" w:eastAsia="Courier New" w:hAnsi="Courier New"/>
          <w:sz w:val="15"/>
          <w:szCs w:val="15"/>
          <w:color w:val="auto"/>
        </w:rPr>
        <w:t>Revenues from external</w:t>
      </w:r>
    </w:p>
    <w:tbl>
      <w:tblPr>
        <w:tblLayout w:type="fixed"/>
        <w:tblInd w:w="0" w:type="dxa"/>
        <w:tblCellMar>
          <w:top w:w="0" w:type="dxa"/>
          <w:left w:w="0" w:type="dxa"/>
          <w:bottom w:w="0" w:type="dxa"/>
          <w:right w:w="0" w:type="dxa"/>
        </w:tblCellMar>
      </w:tblPr>
      <w:tr>
        <w:trPr>
          <w:trHeight w:val="169"/>
        </w:trPr>
        <w:tc>
          <w:tcPr>
            <w:tcW w:w="2500" w:type="dxa"/>
            <w:vAlign w:val="bottom"/>
          </w:tcPr>
          <w:p>
            <w:pPr>
              <w:spacing w:after="0" w:line="169" w:lineRule="exact"/>
              <w:rPr>
                <w:sz w:val="20"/>
                <w:szCs w:val="20"/>
                <w:color w:val="auto"/>
              </w:rPr>
            </w:pPr>
            <w:r>
              <w:rPr>
                <w:rFonts w:ascii="Courier New" w:cs="Courier New" w:eastAsia="Courier New" w:hAnsi="Courier New"/>
                <w:sz w:val="15"/>
                <w:szCs w:val="15"/>
                <w:color w:val="auto"/>
              </w:rPr>
              <w:t>customers</w:t>
            </w:r>
          </w:p>
        </w:tc>
        <w:tc>
          <w:tcPr>
            <w:tcW w:w="17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$ 14,427</w:t>
            </w:r>
          </w:p>
        </w:tc>
        <w:tc>
          <w:tcPr>
            <w:tcW w:w="148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$ 50,055</w:t>
            </w:r>
          </w:p>
        </w:tc>
        <w:tc>
          <w:tcPr>
            <w:tcW w:w="13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$ 13,150</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$ 14,249</w:t>
            </w:r>
          </w:p>
        </w:tc>
        <w:tc>
          <w:tcPr>
            <w:tcW w:w="144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$ 28,835</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$ 14,525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pretax profit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767</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3,790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3,729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50,033</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160,321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57,671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61,435</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87,721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59,980</w:t>
            </w:r>
          </w:p>
        </w:tc>
      </w:tr>
    </w:tbl>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6.</w:t>
      </w:r>
      <w:r>
        <w:rPr>
          <w:sz w:val="20"/>
          <w:szCs w:val="20"/>
          <w:color w:val="auto"/>
        </w:rPr>
        <w:tab/>
      </w:r>
      <w:r>
        <w:rPr>
          <w:rFonts w:ascii="Courier New" w:cs="Courier New" w:eastAsia="Courier New" w:hAnsi="Courier New"/>
          <w:sz w:val="14"/>
          <w:szCs w:val="14"/>
          <w:b w:val="1"/>
          <w:bCs w:val="1"/>
          <w:color w:val="auto"/>
        </w:rPr>
        <w:t>Acquisitions and Joint Ventures</w:t>
      </w:r>
    </w:p>
    <w:p>
      <w:pPr>
        <w:sectPr>
          <w:pgSz w:w="11900" w:h="16838" w:orient="portrait"/>
          <w:cols w:equalWidth="0" w:num="1">
            <w:col w:w="11200"/>
          </w:cols>
          <w:pgMar w:left="220" w:top="310" w:right="479" w:bottom="0" w:gutter="0" w:footer="0" w:header="0"/>
          <w:type w:val="continuous"/>
        </w:sectPr>
      </w:pPr>
    </w:p>
    <w:bookmarkStart w:id="5" w:name="page6"/>
    <w:bookmarkEnd w:id="5"/>
    <w:p>
      <w:pPr>
        <w:ind w:right="3239"/>
        <w:spacing w:after="0" w:line="255" w:lineRule="auto"/>
        <w:rPr>
          <w:sz w:val="20"/>
          <w:szCs w:val="20"/>
          <w:color w:val="auto"/>
        </w:rPr>
      </w:pPr>
      <w:r>
        <w:rPr>
          <w:rFonts w:ascii="Courier New" w:cs="Courier New" w:eastAsia="Courier New" w:hAnsi="Courier New"/>
          <w:sz w:val="14"/>
          <w:szCs w:val="14"/>
          <w:color w:val="auto"/>
        </w:rPr>
        <w:t>On May 2, 2003 we acquired the 23 percent interest in NN Europe, ApS ("NN Europe") (formerly known as NN Euroball ApS) held by SKF. On March 12, 2004 we changed the name of our primary European entity from NN Euroball, ApS to NN Europe ApS. To avoid confusion between the entity and the segment, we will refer to the segment as the NN Europe Segment and the entity as NN Europe. We paid approximately 13.8 million Euros ($15.6 million) for SKF's interest in Euroball. Upon consummation of this transaction, we became the sole owner of NN Europe.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results of the Veenendaal operation are included in the NN Europe Segment.</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SKF's Veenendaal, The Netherlands operations, SKF purchased from us 700,000 shares of our common stock for an aggregate fair value of approximately $6.9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following unaudited pro-forma summary presents the financial information for the three month period ended March 31, 2003 as if our Veenendaal acquisition had occurred as of the beginning of the period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pacing w:after="0" w:line="32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Three months ended</w:t>
      </w:r>
    </w:p>
    <w:p>
      <w:pPr>
        <w:ind w:left="620"/>
        <w:spacing w:after="0"/>
        <w:tabs>
          <w:tab w:leader="none" w:pos="4540" w:val="left"/>
        </w:tabs>
        <w:rPr>
          <w:sz w:val="20"/>
          <w:szCs w:val="20"/>
          <w:color w:val="auto"/>
        </w:rPr>
      </w:pPr>
      <w:r>
        <w:rPr>
          <w:rFonts w:ascii="Courier New" w:cs="Courier New" w:eastAsia="Courier New" w:hAnsi="Courier New"/>
          <w:sz w:val="15"/>
          <w:szCs w:val="15"/>
          <w:color w:val="auto"/>
        </w:rPr>
        <w:t>(In thousands, except per share</w:t>
      </w:r>
      <w:r>
        <w:rPr>
          <w:sz w:val="20"/>
          <w:szCs w:val="20"/>
          <w:color w:val="auto"/>
        </w:rPr>
        <w:tab/>
      </w:r>
      <w:r>
        <w:rPr>
          <w:rFonts w:ascii="Courier New" w:cs="Courier New" w:eastAsia="Courier New" w:hAnsi="Courier New"/>
          <w:sz w:val="14"/>
          <w:szCs w:val="14"/>
          <w:color w:val="auto"/>
        </w:rPr>
        <w:t>March 31, 2003</w:t>
      </w:r>
    </w:p>
    <w:p>
      <w:pPr>
        <w:ind w:left="620"/>
        <w:spacing w:after="0" w:line="238" w:lineRule="auto"/>
        <w:tabs>
          <w:tab w:leader="none" w:pos="4720" w:val="left"/>
        </w:tabs>
        <w:rPr>
          <w:sz w:val="20"/>
          <w:szCs w:val="20"/>
          <w:color w:val="auto"/>
        </w:rPr>
      </w:pPr>
      <w:r>
        <w:rPr>
          <w:rFonts w:ascii="Courier New" w:cs="Courier New" w:eastAsia="Courier New" w:hAnsi="Courier New"/>
          <w:sz w:val="15"/>
          <w:szCs w:val="15"/>
          <w:color w:val="auto"/>
        </w:rPr>
        <w:t>data)</w:t>
      </w:r>
      <w:r>
        <w:rPr>
          <w:sz w:val="20"/>
          <w:szCs w:val="20"/>
          <w:color w:val="auto"/>
        </w:rPr>
        <w:tab/>
      </w:r>
      <w:r>
        <w:rPr>
          <w:rFonts w:ascii="Courier New" w:cs="Courier New" w:eastAsia="Courier New" w:hAnsi="Courier New"/>
          <w:sz w:val="15"/>
          <w:szCs w:val="15"/>
          <w:color w:val="auto"/>
        </w:rPr>
        <w:t>(unaudited)</w:t>
      </w:r>
    </w:p>
    <w:p>
      <w:pPr>
        <w:ind w:left="620"/>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620" w:type="dxa"/>
        <w:tblCellMar>
          <w:top w:w="0" w:type="dxa"/>
          <w:left w:w="0" w:type="dxa"/>
          <w:bottom w:w="0" w:type="dxa"/>
          <w:right w:w="0" w:type="dxa"/>
        </w:tblCellMar>
      </w:tblPr>
      <w:tr>
        <w:trPr>
          <w:trHeight w:val="169"/>
        </w:trPr>
        <w:tc>
          <w:tcPr>
            <w:tcW w:w="32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$ 70,829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7.</w:t>
      </w:r>
      <w:r>
        <w:rPr>
          <w:sz w:val="20"/>
          <w:szCs w:val="20"/>
          <w:color w:val="auto"/>
        </w:rPr>
        <w:tab/>
      </w:r>
      <w:r>
        <w:rPr>
          <w:rFonts w:ascii="Courier New" w:cs="Courier New" w:eastAsia="Courier New" w:hAnsi="Courier New"/>
          <w:sz w:val="14"/>
          <w:szCs w:val="14"/>
          <w:b w:val="1"/>
          <w:bCs w:val="1"/>
          <w:color w:val="auto"/>
        </w:rPr>
        <w:t>New Accounting Pronouncements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December 2003, the FASB issued Financial Interpretation No. 46(R), "Consolidation of Variable Interest Entities," ("FIN 46(R)"). This interpretation addresses consolidation by business enterprises of variable interest entities with certain defined characteristics and replaces Financial Interpretation No. 46. The interpretation was effective January 1, 2004 for variable interest entities existing prior to February 2003. FIN 46(R) did not have a significant impact on the Company's consolidated financial statements.</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132R is effective for financial statements with fiscal years ending after December 15, 2003. As of March 31, 2004, we have complied with the disclosure requirements of SFAS No. 132R.</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We have a defined benefit pension plan covering the employees at our Eltmann, Germany facility. The benefits are based on the expected years of service including the rate of compensation increase. The plan is unfunded.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b w:val="1"/>
          <w:bCs w:val="1"/>
          <w:color w:val="auto"/>
        </w:rPr>
        <w:t>Components of Net Periodic Pension Cost:</w:t>
      </w:r>
    </w:p>
    <w:p>
      <w:pPr>
        <w:spacing w:after="0" w:line="166"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b w:val="1"/>
          <w:bCs w:val="1"/>
          <w:color w:val="auto"/>
        </w:rPr>
        <w:t>Three months ended</w:t>
      </w:r>
    </w:p>
    <w:p>
      <w:pPr>
        <w:ind w:left="7360"/>
        <w:spacing w:after="0" w:line="237" w:lineRule="auto"/>
        <w:rPr>
          <w:sz w:val="20"/>
          <w:szCs w:val="20"/>
          <w:color w:val="auto"/>
        </w:rPr>
      </w:pPr>
      <w:r>
        <w:rPr>
          <w:rFonts w:ascii="Courier New" w:cs="Courier New" w:eastAsia="Courier New" w:hAnsi="Courier New"/>
          <w:sz w:val="15"/>
          <w:szCs w:val="15"/>
          <w:b w:val="1"/>
          <w:bCs w:val="1"/>
          <w:color w:val="auto"/>
        </w:rPr>
        <w:t>March 31,</w:t>
      </w:r>
    </w:p>
    <w:p>
      <w:pPr>
        <w:ind w:left="800"/>
        <w:spacing w:after="0"/>
        <w:tabs>
          <w:tab w:leader="none" w:pos="6980" w:val="left"/>
          <w:tab w:leader="none" w:pos="8220" w:val="left"/>
        </w:tabs>
        <w:rPr>
          <w:sz w:val="20"/>
          <w:szCs w:val="20"/>
          <w:color w:val="auto"/>
        </w:rPr>
      </w:pPr>
      <w:r>
        <w:rPr>
          <w:rFonts w:ascii="Courier New" w:cs="Courier New" w:eastAsia="Courier New" w:hAnsi="Courier New"/>
          <w:sz w:val="15"/>
          <w:szCs w:val="15"/>
          <w:b w:val="1"/>
          <w:bCs w:val="1"/>
          <w:color w:val="auto"/>
        </w:rPr>
        <w:t>(in thousands of dollars)</w:t>
      </w:r>
      <w:r>
        <w:rPr>
          <w:sz w:val="20"/>
          <w:szCs w:val="20"/>
          <w:color w:val="auto"/>
        </w:rPr>
        <w:tab/>
      </w:r>
      <w:r>
        <w:rPr>
          <w:rFonts w:ascii="Courier New" w:cs="Courier New" w:eastAsia="Courier New" w:hAnsi="Courier New"/>
          <w:sz w:val="15"/>
          <w:szCs w:val="15"/>
          <w:b w:val="1"/>
          <w:bCs w:val="1"/>
          <w:color w:val="auto"/>
        </w:rPr>
        <w:t>2004</w:t>
      </w:r>
      <w:r>
        <w:rPr>
          <w:sz w:val="20"/>
          <w:szCs w:val="20"/>
          <w:color w:val="auto"/>
        </w:rPr>
        <w:tab/>
      </w:r>
      <w:r>
        <w:rPr>
          <w:rFonts w:ascii="Courier New" w:cs="Courier New" w:eastAsia="Courier New" w:hAnsi="Courier New"/>
          <w:sz w:val="14"/>
          <w:szCs w:val="14"/>
          <w:b w:val="1"/>
          <w:bCs w:val="1"/>
          <w:color w:val="auto"/>
        </w:rPr>
        <w:t>2003</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2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net gain</w:t>
            </w:r>
          </w:p>
        </w:tc>
        <w:tc>
          <w:tcPr>
            <w:tcW w:w="2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160" w:type="dxa"/>
            <w:vAlign w:val="bottom"/>
          </w:tcPr>
          <w:p>
            <w:pPr>
              <w:spacing w:after="0"/>
              <w:rPr>
                <w:sz w:val="14"/>
                <w:szCs w:val="14"/>
                <w:color w:val="auto"/>
              </w:rPr>
            </w:pPr>
          </w:p>
        </w:tc>
        <w:tc>
          <w:tcPr>
            <w:tcW w:w="2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periodic pension cost</w:t>
            </w:r>
          </w:p>
        </w:tc>
        <w:tc>
          <w:tcPr>
            <w:tcW w:w="2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4160" w:type="dxa"/>
            <w:vAlign w:val="bottom"/>
          </w:tcPr>
          <w:p>
            <w:pPr>
              <w:spacing w:after="0"/>
              <w:rPr>
                <w:sz w:val="14"/>
                <w:szCs w:val="14"/>
                <w:color w:val="auto"/>
              </w:rPr>
            </w:pPr>
          </w:p>
        </w:tc>
        <w:tc>
          <w:tcPr>
            <w:tcW w:w="2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310" w:right="1440" w:bottom="0" w:gutter="0" w:footer="0" w:header="0"/>
        </w:sectPr>
      </w:pPr>
    </w:p>
    <w:bookmarkStart w:id="6" w:name="page7"/>
    <w:bookmarkEnd w:id="6"/>
    <w:p>
      <w:pPr>
        <w:ind w:right="3319"/>
        <w:spacing w:after="0" w:line="235" w:lineRule="auto"/>
        <w:rPr>
          <w:sz w:val="20"/>
          <w:szCs w:val="20"/>
          <w:color w:val="auto"/>
        </w:rPr>
      </w:pPr>
      <w:r>
        <w:rPr>
          <w:rFonts w:ascii="Courier New" w:cs="Courier New" w:eastAsia="Courier New" w:hAnsi="Courier New"/>
          <w:sz w:val="15"/>
          <w:szCs w:val="15"/>
          <w:color w:val="auto"/>
        </w:rPr>
        <w:t>We expect to contribute approximately $0.3 million to our pension plan in 2004. As of March 31, 2004, approximately $0.1 million of contributions have been made.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8.</w:t>
      </w:r>
      <w:r>
        <w:rPr>
          <w:sz w:val="20"/>
          <w:szCs w:val="20"/>
          <w:color w:val="auto"/>
        </w:rPr>
        <w:tab/>
      </w:r>
      <w:r>
        <w:rPr>
          <w:rFonts w:ascii="Courier New" w:cs="Courier New" w:eastAsia="Courier New" w:hAnsi="Courier New"/>
          <w:sz w:val="14"/>
          <w:szCs w:val="14"/>
          <w:b w:val="1"/>
          <w:bCs w:val="1"/>
          <w:color w:val="auto"/>
        </w:rPr>
        <w:t>Long-Term Debt and Short-Term Debt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(the "$90 million credit facility"). This new financing arrangement replaced our prior credit facility with AmSouth and Hypo Vereinsbank Luxembourg, S.A. The credit facility consists of a $30.0 million revolver expiring on March 15, 2006, bearing interest at a floating rate equal to LIBOR (1.11% at March 31, 2004) plus an applicable margin of 1.25 to 2.0, a $30.4 million term loan expiring on May 1, 2008, bearing interest at a floating rate equal to LIBOR</w:t>
      </w:r>
    </w:p>
    <w:p>
      <w:pPr>
        <w:spacing w:after="0" w:line="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(1.11% at March 31, 2004) plus an applicable margin of 1.25 to 2.0 and a 26.3 million Euro ($29.6 million) term loan expiring on May 1, 2008 which bears interest at a floating rate equal to Euro LIBOR (1.94% at March 31, 2004)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 all such covenants as of March 31, 2004. See Note 11. On October 9, 2003 we acquired certain assets comprised of land, building and machinery and equipment of the precision ball operations of KLF - Gulickaren ("KLF"), based in Kysucke Nove Mesto, Slovakia. We paid consideration of approximately 1.7 million Euros ($2.0 million). The assets will be utilized by our newly established subsidiary AKMCH s.r.o. ("AKMCH") based in Kysucke Nove Mesto, Slovakia, which will begin production in the second quarter of 2004. The financial results of their operations have been included in our NN Europe Segment.</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KLF's operations in Slovakia, on September 23, 2003 we entered into a $2.0 million short-term unsecured promissory note (the "$2.0 million note") with AmSouth as the lender. This note, which bears interest at the prime rate (4.0% at March 31, 2004) matures on May 12, 2004. See Note 11.</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23, 2004 we entered into a $2.7 million short-term promissory note (the "$2.7 million note") with AmSouth Bank ("AmSouth") as the lender. This note, which bears interest at the prime rate (4.0% at March 31, 2004), matures on June 20, 2004. This agreement was entered into to fund short term operating capital requirements. As of March 31, 2004, borrowings totaled $1.0 million under this note. See Note 11.</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Note 9.</w:t>
      </w:r>
      <w:r>
        <w:rPr>
          <w:sz w:val="20"/>
          <w:szCs w:val="20"/>
          <w:color w:val="auto"/>
        </w:rPr>
        <w:tab/>
      </w:r>
      <w:r>
        <w:rPr>
          <w:rFonts w:ascii="Courier New" w:cs="Courier New" w:eastAsia="Courier New" w:hAnsi="Courier New"/>
          <w:sz w:val="14"/>
          <w:szCs w:val="14"/>
          <w:b w:val="1"/>
          <w:bCs w:val="1"/>
          <w:color w:val="auto"/>
        </w:rPr>
        <w:t>Goodwill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changes in the carrying amount of goodwill for the three month period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2004 are as follows:</w:t>
      </w:r>
    </w:p>
    <w:p>
      <w:pPr>
        <w:sectPr>
          <w:pgSz w:w="11900" w:h="16838" w:orient="portrait"/>
          <w:cols w:equalWidth="0" w:num="1">
            <w:col w:w="10239"/>
          </w:cols>
          <w:pgMar w:left="220" w:top="310" w:right="1440" w:bottom="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 thousands of dollars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as of January 1, 2004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impacts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March 31, 2004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b w:val="1"/>
          <w:bCs w:val="1"/>
          <w:color w:val="auto"/>
        </w:rPr>
        <w:t>Plastic and Rubber</w:t>
      </w:r>
    </w:p>
    <w:p>
      <w:pPr>
        <w:ind w:left="80"/>
        <w:spacing w:after="0"/>
        <w:tabs>
          <w:tab w:leader="none" w:pos="1900" w:val="left"/>
          <w:tab w:leader="none" w:pos="4080" w:val="left"/>
        </w:tabs>
        <w:rPr>
          <w:sz w:val="20"/>
          <w:szCs w:val="20"/>
          <w:color w:val="auto"/>
        </w:rPr>
      </w:pPr>
      <w:r>
        <w:rPr>
          <w:rFonts w:ascii="Courier New" w:cs="Courier New" w:eastAsia="Courier New" w:hAnsi="Courier New"/>
          <w:sz w:val="15"/>
          <w:szCs w:val="15"/>
          <w:b w:val="1"/>
          <w:bCs w:val="1"/>
          <w:color w:val="auto"/>
        </w:rPr>
        <w:t>Components Segment</w:t>
        <w:tab/>
        <w:t>NN Europe Segment</w:t>
      </w:r>
      <w:r>
        <w:rPr>
          <w:sz w:val="20"/>
          <w:szCs w:val="20"/>
          <w:color w:val="auto"/>
        </w:rPr>
        <w:tab/>
      </w:r>
      <w:r>
        <w:rPr>
          <w:rFonts w:ascii="Courier New" w:cs="Courier New" w:eastAsia="Courier New" w:hAnsi="Courier New"/>
          <w:sz w:val="14"/>
          <w:szCs w:val="14"/>
          <w:b w:val="1"/>
          <w:bCs w:val="1"/>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1040"/>
        <w:spacing w:after="0"/>
        <w:tabs>
          <w:tab w:leader="none" w:pos="2780" w:val="left"/>
          <w:tab w:leader="none" w:pos="4260" w:val="left"/>
        </w:tabs>
        <w:rPr>
          <w:sz w:val="20"/>
          <w:szCs w:val="20"/>
          <w:color w:val="auto"/>
        </w:rPr>
      </w:pPr>
      <w:r>
        <w:rPr>
          <w:rFonts w:ascii="Courier New" w:cs="Courier New" w:eastAsia="Courier New" w:hAnsi="Courier New"/>
          <w:sz w:val="15"/>
          <w:szCs w:val="15"/>
          <w:color w:val="auto"/>
        </w:rPr>
        <w:t>$ 25,755</w:t>
      </w:r>
      <w:r>
        <w:rPr>
          <w:sz w:val="20"/>
          <w:szCs w:val="20"/>
          <w:color w:val="auto"/>
        </w:rPr>
        <w:tab/>
      </w:r>
      <w:r>
        <w:rPr>
          <w:rFonts w:ascii="Courier New" w:cs="Courier New" w:eastAsia="Courier New" w:hAnsi="Courier New"/>
          <w:sz w:val="15"/>
          <w:szCs w:val="15"/>
          <w:color w:val="auto"/>
        </w:rPr>
        <w:t>$ 17,138</w:t>
      </w:r>
      <w:r>
        <w:rPr>
          <w:sz w:val="20"/>
          <w:szCs w:val="20"/>
          <w:color w:val="auto"/>
        </w:rPr>
        <w:tab/>
      </w:r>
      <w:r>
        <w:rPr>
          <w:rFonts w:ascii="Courier New" w:cs="Courier New" w:eastAsia="Courier New" w:hAnsi="Courier New"/>
          <w:sz w:val="14"/>
          <w:szCs w:val="14"/>
          <w:color w:val="auto"/>
        </w:rPr>
        <w:t>$ 42,893</w:t>
      </w:r>
    </w:p>
    <w:p>
      <w:pPr>
        <w:ind w:left="1580"/>
        <w:spacing w:after="0"/>
        <w:tabs>
          <w:tab w:leader="none" w:pos="3040" w:val="left"/>
          <w:tab w:leader="none" w:pos="4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(648)</w:t>
      </w:r>
      <w:r>
        <w:rPr>
          <w:sz w:val="20"/>
          <w:szCs w:val="20"/>
          <w:color w:val="auto"/>
        </w:rPr>
        <w:tab/>
      </w:r>
      <w:r>
        <w:rPr>
          <w:rFonts w:ascii="Courier New" w:cs="Courier New" w:eastAsia="Courier New" w:hAnsi="Courier New"/>
          <w:sz w:val="14"/>
          <w:szCs w:val="14"/>
          <w:color w:val="auto"/>
        </w:rPr>
        <w:t>(648)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1040"/>
        <w:spacing w:after="0"/>
        <w:tabs>
          <w:tab w:leader="none" w:pos="2780" w:val="left"/>
          <w:tab w:leader="none" w:pos="4260" w:val="left"/>
        </w:tabs>
        <w:rPr>
          <w:sz w:val="20"/>
          <w:szCs w:val="20"/>
          <w:color w:val="auto"/>
        </w:rPr>
      </w:pPr>
      <w:r>
        <w:rPr>
          <w:rFonts w:ascii="Courier New" w:cs="Courier New" w:eastAsia="Courier New" w:hAnsi="Courier New"/>
          <w:sz w:val="15"/>
          <w:szCs w:val="15"/>
          <w:color w:val="auto"/>
        </w:rPr>
        <w:t>$ 25,755</w:t>
      </w:r>
      <w:r>
        <w:rPr>
          <w:sz w:val="20"/>
          <w:szCs w:val="20"/>
          <w:color w:val="auto"/>
        </w:rPr>
        <w:tab/>
      </w:r>
      <w:r>
        <w:rPr>
          <w:rFonts w:ascii="Courier New" w:cs="Courier New" w:eastAsia="Courier New" w:hAnsi="Courier New"/>
          <w:sz w:val="15"/>
          <w:szCs w:val="15"/>
          <w:color w:val="auto"/>
        </w:rPr>
        <w:t>$ 16,490</w:t>
      </w:r>
      <w:r>
        <w:rPr>
          <w:sz w:val="20"/>
          <w:szCs w:val="20"/>
          <w:color w:val="auto"/>
        </w:rPr>
        <w:tab/>
      </w:r>
      <w:r>
        <w:rPr>
          <w:rFonts w:ascii="Courier New" w:cs="Courier New" w:eastAsia="Courier New" w:hAnsi="Courier New"/>
          <w:sz w:val="14"/>
          <w:szCs w:val="14"/>
          <w:color w:val="auto"/>
        </w:rPr>
        <w:t>$ 42,245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ectPr>
          <w:pgSz w:w="11900" w:h="16838" w:orient="portrait"/>
          <w:cols w:equalWidth="0" w:num="2">
            <w:col w:w="2540" w:space="620"/>
            <w:col w:w="7079"/>
          </w:cols>
          <w:pgMar w:left="220" w:top="310"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Note 10. Stock Compensation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adopted the provisions of SFAS 123, which encourages but does not require a fair value based method of accounting for stock compensation plans. We have elected to continue accounting for our stock compensation plan using the intrinsic value based method under Auditing Practices Board ("APB") Opinion No. 25 and, accordingly, have not recorded compensation expense for the three month periods ended March 31, 2004 and March 31, 2003. Had compensation cost for our stock compensation plan been determined based on the fair value at the option grant dates, our net income and earnings per share would have been reduced to the pro-forma amounts indicated below:</w:t>
      </w:r>
    </w:p>
    <w:p>
      <w:pPr>
        <w:spacing w:after="0" w:line="178" w:lineRule="exact"/>
        <w:rPr>
          <w:sz w:val="20"/>
          <w:szCs w:val="20"/>
          <w:color w:val="auto"/>
        </w:rPr>
      </w:pPr>
    </w:p>
    <w:p>
      <w:pPr>
        <w:ind w:left="6840"/>
        <w:spacing w:after="0"/>
        <w:rPr>
          <w:sz w:val="20"/>
          <w:szCs w:val="20"/>
          <w:color w:val="auto"/>
        </w:rPr>
      </w:pPr>
      <w:r>
        <w:rPr>
          <w:rFonts w:ascii="Courier New" w:cs="Courier New" w:eastAsia="Courier New" w:hAnsi="Courier New"/>
          <w:sz w:val="14"/>
          <w:szCs w:val="14"/>
          <w:b w:val="1"/>
          <w:bCs w:val="1"/>
          <w:color w:val="auto"/>
        </w:rPr>
        <w:t>Three months ended</w:t>
      </w:r>
    </w:p>
    <w:p>
      <w:pPr>
        <w:spacing w:after="0" w:line="3"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b w:val="1"/>
          <w:bCs w:val="1"/>
          <w:color w:val="auto"/>
        </w:rPr>
        <w:t>March 31,</w:t>
      </w:r>
    </w:p>
    <w:p>
      <w:pPr>
        <w:sectPr>
          <w:pgSz w:w="11900" w:h="16838" w:orient="portrait"/>
          <w:cols w:equalWidth="0" w:num="1">
            <w:col w:w="10239"/>
          </w:cols>
          <w:pgMar w:left="220" w:top="310" w:right="1440" w:bottom="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b w:val="1"/>
          <w:bCs w:val="1"/>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 as reported</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b w:val="1"/>
          <w:bCs w:val="1"/>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$ 3,218</w:t>
      </w:r>
    </w:p>
    <w:p>
      <w:pPr>
        <w:spacing w:after="0" w:line="20" w:lineRule="exact"/>
        <w:rPr>
          <w:sz w:val="20"/>
          <w:szCs w:val="20"/>
          <w:color w:val="auto"/>
        </w:rPr>
      </w:pPr>
      <w:r>
        <w:rPr>
          <w:sz w:val="20"/>
          <w:szCs w:val="20"/>
          <w:color w:val="auto"/>
        </w:rPr>
        <w:br w:type="column"/>
      </w:r>
    </w:p>
    <w:p>
      <w:pPr>
        <w:ind w:left="100"/>
        <w:spacing w:after="0" w:line="237" w:lineRule="auto"/>
        <w:rPr>
          <w:sz w:val="20"/>
          <w:szCs w:val="20"/>
          <w:color w:val="auto"/>
        </w:rPr>
      </w:pPr>
      <w:r>
        <w:rPr>
          <w:rFonts w:ascii="Courier New" w:cs="Courier New" w:eastAsia="Courier New" w:hAnsi="Courier New"/>
          <w:sz w:val="15"/>
          <w:szCs w:val="15"/>
          <w:b w:val="1"/>
          <w:bCs w:val="1"/>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$3,643</w:t>
      </w:r>
    </w:p>
    <w:p>
      <w:pPr>
        <w:spacing w:after="0" w:line="5" w:lineRule="exact"/>
        <w:rPr>
          <w:sz w:val="20"/>
          <w:szCs w:val="20"/>
          <w:color w:val="auto"/>
        </w:rPr>
      </w:pPr>
    </w:p>
    <w:p>
      <w:pPr>
        <w:sectPr>
          <w:pgSz w:w="11900" w:h="16838" w:orient="portrait"/>
          <w:cols w:equalWidth="0" w:num="3">
            <w:col w:w="6220" w:space="340"/>
            <w:col w:w="1140" w:space="440"/>
            <w:col w:w="2099"/>
          </w:cols>
          <w:pgMar w:left="220" w:top="310" w:right="1440"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(income), net of income tax,</w:t>
      </w:r>
    </w:p>
    <w:p>
      <w:pPr>
        <w:sectPr>
          <w:pgSz w:w="11900" w:h="16838" w:orient="portrait"/>
          <w:cols w:equalWidth="0" w:num="1">
            <w:col w:w="10239"/>
          </w:cols>
          <w:pgMar w:left="220" w:top="310" w:right="1440" w:bottom="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6380" w:space="720"/>
            <w:col w:w="840" w:space="720"/>
            <w:col w:w="1579"/>
          </w:cols>
          <w:pgMar w:left="220" w:top="310" w:right="1440"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net of income tax, that would have been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net income if the fair value method had been</w:t>
      </w:r>
    </w:p>
    <w:p>
      <w:pPr>
        <w:sectPr>
          <w:pgSz w:w="11900" w:h="16838" w:orient="portrait"/>
          <w:cols w:equalWidth="0" w:num="1">
            <w:col w:w="10239"/>
          </w:cols>
          <w:pgMar w:left="220" w:top="310" w:right="1440" w:bottom="0" w:gutter="0" w:footer="0" w:header="0"/>
          <w:type w:val="continuous"/>
        </w:sectPr>
      </w:pPr>
    </w:p>
    <w:p>
      <w:pPr>
        <w:ind w:left="440"/>
        <w:spacing w:after="0" w:line="237" w:lineRule="auto"/>
        <w:rPr>
          <w:sz w:val="20"/>
          <w:szCs w:val="20"/>
          <w:color w:val="auto"/>
        </w:rPr>
      </w:pPr>
      <w:r>
        <w:rPr>
          <w:rFonts w:ascii="Courier New" w:cs="Courier New" w:eastAsia="Courier New" w:hAnsi="Courier New"/>
          <w:sz w:val="15"/>
          <w:szCs w:val="15"/>
          <w:color w:val="auto"/>
        </w:rPr>
        <w:t>applied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 pro-forma</w:t>
      </w:r>
    </w:p>
    <w:p>
      <w:pPr>
        <w:spacing w:after="0" w:line="20" w:lineRule="exact"/>
        <w:rPr>
          <w:sz w:val="20"/>
          <w:szCs w:val="20"/>
          <w:color w:val="auto"/>
        </w:rPr>
      </w:pPr>
      <w:r>
        <w:rPr>
          <w:sz w:val="20"/>
          <w:szCs w:val="20"/>
          <w:color w:val="auto"/>
        </w:rPr>
        <w:br w:type="column"/>
      </w:r>
    </w:p>
    <w:p>
      <w:pPr>
        <w:ind w:left="780"/>
        <w:spacing w:after="0" w:line="237" w:lineRule="auto"/>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$3,144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line="237" w:lineRule="auto"/>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$3,633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5680" w:space="720"/>
            <w:col w:w="1140" w:space="420"/>
            <w:col w:w="2279"/>
          </w:cols>
          <w:pgMar w:left="220" w:top="310" w:right="1440" w:bottom="0" w:gutter="0" w:footer="0" w:header="0"/>
          <w:type w:val="continuous"/>
        </w:sectPr>
      </w:pPr>
    </w:p>
    <w:bookmarkStart w:id="7" w:name="page8"/>
    <w:bookmarkEnd w:id="7"/>
    <w:p>
      <w:pPr>
        <w:ind w:left="342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80" w:type="dxa"/>
            <w:vAlign w:val="bottom"/>
            <w:gridSpan w:val="2"/>
          </w:tcPr>
          <w:p>
            <w:pPr>
              <w:jc w:val="right"/>
              <w:ind w:right="467"/>
              <w:spacing w:after="0"/>
              <w:rPr>
                <w:sz w:val="20"/>
                <w:szCs w:val="20"/>
                <w:color w:val="auto"/>
              </w:rPr>
            </w:pPr>
            <w:r>
              <w:rPr>
                <w:rFonts w:ascii="Courier New" w:cs="Courier New" w:eastAsia="Courier New" w:hAnsi="Courier New"/>
                <w:sz w:val="15"/>
                <w:szCs w:val="15"/>
                <w:b w:val="1"/>
                <w:bCs w:val="1"/>
                <w:color w:val="auto"/>
              </w:rPr>
              <w:t>Three months ended</w:t>
            </w: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b w:val="1"/>
                <w:bCs w:val="1"/>
                <w:color w:val="auto"/>
              </w:rPr>
              <w:t>March 31,</w:t>
            </w:r>
          </w:p>
        </w:tc>
        <w:tc>
          <w:tcPr>
            <w:tcW w:w="9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b w:val="1"/>
                <w:bCs w:val="1"/>
                <w:color w:val="auto"/>
              </w:rPr>
              <w:t>2004</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b w:val="1"/>
                <w:bCs w:val="1"/>
                <w:color w:val="auto"/>
              </w:rPr>
              <w:t>2003</w:t>
            </w: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b w:val="1"/>
                <w:bCs w:val="1"/>
                <w:color w:val="auto"/>
                <w:w w:val="99"/>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b w:val="1"/>
                <w:bCs w:val="1"/>
                <w:color w:val="auto"/>
                <w:w w:val="96"/>
              </w:rPr>
              <w:t>-----------</w:t>
            </w:r>
          </w:p>
        </w:tc>
      </w:tr>
      <w:tr>
        <w:trPr>
          <w:trHeight w:val="168"/>
        </w:trPr>
        <w:tc>
          <w:tcPr>
            <w:tcW w:w="6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Basic earnings per share - as reported</w:t>
            </w: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$ 0.19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$ 0.24</w:t>
            </w:r>
          </w:p>
        </w:tc>
      </w:tr>
      <w:tr>
        <w:trPr>
          <w:trHeight w:val="336"/>
        </w:trPr>
        <w:tc>
          <w:tcPr>
            <w:tcW w:w="63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Stock based compensation costs (income), net of income tax,</w:t>
            </w:r>
          </w:p>
        </w:tc>
        <w:tc>
          <w:tcPr>
            <w:tcW w:w="1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60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included in net income as reported</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7"/>
              </w:rPr>
              <w:t>Stock based compensation costs, net of income tax, that would have been</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0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included in net income if the fair value method had been</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2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applied</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Basic earnings per share - pro-forma</w:t>
            </w: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$ 0.19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$ 0.24</w:t>
            </w: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360" w:type="dxa"/>
            <w:vAlign w:val="bottom"/>
            <w:gridSpan w:val="5"/>
          </w:tcPr>
          <w:p>
            <w:pPr>
              <w:spacing w:after="0"/>
              <w:rPr>
                <w:sz w:val="20"/>
                <w:szCs w:val="20"/>
                <w:color w:val="auto"/>
              </w:rPr>
            </w:pPr>
            <w:r>
              <w:rPr>
                <w:rFonts w:ascii="Courier New" w:cs="Courier New" w:eastAsia="Courier New" w:hAnsi="Courier New"/>
                <w:sz w:val="15"/>
                <w:szCs w:val="15"/>
                <w:color w:val="auto"/>
              </w:rPr>
              <w:t>Earnings per share-assuming dilution - as reported</w:t>
            </w:r>
          </w:p>
        </w:tc>
        <w:tc>
          <w:tcPr>
            <w:tcW w:w="1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$ 0.19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$ 0.23</w:t>
            </w:r>
          </w:p>
        </w:tc>
      </w:tr>
      <w:tr>
        <w:trPr>
          <w:trHeight w:val="168"/>
        </w:trPr>
        <w:tc>
          <w:tcPr>
            <w:tcW w:w="6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Stock based compensation costs (income), net of income tax,</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0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included in net income as reported</w:t>
            </w: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7"/>
              </w:rPr>
              <w:t>Stock based compensation costs, net of income tax, that would have been</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0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included in net income if the fair value method had been</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2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applied</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Earnings per share - assuming dilution-pro-forma</w:t>
            </w: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$ 0.18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$ 0.23</w:t>
            </w: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960" w:type="dxa"/>
            <w:vAlign w:val="bottom"/>
            <w:gridSpan w:val="6"/>
          </w:tcPr>
          <w:p>
            <w:pPr>
              <w:spacing w:after="0"/>
              <w:rPr>
                <w:sz w:val="20"/>
                <w:szCs w:val="20"/>
                <w:color w:val="auto"/>
              </w:rPr>
            </w:pPr>
            <w:r>
              <w:rPr>
                <w:rFonts w:ascii="Courier New" w:cs="Courier New" w:eastAsia="Courier New" w:hAnsi="Courier New"/>
                <w:sz w:val="15"/>
                <w:szCs w:val="15"/>
                <w:color w:val="auto"/>
              </w:rPr>
              <w:t>The fair value of each option grant was estimated based on actual information</w:t>
            </w:r>
          </w:p>
        </w:tc>
        <w:tc>
          <w:tcPr>
            <w:tcW w:w="980" w:type="dxa"/>
            <w:vAlign w:val="bottom"/>
          </w:tcPr>
          <w:p>
            <w:pPr>
              <w:spacing w:after="0"/>
              <w:rPr>
                <w:sz w:val="24"/>
                <w:szCs w:val="24"/>
                <w:color w:val="auto"/>
              </w:rPr>
            </w:pPr>
          </w:p>
        </w:tc>
      </w:tr>
      <w:tr>
        <w:trPr>
          <w:trHeight w:val="168"/>
        </w:trPr>
        <w:tc>
          <w:tcPr>
            <w:tcW w:w="79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available through March 31, 2004 and 2003 using the Black Scholes option-pricing</w:t>
            </w:r>
          </w:p>
        </w:tc>
        <w:tc>
          <w:tcPr>
            <w:tcW w:w="980" w:type="dxa"/>
            <w:vAlign w:val="bottom"/>
          </w:tcPr>
          <w:p>
            <w:pPr>
              <w:spacing w:after="0"/>
              <w:rPr>
                <w:sz w:val="14"/>
                <w:szCs w:val="14"/>
                <w:color w:val="auto"/>
              </w:rPr>
            </w:pPr>
          </w:p>
        </w:tc>
      </w:tr>
      <w:tr>
        <w:trPr>
          <w:trHeight w:val="168"/>
        </w:trPr>
        <w:tc>
          <w:tcPr>
            <w:tcW w:w="6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model with the following assumptions:</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06"/>
        </w:trPr>
        <w:tc>
          <w:tcPr>
            <w:tcW w:w="360" w:type="dxa"/>
            <w:vAlign w:val="bottom"/>
            <w:tcBorders>
              <w:bottom w:val="single" w:sz="8" w:color="auto"/>
            </w:tcBorders>
          </w:tcPr>
          <w:p>
            <w:pPr>
              <w:spacing w:after="0"/>
              <w:rPr>
                <w:sz w:val="20"/>
                <w:szCs w:val="20"/>
                <w:color w:val="auto"/>
              </w:rPr>
            </w:pPr>
            <w:r>
              <w:rPr>
                <w:rFonts w:ascii="Courier New" w:cs="Courier New" w:eastAsia="Courier New" w:hAnsi="Courier New"/>
                <w:sz w:val="15"/>
                <w:szCs w:val="15"/>
                <w:color w:val="auto"/>
                <w:w w:val="94"/>
              </w:rPr>
              <w:t>Term</w:t>
            </w: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Courier New" w:cs="Courier New" w:eastAsia="Courier New" w:hAnsi="Courier New"/>
                <w:sz w:val="15"/>
                <w:szCs w:val="15"/>
                <w:color w:val="auto"/>
                <w:w w:val="96"/>
              </w:rPr>
              <w:t>Vesting period</w:t>
            </w: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Risk free interest rate</w:t>
            </w:r>
          </w:p>
        </w:tc>
        <w:tc>
          <w:tcPr>
            <w:tcW w:w="55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3.85% and 3.28% at March 31, 2004 and 2003, respectively</w:t>
            </w:r>
          </w:p>
        </w:tc>
        <w:tc>
          <w:tcPr>
            <w:tcW w:w="980" w:type="dxa"/>
            <w:vAlign w:val="bottom"/>
          </w:tcPr>
          <w:p>
            <w:pPr>
              <w:spacing w:after="0"/>
              <w:rPr>
                <w:sz w:val="15"/>
                <w:szCs w:val="15"/>
                <w:color w:val="auto"/>
              </w:rPr>
            </w:pP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554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rPr>
              <w:t>2.74% and 3.66% at March 31, 2004 and 2003, respectively</w:t>
            </w:r>
          </w:p>
        </w:tc>
        <w:tc>
          <w:tcPr>
            <w:tcW w:w="980" w:type="dxa"/>
            <w:vAlign w:val="bottom"/>
          </w:tcPr>
          <w:p>
            <w:pPr>
              <w:spacing w:after="0"/>
              <w:rPr>
                <w:sz w:val="14"/>
                <w:szCs w:val="14"/>
                <w:color w:val="auto"/>
              </w:rPr>
            </w:pP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Volatility</w:t>
            </w:r>
          </w:p>
        </w:tc>
        <w:tc>
          <w:tcPr>
            <w:tcW w:w="554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w w:val="98"/>
              </w:rPr>
              <w:t>49.16% and 50.11% at March 31, 2004 and 2003, respectively</w:t>
            </w:r>
          </w:p>
        </w:tc>
        <w:tc>
          <w:tcPr>
            <w:tcW w:w="980" w:type="dxa"/>
            <w:vAlign w:val="bottom"/>
          </w:tcPr>
          <w:p>
            <w:pPr>
              <w:spacing w:after="0"/>
              <w:rPr>
                <w:sz w:val="14"/>
                <w:szCs w:val="14"/>
                <w:color w:val="auto"/>
              </w:rPr>
            </w:pPr>
          </w:p>
        </w:tc>
      </w:tr>
    </w:tbl>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b w:val="1"/>
          <w:bCs w:val="1"/>
          <w:color w:val="auto"/>
        </w:rPr>
        <w:t>Note 11.</w:t>
      </w:r>
      <w:r>
        <w:rPr>
          <w:sz w:val="20"/>
          <w:szCs w:val="20"/>
          <w:color w:val="auto"/>
        </w:rPr>
        <w:tab/>
      </w:r>
      <w:r>
        <w:rPr>
          <w:rFonts w:ascii="Courier New" w:cs="Courier New" w:eastAsia="Courier New" w:hAnsi="Courier New"/>
          <w:sz w:val="14"/>
          <w:szCs w:val="14"/>
          <w:b w:val="1"/>
          <w:bCs w:val="1"/>
          <w:color w:val="auto"/>
        </w:rPr>
        <w:t>Subsequent Events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April 26, 2004 we issued $40.0 million of aggregate principal amount senior notes in a private placement. These notes bear interest at a fixed rate of 4.89% and mature on April 26, 2014. Interest is paid semi-annually. Annual principal payments begin on April 26, 2008 and extend through the date of maturity. Proceeds from this credit facility were used to repay our existing US dollar denominated term loan and repay a portion of our borrowings under our US dollar denominated revolving credit facility, which are both components of our $90 million credit facility, and to repay borrowings under our $2.0 million note and our $2.7 million note. The current maturities of the US dollar denominated long-term debt and the short-term notes have been classified as long-term loans in our Consolidated Balance Sheet as of March 31, 2004 as a result of this transaction.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notes are not collateralized except for the pledge of stock of certain foreign subsidiaries.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right="3319" w:hanging="699"/>
        <w:spacing w:after="0" w:line="234" w:lineRule="auto"/>
        <w:rPr>
          <w:sz w:val="20"/>
          <w:szCs w:val="20"/>
          <w:color w:val="auto"/>
        </w:rPr>
      </w:pPr>
      <w:r>
        <w:rPr>
          <w:rFonts w:ascii="Courier New" w:cs="Courier New" w:eastAsia="Courier New" w:hAnsi="Courier New"/>
          <w:sz w:val="15"/>
          <w:szCs w:val="15"/>
          <w:b w:val="1"/>
          <w:bCs w:val="1"/>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Overview and Management Focus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b w:val="1"/>
          <w:bCs w:val="1"/>
          <w:i w:val="1"/>
          <w:iCs w:val="1"/>
          <w:color w:val="auto"/>
        </w:rPr>
        <w:t>Our strategy and management focus is based upon the following long-term objectives:</w:t>
      </w:r>
    </w:p>
    <w:p>
      <w:pPr>
        <w:spacing w:after="0" w:line="173" w:lineRule="exact"/>
        <w:rPr>
          <w:sz w:val="20"/>
          <w:szCs w:val="20"/>
          <w:color w:val="auto"/>
        </w:rPr>
      </w:pPr>
    </w:p>
    <w:p>
      <w:pPr>
        <w:ind w:left="880" w:right="331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Captive growth, providing a competitive and attractive alternative to the operations of our global customers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our bearing product offering, and</w:t>
      </w:r>
    </w:p>
    <w:p>
      <w:pPr>
        <w:spacing w:after="0" w:line="172"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expansion of our manufacturing base to better address the global requirements of our customers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b w:val="1"/>
          <w:bCs w:val="1"/>
          <w:i w:val="1"/>
          <w:iCs w:val="1"/>
          <w:color w:val="auto"/>
        </w:rPr>
        <w:t>Management generally focuses on these trends and relevant market indicators:</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industrial growth and economics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automotive production rates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subject to the global inflationary environment, including, but not limited to:</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Raw material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Wages and benefits, including health care costs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Energy</w:t>
      </w:r>
    </w:p>
    <w:p>
      <w:pPr>
        <w:sectPr>
          <w:pgSz w:w="11900" w:h="16838" w:orient="portrait"/>
          <w:cols w:equalWidth="0" w:num="1">
            <w:col w:w="10239"/>
          </w:cols>
          <w:pgMar w:left="220" w:top="303" w:right="1440" w:bottom="0" w:gutter="0" w:footer="0" w:header="0"/>
        </w:sectPr>
      </w:pPr>
    </w:p>
    <w:bookmarkStart w:id="8" w:name="page9"/>
    <w:bookmarkEnd w:id="8"/>
    <w:p>
      <w:pPr>
        <w:ind w:left="880" w:right="331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related to manufacturing's geographic migration of competitive manufacturing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environment for United States public companies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and exchange rate movements and trends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levels and expectations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b w:val="1"/>
          <w:bCs w:val="1"/>
          <w:i w:val="1"/>
          <w:iCs w:val="1"/>
          <w:color w:val="auto"/>
        </w:rPr>
        <w:t>Management generally focuses on the following key indicators of operating performance:</w:t>
      </w:r>
    </w:p>
    <w:p>
      <w:pPr>
        <w:spacing w:after="0" w:line="171"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products sold levels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levels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from operations and capital spending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core business is the manufacture and sale of high quality, precision steel balls and rollers. In 2003, sales of balls and rollers accounted for approximately 76% of the Company's total net sales with 63% and 13% of sales from balls and rollers, respectively. Sales of metal bearing retainers accounted for 4% and sales of precision molded plastic and rubber parts accounted for the remaining 20%.</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Since our formation in 1980 we have grown primarily through the displacement of captive ball manufacturing operations of domestic and international bearing manufacturers resulting in increased sales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Three Months Ended March 31, 2004 Compared to the Three Months Ended March 31,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Net sales increased by approximately $20.0 million, or 34.8%, from</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$57.6 million in the first quarter of 2003 to $77.6 million in the first quarter of 2004. By segment, sales increased by $21.2 million and $0.2 million for the</w:t>
      </w:r>
    </w:p>
    <w:p>
      <w:pPr>
        <w:spacing w:after="0" w:line="1" w:lineRule="exact"/>
        <w:rPr>
          <w:sz w:val="20"/>
          <w:szCs w:val="20"/>
          <w:color w:val="auto"/>
        </w:rPr>
      </w:pPr>
    </w:p>
    <w:p>
      <w:pPr>
        <w:ind w:right="3239" w:firstLine="10"/>
        <w:spacing w:after="0" w:line="236" w:lineRule="auto"/>
        <w:tabs>
          <w:tab w:leader="none" w:pos="2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Segment and Domestic Ball and Roller Segment, respectively. Within the NN Europe Segment, $15.0 million of the increase is related to our May 2, 2003 acquisition of Veenendaal and the inclusion of its results for the first quarter of 2004, $4.7 million of the increase is related to the impact of foreign currency exchange rates and $1.5 million is related to increased product demand. Offsetting these increases, were decreased sales of the Plastic and Rubber Components Segment of approximately $1.4 million. Of this amount, $0.6 million is related to the closure of our NN Arte Guadalajara, Mexico operation announced during the second quarter of 2003. Additional decreases of $0.8 million are principally a result of the elimination of one program with an existing customer and decreased demand.</w:t>
      </w:r>
    </w:p>
    <w:p>
      <w:pPr>
        <w:spacing w:after="0" w:line="18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i w:val="1"/>
          <w:iCs w:val="1"/>
          <w:color w:val="auto"/>
        </w:rPr>
        <w:t xml:space="preserve">Cost of Products Sold. </w:t>
      </w:r>
      <w:r>
        <w:rPr>
          <w:rFonts w:ascii="Courier New" w:cs="Courier New" w:eastAsia="Courier New" w:hAnsi="Courier New"/>
          <w:sz w:val="14"/>
          <w:szCs w:val="14"/>
          <w:color w:val="auto"/>
        </w:rPr>
        <w:t>Cost of products sold increased by approximately $17.7</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million, or 41.3%, from $42.7 million in the first quarter of 2003 to $60.4 million in the first quarter of 2004. By segment, cost of products sold increased by $18.3 million and $0.5 million for the NN Europe Segment and Domestic Ball and Roller Segment, respectively. Within the NN Europe Segment, $12.6 million of the increase is related to our May 2, 2003 acquisition of Veenendaal and the inclusion of its results for the first quarter of 2004, $3.6 million of the increase is related to the impact of foreign currency exchange rates and $2.1 million is related to increased product demand, material cost increases and inventory management efforts. Within the Domestic Ball and Roller Segment, the $0.5 million increase is principally related to inventory management efforts. Offsetting these increases, were decreased cost of products sold in the Plastic and Rubber Components Segment of approximately $1.1 million. Of this amount, $0.7 million is related to the closure of our NN Arte Guadalajara, Mexico operation announced during the second quarter of 2003. Additional decreases of $0.4 million are a result of the elimination of one program with an existing customer and decreased demand. As a percentage of net sales, cost of products sold increased from 74.2% during the first quarter of 2003 to 77.8% during the first quarter of 2004.</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price of steel has risen over the last twelve to eighteen months with 2004 prices expected to reflect even greater increases. The increase is principally due to general increases in global demand and, more recently, due to China's increased consumption of steel. This has had the impact of increasing scrap surcharges we pay in procuring our steel. Our contracts with key customers allow us to pass a majority of the steel price increases we incur on to those customers. However, by contract, material price changes in any given year are typically passed along with price adjustments in January of the following year. Until the current increases are able to be passed through to our customers, income from operations, net income and cash flow from operations will be adversely affected.</w:t>
      </w:r>
    </w:p>
    <w:p>
      <w:pPr>
        <w:spacing w:after="0" w:line="180"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i w:val="1"/>
          <w:iCs w:val="1"/>
          <w:color w:val="auto"/>
        </w:rPr>
        <w:t xml:space="preserve">Selling, General and Administrative Expenses. </w:t>
      </w:r>
      <w:r>
        <w:rPr>
          <w:rFonts w:ascii="Courier New" w:cs="Courier New" w:eastAsia="Courier New" w:hAnsi="Courier New"/>
          <w:sz w:val="14"/>
          <w:szCs w:val="14"/>
          <w:color w:val="auto"/>
        </w:rPr>
        <w:t>Selling, general and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administrative expenses increased by approximately $2.5 million, or 54.2%, from $4.6 million in the first quarter of 2003 to $7.1 million in the first quarter</w:t>
      </w:r>
    </w:p>
    <w:p>
      <w:pPr>
        <w:sectPr>
          <w:pgSz w:w="11900" w:h="16838" w:orient="portrait"/>
          <w:cols w:equalWidth="0" w:num="1">
            <w:col w:w="10239"/>
          </w:cols>
          <w:pgMar w:left="220" w:top="141" w:right="1440" w:bottom="0" w:gutter="0" w:footer="0" w:header="0"/>
        </w:sectPr>
      </w:pPr>
    </w:p>
    <w:bookmarkStart w:id="9" w:name="page10"/>
    <w:bookmarkEnd w:id="9"/>
    <w:p>
      <w:pPr>
        <w:ind w:right="3239"/>
        <w:spacing w:after="0" w:line="255" w:lineRule="auto"/>
        <w:rPr>
          <w:sz w:val="20"/>
          <w:szCs w:val="20"/>
          <w:color w:val="auto"/>
        </w:rPr>
      </w:pPr>
      <w:r>
        <w:rPr>
          <w:rFonts w:ascii="Courier New" w:cs="Courier New" w:eastAsia="Courier New" w:hAnsi="Courier New"/>
          <w:sz w:val="14"/>
          <w:szCs w:val="14"/>
          <w:color w:val="auto"/>
        </w:rPr>
        <w:t>of 2004. Selling, general and administrative expenses increased by $1.7 million and $0.7 million for the NN Europe Segment and Domestic Ball and Roller Segment, respectively. Within the NN Europe Segment, $1.1 million of the increase is related to our May 2, 2003 acquisition of Veenendaal and the inclusion of its results for the first quarter of 2004, $0.4 million of the increase is related to the impact of foreign currency exchange rates and $0.2 million is related to employee severance. Within the Domestic Ball and Roller Segment, the $0.3 million of the increase is related to costs incurred as a result of the start-up of our previously announced Level 3 program which integrates the principles of Lean Enterprise, Six Sigma and Total Productive Maintenance, $0.3 million of the increase is related to Sarbanes-Oxley compliance efforts in the area of internal financial control and $0.1 million of the increase is principally related to insurance increases related to Director and Officer liability coverages. As a percentage of net sales, selling, general and administrative expenses increased from 8.0% during the first quarter of 2003 to</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 during the first quarter of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i w:val="1"/>
          <w:iCs w:val="1"/>
          <w:color w:val="auto"/>
        </w:rPr>
        <w:t xml:space="preserve">Depreciation and Amortization. </w:t>
      </w:r>
      <w:r>
        <w:rPr>
          <w:rFonts w:ascii="Courier New" w:cs="Courier New" w:eastAsia="Courier New" w:hAnsi="Courier New"/>
          <w:sz w:val="14"/>
          <w:szCs w:val="14"/>
          <w:color w:val="auto"/>
        </w:rPr>
        <w:t>Depreciation and amortization expenses increased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approximately $0.9 million, or 29.9%, from $3.1 million in the first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2003 to $4.0 million in the first quarter of 2004. Principally all of the</w:t>
      </w:r>
    </w:p>
    <w:p>
      <w:pPr>
        <w:spacing w:after="0" w:line="237" w:lineRule="auto"/>
        <w:rPr>
          <w:sz w:val="20"/>
          <w:szCs w:val="20"/>
          <w:color w:val="auto"/>
        </w:rPr>
      </w:pPr>
      <w:r>
        <w:rPr>
          <w:rFonts w:ascii="Courier New" w:cs="Courier New" w:eastAsia="Courier New" w:hAnsi="Courier New"/>
          <w:sz w:val="15"/>
          <w:szCs w:val="15"/>
          <w:color w:val="auto"/>
        </w:rPr>
        <w:t>$0.9 million increase was attributable to the NN Europe Segment. Within the NN</w:t>
      </w:r>
    </w:p>
    <w:p>
      <w:pPr>
        <w:spacing w:after="0" w:line="238" w:lineRule="auto"/>
        <w:rPr>
          <w:sz w:val="20"/>
          <w:szCs w:val="20"/>
          <w:color w:val="auto"/>
        </w:rPr>
      </w:pPr>
      <w:r>
        <w:rPr>
          <w:rFonts w:ascii="Courier New" w:cs="Courier New" w:eastAsia="Courier New" w:hAnsi="Courier New"/>
          <w:sz w:val="15"/>
          <w:szCs w:val="15"/>
          <w:color w:val="auto"/>
        </w:rPr>
        <w:t>Europe Segment, $0.7 million of the increase is related to our May 2,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Veenendaal and the inclusion of its results for the first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2004 and $0.2 million of the increase is related to the impact of foreign</w:t>
      </w:r>
    </w:p>
    <w:p>
      <w:pPr>
        <w:spacing w:after="0" w:line="237" w:lineRule="auto"/>
        <w:rPr>
          <w:sz w:val="20"/>
          <w:szCs w:val="20"/>
          <w:color w:val="auto"/>
        </w:rPr>
      </w:pPr>
      <w:r>
        <w:rPr>
          <w:rFonts w:ascii="Courier New" w:cs="Courier New" w:eastAsia="Courier New" w:hAnsi="Courier New"/>
          <w:sz w:val="15"/>
          <w:szCs w:val="15"/>
          <w:color w:val="auto"/>
        </w:rPr>
        <w:t>currency exchange rates. As a percentage of net sales, depreciation and</w:t>
      </w:r>
    </w:p>
    <w:p>
      <w:pPr>
        <w:spacing w:after="0" w:line="238" w:lineRule="auto"/>
        <w:rPr>
          <w:sz w:val="20"/>
          <w:szCs w:val="20"/>
          <w:color w:val="auto"/>
        </w:rPr>
      </w:pPr>
      <w:r>
        <w:rPr>
          <w:rFonts w:ascii="Courier New" w:cs="Courier New" w:eastAsia="Courier New" w:hAnsi="Courier New"/>
          <w:sz w:val="15"/>
          <w:szCs w:val="15"/>
          <w:color w:val="auto"/>
        </w:rPr>
        <w:t>amortization expense decreased from 5.3% during the first quarter of 2003 to</w:t>
      </w:r>
    </w:p>
    <w:p>
      <w:pPr>
        <w:spacing w:after="0" w:line="237" w:lineRule="auto"/>
        <w:rPr>
          <w:sz w:val="20"/>
          <w:szCs w:val="20"/>
          <w:color w:val="auto"/>
        </w:rPr>
      </w:pPr>
      <w:r>
        <w:rPr>
          <w:rFonts w:ascii="Courier New" w:cs="Courier New" w:eastAsia="Courier New" w:hAnsi="Courier New"/>
          <w:sz w:val="15"/>
          <w:szCs w:val="15"/>
          <w:color w:val="auto"/>
        </w:rPr>
        <w:t>5.2% during the first quarter of 2004.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i w:val="1"/>
          <w:iCs w:val="1"/>
          <w:color w:val="auto"/>
        </w:rPr>
        <w:t xml:space="preserve">Interest Expense. </w:t>
      </w:r>
      <w:r>
        <w:rPr>
          <w:rFonts w:ascii="Courier New" w:cs="Courier New" w:eastAsia="Courier New" w:hAnsi="Courier New"/>
          <w:sz w:val="15"/>
          <w:szCs w:val="15"/>
          <w:color w:val="auto"/>
        </w:rPr>
        <w:t>Interest expense increased by approximately $0.3 million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$0.5 million in the first quarter of 2003 to $0.8 million in the first quarter of 2004. The increase is attributed to increased debt levels due to the May 2003 acquisition of Veenendaal and the May 2003 purchase of the 23% interest in NN Europe held by SKF. Effective with the completion of this transaction, we own 100% of NN Europe.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i w:val="1"/>
          <w:iCs w:val="1"/>
          <w:color w:val="auto"/>
        </w:rPr>
        <w:t xml:space="preserve">Minority Interest in Consolidated Subsidiary. </w:t>
      </w:r>
      <w:r>
        <w:rPr>
          <w:rFonts w:ascii="Courier New" w:cs="Courier New" w:eastAsia="Courier New" w:hAnsi="Courier New"/>
          <w:sz w:val="14"/>
          <w:szCs w:val="14"/>
          <w:color w:val="auto"/>
        </w:rPr>
        <w:t>Minority interest in consolidated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subsidiary decreased $0.5 million from $0.5 million in the first quarter of 2003 to $0 in the first quarter of 2004. The decrease is due entirely to our purchase of the remaining 23% minority interest in NN Europe on May 2, 2003. During the first quarter of 2003, minority interest in consolidated subsidiary represented the 23% of the shares of the joint venture held by SKF.</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decreased by approximately $0.4 million, or 11.7%,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$3.6 million in the first quarter of 2003 to $3.2 million in the first quarter of 2004. As a percentage of net sales, net income decreased from 6.3% during the first quarter of 2003 to 4.1% during the first quarter of 2004.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Liquidity and Capital Resources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On March 23, 2004 we entered into a $2.7 million short-term promissory note ("the $2.7 million note") with AmSouth Bank as the lender. This note, which bears interest at the prime rate (4.0% at March 31, 2004), matures on June 20, 2004. This agreement was entered into to fund short term operating capital requirements. As of March 31, 2004, borrowings totaled $1.0 million under this note. See Note 8 of the Notes to Consolidated Financial Statements.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KLF's operations in Slovakia, on September 23, 2003 we entered into a $2.0 million short-term promissory note ("the $2.0 million note") with AmSouth as the lender. This note, which bears interest at the prime rate (4.0% at March 31, 2004), matures on May 12, 2004. See Note 8 of the Notes to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May 1, 2003 in connection with the purchase of SKF's Veenendaal component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operations and SKF's 23 percent interest in NN Europe, we entered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 new $90 million syndicated credit facility with AmSouth as the</w:t>
      </w:r>
    </w:p>
    <w:p>
      <w:pPr>
        <w:spacing w:after="0" w:line="237" w:lineRule="auto"/>
        <w:rPr>
          <w:sz w:val="20"/>
          <w:szCs w:val="20"/>
          <w:color w:val="auto"/>
        </w:rPr>
      </w:pPr>
      <w:r>
        <w:rPr>
          <w:rFonts w:ascii="Courier New" w:cs="Courier New" w:eastAsia="Courier New" w:hAnsi="Courier New"/>
          <w:sz w:val="15"/>
          <w:szCs w:val="15"/>
          <w:color w:val="auto"/>
        </w:rPr>
        <w:t>administrative agent and Suntrust Bank as the Euro loan agent for the lenders</w:t>
      </w:r>
    </w:p>
    <w:p>
      <w:pPr>
        <w:spacing w:after="0" w:line="238" w:lineRule="auto"/>
        <w:rPr>
          <w:sz w:val="20"/>
          <w:szCs w:val="20"/>
          <w:color w:val="auto"/>
        </w:rPr>
      </w:pPr>
      <w:r>
        <w:rPr>
          <w:rFonts w:ascii="Courier New" w:cs="Courier New" w:eastAsia="Courier New" w:hAnsi="Courier New"/>
          <w:sz w:val="15"/>
          <w:szCs w:val="15"/>
          <w:color w:val="auto"/>
        </w:rPr>
        <w:t>under which we borrowed $60.4 million and 26.3 million Euros ($29.6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"$90 million credit facility") This new financing arrangement replaced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credit facility with AmSouth and NN Europe's credit facility with Hypo</w:t>
      </w:r>
    </w:p>
    <w:p>
      <w:pPr>
        <w:spacing w:after="0" w:line="237" w:lineRule="auto"/>
        <w:rPr>
          <w:sz w:val="20"/>
          <w:szCs w:val="20"/>
          <w:color w:val="auto"/>
        </w:rPr>
      </w:pPr>
      <w:r>
        <w:rPr>
          <w:rFonts w:ascii="Courier New" w:cs="Courier New" w:eastAsia="Courier New" w:hAnsi="Courier New"/>
          <w:sz w:val="15"/>
          <w:szCs w:val="15"/>
          <w:color w:val="auto"/>
        </w:rPr>
        <w:t>Vereinsbank Luxembourg, S.A. The credit facility consists of a $30.0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revolver expiring on March 15, 2006, bearing interest at a floating rate equal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LIBOR (1.11% at March 31, 2004) plus an applicable margin of 1.25 to 2.0,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$30.4 million term loan expiring on May 1, 2008, bearing interest at a floating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equal to LIBOR (1.11% at March 31, 2004) plus an applicable margin of 1.25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2.0 and a 26.3 million Euro ($29.6 million) term loan expiring on May 1, 2008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bears interest at a floating rate equal to Euro LIBOR (1.94% at March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plus an applicable margin of 1.25 to 2.0. The loan agreement contains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customary financial and non-financial covenants. Such covenants specify that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must maintain certain liquidity measures. The loan agreement also contains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customary restrictions on, among other things, additional indebtedness, liens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assets, sales or transfers of assets, investments, restricted payments</w:t>
      </w:r>
    </w:p>
    <w:p>
      <w:pPr>
        <w:spacing w:after="0" w:line="237" w:lineRule="auto"/>
        <w:rPr>
          <w:sz w:val="20"/>
          <w:szCs w:val="20"/>
          <w:color w:val="auto"/>
        </w:rPr>
      </w:pPr>
      <w:r>
        <w:rPr>
          <w:rFonts w:ascii="Courier New" w:cs="Courier New" w:eastAsia="Courier New" w:hAnsi="Courier New"/>
          <w:sz w:val="15"/>
          <w:szCs w:val="15"/>
          <w:color w:val="auto"/>
        </w:rPr>
        <w:t>(including payment of dividends and stock repurchases), issuance of equity</w:t>
      </w:r>
    </w:p>
    <w:p>
      <w:pPr>
        <w:spacing w:after="0" w:line="238" w:lineRule="auto"/>
        <w:rPr>
          <w:sz w:val="20"/>
          <w:szCs w:val="20"/>
          <w:color w:val="auto"/>
        </w:rPr>
      </w:pPr>
      <w:r>
        <w:rPr>
          <w:rFonts w:ascii="Courier New" w:cs="Courier New" w:eastAsia="Courier New" w:hAnsi="Courier New"/>
          <w:sz w:val="15"/>
          <w:szCs w:val="15"/>
          <w:color w:val="auto"/>
        </w:rPr>
        <w:t>securities, and mergers, acquisitions and other fundamental changes in our</w:t>
      </w:r>
    </w:p>
    <w:p>
      <w:pPr>
        <w:spacing w:after="0" w:line="237" w:lineRule="auto"/>
        <w:rPr>
          <w:sz w:val="20"/>
          <w:szCs w:val="20"/>
          <w:color w:val="auto"/>
        </w:rPr>
      </w:pPr>
      <w:r>
        <w:rPr>
          <w:rFonts w:ascii="Courier New" w:cs="Courier New" w:eastAsia="Courier New" w:hAnsi="Courier New"/>
          <w:sz w:val="15"/>
          <w:szCs w:val="15"/>
          <w:color w:val="auto"/>
        </w:rPr>
        <w:t>business. The credit facility is not collateralized except for the pledge of</w:t>
      </w:r>
    </w:p>
    <w:p>
      <w:pPr>
        <w:spacing w:after="0" w:line="238" w:lineRule="auto"/>
        <w:rPr>
          <w:sz w:val="20"/>
          <w:szCs w:val="20"/>
          <w:color w:val="auto"/>
        </w:rPr>
      </w:pPr>
      <w:r>
        <w:rPr>
          <w:rFonts w:ascii="Courier New" w:cs="Courier New" w:eastAsia="Courier New" w:hAnsi="Courier New"/>
          <w:sz w:val="15"/>
          <w:szCs w:val="15"/>
          <w:color w:val="auto"/>
        </w:rPr>
        <w:t>stock of certain foreign subsidiaries. We were in compliance with all such</w:t>
      </w:r>
    </w:p>
    <w:p>
      <w:pPr>
        <w:spacing w:after="0" w:line="237" w:lineRule="auto"/>
        <w:rPr>
          <w:sz w:val="20"/>
          <w:szCs w:val="20"/>
          <w:color w:val="auto"/>
        </w:rPr>
      </w:pPr>
      <w:r>
        <w:rPr>
          <w:rFonts w:ascii="Courier New" w:cs="Courier New" w:eastAsia="Courier New" w:hAnsi="Courier New"/>
          <w:sz w:val="15"/>
          <w:szCs w:val="15"/>
          <w:color w:val="auto"/>
        </w:rPr>
        <w:t>covenants as of March 31, 2004.</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On April 26, 2004 we issued $40.0 million aggregate principal amount of senior notes in a private</w:t>
      </w:r>
    </w:p>
    <w:p>
      <w:pPr>
        <w:sectPr>
          <w:pgSz w:w="11900" w:h="16838" w:orient="portrait"/>
          <w:cols w:equalWidth="0" w:num="1">
            <w:col w:w="10239"/>
          </w:cols>
          <w:pgMar w:left="220" w:top="141" w:right="1440" w:bottom="13" w:gutter="0" w:footer="0" w:header="0"/>
        </w:sectPr>
      </w:pPr>
    </w:p>
    <w:bookmarkStart w:id="10" w:name="page11"/>
    <w:bookmarkEnd w:id="10"/>
    <w:p>
      <w:pPr>
        <w:ind w:left="342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placement. These notes bear interest at a fixed rate of 4.89% and mature on April 26, 2014. Interest is paid semi-annually. Annual principal payments begin on April 26, 2008 and extend through the date of maturity. Proceeds from this credit facility were used to repay our existing US dollar denominated term loan and repay a portion of our borrowings under our US dollar denominated revolving credit facility, which are both components of our $90 million credit facility, and to repay borrowings under our $2.0 million note and our $2.7 million note.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notes are not collateralized except for the pledge of stock of certain foreign subsidiaries. See Notes 8 and 11 of the Notes to Consolidated Financial Statements.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bill and receive payment from some of our customers in Euros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March 31, 2004, no currency hedges were in place. In addition, a strengthening of the U.S. dollar and/or Euro against foreign currencies could impair our ability to compete with international competitors for foreign as well as domestic sales.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$35.7 million at March 31, 2004 as compared to $25.7 million at December 31, 2003. Approximately $8.0 million of the working capital increase is attributable to the classification of the current maturities of our $90 million credit facility and borrowings under our $2.0 million note and $2.7 million note as long-term loans. The ratio of current assets to current liabilities increased from 1.41:1 at December 31, 2003 to 1.60:1 at March 31, 2004. Cash flow from operations increased to $6.2 million during the first three months of 2004 from ($2.8 million) during the first three months of 2003. Contributing to the improvement in cash flow from operations for the three months ended March 31, 2004 was the reduction in inventory levels of approximately $2.3 million.</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2004, we plan to spend approximately $9.0 million on capital expenditures related primarily to equipment and process upgrades and replacements and approximately $5.0 million principally related to geographic expansion of our manufacturing base. Of these amounts approximately $2.3 million has been spent through March 31, 2004.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The Euro</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Seasonality and Fluctuation in Quarterly Results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Our net sales historically have been of a seasonal nature due to a significant portion of our sales to European customers that cease or significantly slow production during the month of August.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Inflation and Changes in Prices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While the Company's operations have not been materially affected by general inflation during recent years, prices for 52100 Steel and other steel related raw materials have increased significantly during the past twelve months. In the Company's U.S. operations our typical pricing arrangements with steel suppliers are subject to adjustment once every six months. The Company's NN Europe Segment has entered into long-term agreements with its primary steel supplier, which provide for standard terms and conditions, annual unit price adjustments, and quarterly pricing adjustments in the form of scrap surcharges. In both our U.S. and European operations, the steel price increases we have experienced are related to increasing global demand for scrap and other steel related raw materials, principally from China. While we reserve the right to increase product prices periodically in the event of increases in its raw material costs, our current contracts in effect with SKF and INA/FAG call for adjustments in selling prices for raw material inflation to occur in January of the following</w:t>
      </w:r>
    </w:p>
    <w:p>
      <w:pPr>
        <w:sectPr>
          <w:pgSz w:w="11900" w:h="16838" w:orient="portrait"/>
          <w:cols w:equalWidth="0" w:num="1">
            <w:col w:w="10239"/>
          </w:cols>
          <w:pgMar w:left="220" w:top="135" w:right="1440" w:bottom="0" w:gutter="0" w:footer="0" w:header="0"/>
        </w:sectPr>
      </w:pPr>
    </w:p>
    <w:bookmarkStart w:id="11" w:name="page12"/>
    <w:bookmarkEnd w:id="11"/>
    <w:p>
      <w:pPr>
        <w:ind w:right="3499"/>
        <w:spacing w:after="0" w:line="235" w:lineRule="auto"/>
        <w:rPr>
          <w:sz w:val="20"/>
          <w:szCs w:val="20"/>
          <w:color w:val="auto"/>
        </w:rPr>
      </w:pPr>
      <w:r>
        <w:rPr>
          <w:rFonts w:ascii="Courier New" w:cs="Courier New" w:eastAsia="Courier New" w:hAnsi="Courier New"/>
          <w:sz w:val="15"/>
          <w:szCs w:val="15"/>
          <w:color w:val="auto"/>
        </w:rPr>
        <w:t>year. As such, the majority of the inflation we are currently experiencing in raw material pricing will not be passed through until January 2005. For other customers, we are currently in the process of adjusting pricing levels to reflect the increases in steel pricing.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Critical Accounting Policies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Our significant accounting policies, including the assumptions and judgments underlying them, are disclosed in the Company's Annual Report on Form 10-K, for the fiscal year ended December 31, 2003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b w:val="1"/>
          <w:bCs w:val="1"/>
          <w:color w:val="auto"/>
        </w:rPr>
        <w:t xml:space="preserve">Accounts Receivable. </w:t>
      </w:r>
      <w:r>
        <w:rPr>
          <w:rFonts w:ascii="Courier New" w:cs="Courier New" w:eastAsia="Courier New" w:hAnsi="Courier New"/>
          <w:sz w:val="14"/>
          <w:szCs w:val="14"/>
          <w:color w:val="auto"/>
        </w:rPr>
        <w:t>Substantially all of the Company's accounts receivable are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due primarily from the served markets: bearing manufacturers, automotive industry, electronics, industrial, agricultural and aerospace.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the Company could experience additional unexpected credit losses.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b w:val="1"/>
          <w:bCs w:val="1"/>
          <w:color w:val="auto"/>
        </w:rPr>
        <w:t xml:space="preserve">Inventories. </w:t>
      </w:r>
      <w:r>
        <w:rPr>
          <w:rFonts w:ascii="Courier New" w:cs="Courier New" w:eastAsia="Courier New" w:hAnsi="Courier New"/>
          <w:sz w:val="14"/>
          <w:szCs w:val="14"/>
          <w:color w:val="auto"/>
        </w:rPr>
        <w:t>Inventories are stated at the lower of cost or market. Cost is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b w:val="1"/>
          <w:bCs w:val="1"/>
          <w:color w:val="auto"/>
        </w:rPr>
        <w:t xml:space="preserve">Acquisitions and Acquired Intangibles. </w:t>
      </w:r>
      <w:r>
        <w:rPr>
          <w:rFonts w:ascii="Courier New" w:cs="Courier New" w:eastAsia="Courier New" w:hAnsi="Courier New"/>
          <w:sz w:val="15"/>
          <w:szCs w:val="15"/>
          <w:color w:val="auto"/>
        </w:rPr>
        <w:t>For new acquisitions, the Company uses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8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b w:val="1"/>
          <w:bCs w:val="1"/>
          <w:color w:val="auto"/>
        </w:rPr>
        <w:t xml:space="preserve">Impairment of Long-Lived Assets. </w:t>
      </w:r>
      <w:r>
        <w:rPr>
          <w:rFonts w:ascii="Courier New" w:cs="Courier New" w:eastAsia="Courier New" w:hAnsi="Courier New"/>
          <w:sz w:val="15"/>
          <w:szCs w:val="15"/>
          <w:color w:val="auto"/>
        </w:rPr>
        <w:t>The Company's long-lived assets include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property, plant and equipment. The recoverability of the long-lived assets is dependent on the performance of the companies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which the Company has acquired, as well as volatility inherent in the external markets for these acquisitions. In assessing potential impairment for these assets the Company will consider these factors as well as forecasted financial performance. For assets held for sale as of December 31, 2003, appraisals are relied upon to assess the fair market value of those assets. The assets held for sale of $1.8 million as of December 31, 2003 have been reclassified as held for use as of March 31, 2004. The amounts reclassified are carried at fair value which is lower than the carrying amount before the assets were classified as held for sale adjusted for depreciation expense. The reclassification of these assets did not have a material impact to our income from operations, net income or cash flow from operations for the three months ended March 31, 2004. Future adverse changes in market conditions or adverse operating results of the underlying assets could result in the Company having to record additional impairment charges not previously recognized.</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b w:val="1"/>
          <w:bCs w:val="1"/>
          <w:color w:val="auto"/>
        </w:rPr>
        <w:t xml:space="preserve">Pension and Post-Retirement Obligations. </w:t>
      </w:r>
      <w:r>
        <w:rPr>
          <w:rFonts w:ascii="Courier New" w:cs="Courier New" w:eastAsia="Courier New" w:hAnsi="Courier New"/>
          <w:sz w:val="15"/>
          <w:szCs w:val="15"/>
          <w:color w:val="auto"/>
        </w:rPr>
        <w:t>The Company uses several assumptions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177"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b w:val="1"/>
          <w:bCs w:val="1"/>
          <w:color w:val="auto"/>
        </w:rPr>
        <w:t>Cautionary Statements for Purposes of the "Safe Harbor" Provisions of the Private Securities Litigation Reform Act of 1995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w:t>
      </w:r>
    </w:p>
    <w:p>
      <w:pPr>
        <w:sectPr>
          <w:pgSz w:w="11900" w:h="16838" w:orient="portrait"/>
          <w:cols w:equalWidth="0" w:num="1">
            <w:col w:w="10239"/>
          </w:cols>
          <w:pgMar w:left="220" w:top="141" w:right="1440" w:bottom="0" w:gutter="0" w:footer="0" w:header="0"/>
        </w:sectPr>
      </w:pPr>
    </w:p>
    <w:bookmarkStart w:id="12" w:name="page13"/>
    <w:bookmarkEnd w:id="12"/>
    <w:p>
      <w:pPr>
        <w:ind w:right="3239"/>
        <w:spacing w:after="0" w:line="235" w:lineRule="auto"/>
        <w:rPr>
          <w:sz w:val="20"/>
          <w:szCs w:val="20"/>
          <w:color w:val="auto"/>
        </w:rPr>
      </w:pPr>
      <w:r>
        <w:rPr>
          <w:rFonts w:ascii="Courier New" w:cs="Courier New" w:eastAsia="Courier New" w:hAnsi="Courier New"/>
          <w:sz w:val="15"/>
          <w:szCs w:val="15"/>
          <w:color w:val="auto"/>
        </w:rPr>
        <w:t>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i w:val="1"/>
          <w:iCs w:val="1"/>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6"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b w:val="1"/>
          <w:bCs w:val="1"/>
          <w:i w:val="1"/>
          <w:iCs w:val="1"/>
          <w:color w:val="auto"/>
        </w:rPr>
        <w:t>The demand for our products is cyclical, which could adversely impact our revenues.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b w:val="1"/>
          <w:bCs w:val="1"/>
          <w:i w:val="1"/>
          <w:iCs w:val="1"/>
          <w:color w:val="auto"/>
        </w:rPr>
        <w:t>We depend on a very limited number of foreign sources for our primary raw material and are subject to risks of shortages and price fluctuation.</w:t>
      </w:r>
    </w:p>
    <w:p>
      <w:pPr>
        <w:spacing w:after="0" w:line="16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impact our ability to operate our business efficiently and have a material adverse effect on the operating and financial results of our Company.</w:t>
      </w:r>
    </w:p>
    <w:p>
      <w:pPr>
        <w:spacing w:after="0" w:line="16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b w:val="1"/>
          <w:bCs w:val="1"/>
          <w:i w:val="1"/>
          <w:iCs w:val="1"/>
          <w:color w:val="auto"/>
        </w:rPr>
        <w:t>We depend heavily on a relatively limited number of customers, and the loss of any major customer would have a material adverse effect on our business.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42% of consolidated net sales in 2003, and sales to INA/FAG accounted for approximately 16% of consolidated net sales in 2003. During 2003, our ten largest customers accounted for approximately 77% of our consolidated net sales. None of our other customers individually accounted for more than 5% of our consolidated net sales for 2003. The loss of all or a substantial portion of sales to these customers would cause us to lose a substantial portion of our revenue and would lower our profit margin and cash flows from operations.</w:t>
      </w:r>
    </w:p>
    <w:p>
      <w:pPr>
        <w:spacing w:after="0" w:line="17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b w:val="1"/>
          <w:bCs w:val="1"/>
          <w:i w:val="1"/>
          <w:iCs w:val="1"/>
          <w:color w:val="auto"/>
        </w:rPr>
        <w:t>We operate in and sell products to customers outside the U.S. and are subject to several related risks.</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5"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foreign currency fluctuations;</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trade restrictions or prohibitions;</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import or other duties or taxes; and</w:t>
      </w:r>
    </w:p>
    <w:p>
      <w:pPr>
        <w:spacing w:after="0" w:line="172" w:lineRule="exact"/>
        <w:rPr>
          <w:rFonts w:ascii="Courier New" w:cs="Courier New" w:eastAsia="Courier New" w:hAnsi="Courier New"/>
          <w:sz w:val="15"/>
          <w:szCs w:val="15"/>
          <w:color w:val="auto"/>
        </w:rPr>
      </w:pPr>
    </w:p>
    <w:p>
      <w:pPr>
        <w:jc w:val="both"/>
        <w:ind w:left="880" w:right="3839" w:hanging="433"/>
        <w:spacing w:after="0" w:line="261"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our suppliers, manufacturing operations, and customers are located.</w:t>
      </w:r>
    </w:p>
    <w:p>
      <w:pPr>
        <w:spacing w:after="0" w:line="16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could negatively impact our consolidated financial results, which are denominated in U.S. Dollars.</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b w:val="1"/>
          <w:bCs w:val="1"/>
          <w:i w:val="1"/>
          <w:iCs w:val="1"/>
          <w:color w:val="auto"/>
        </w:rPr>
        <w:t>The costs and difficulties of integrating acquired business could impede our future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cannot assure you that any future acquisition will enhance our financial</w:t>
      </w:r>
    </w:p>
    <w:p>
      <w:pPr>
        <w:sectPr>
          <w:pgSz w:w="11900" w:h="16838" w:orient="portrait"/>
          <w:cols w:equalWidth="0" w:num="1">
            <w:col w:w="10239"/>
          </w:cols>
          <w:pgMar w:left="220" w:top="141" w:right="1440" w:bottom="0" w:gutter="0" w:footer="0" w:header="0"/>
        </w:sectPr>
      </w:pPr>
    </w:p>
    <w:bookmarkStart w:id="13" w:name="page14"/>
    <w:bookmarkEnd w:id="13"/>
    <w:p>
      <w:pPr>
        <w:ind w:right="3399"/>
        <w:spacing w:after="0" w:line="255" w:lineRule="auto"/>
        <w:rPr>
          <w:sz w:val="20"/>
          <w:szCs w:val="20"/>
          <w:color w:val="auto"/>
        </w:rPr>
      </w:pPr>
      <w:r>
        <w:rPr>
          <w:rFonts w:ascii="Courier New" w:cs="Courier New" w:eastAsia="Courier New" w:hAnsi="Courier New"/>
          <w:sz w:val="14"/>
          <w:szCs w:val="14"/>
          <w:color w:val="auto"/>
        </w:rPr>
        <w:t>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b w:val="1"/>
          <w:bCs w:val="1"/>
          <w:i w:val="1"/>
          <w:iCs w:val="1"/>
          <w:color w:val="auto"/>
        </w:rPr>
        <w:t>We may not be able to continue to make the acquisitions necessary for us to realize our growth strategy.</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Acquiring businesses that complement or expand our operations has been and continues to be an important element of our business strategy. This strategy calls for growth through acquisitions constituting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approximately two-thirds of our future growth, with the remainder resulting from internal growth and market penetration. We bought our plastic bearing component business in 1999, formed NN Europe with our two largest bearing customers, SKF and INA/FAG, in 2000 and acquired our bearing seal operations in 2001. During 2002, we purchased INA/FAG's minority interest in NN Europe and on May 2, 2003 we acquired SKF's minority interest in NN Europe, to become the sole owner at NN Europe. On May 2, 2003 we acquired SKF's tapered roller and metal cage manufacturing operations in Veenendaal, The Netherlands. On October 9, 2003 we acquired the precision ball producing assets of KLF-Gulickaren in Kysucke Nove Mesto, Slovakia.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7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b w:val="1"/>
          <w:bCs w:val="1"/>
          <w:i w:val="1"/>
          <w:iCs w:val="1"/>
          <w:color w:val="auto"/>
        </w:rPr>
        <w:t>Our growth strategy depends on outsourcing, and if the industry trend toward outsourcing does not continue, our business could be adversely affected.</w:t>
      </w:r>
    </w:p>
    <w:p>
      <w:pPr>
        <w:spacing w:after="0" w:line="32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b w:val="1"/>
          <w:bCs w:val="1"/>
          <w:i w:val="1"/>
          <w:iCs w:val="1"/>
          <w:color w:val="auto"/>
        </w:rPr>
        <w:t>Our market is highly competitive and many of our competitors have significant advantages that could adversely affect our business.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i w:val="1"/>
          <w:iCs w:val="1"/>
          <w:color w:val="auto"/>
        </w:rPr>
        <w:t>The price of our common stock may be volatile.</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market price of our common stock could be subject to significant fluctuations and may decline. Among the factors that could affect our stock price are:</w:t>
      </w:r>
    </w:p>
    <w:p>
      <w:pPr>
        <w:spacing w:after="0" w:line="167"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and financial performance and prospects;</w:t>
      </w:r>
    </w:p>
    <w:p>
      <w:pPr>
        <w:spacing w:after="0" w:line="172" w:lineRule="exact"/>
        <w:rPr>
          <w:rFonts w:ascii="Courier New" w:cs="Courier New" w:eastAsia="Courier New" w:hAnsi="Courier New"/>
          <w:sz w:val="15"/>
          <w:szCs w:val="15"/>
          <w:color w:val="auto"/>
        </w:rPr>
      </w:pPr>
    </w:p>
    <w:p>
      <w:pPr>
        <w:ind w:left="880" w:right="3759" w:hanging="433"/>
        <w:spacing w:after="0" w:line="261"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59" w:lineRule="exact"/>
        <w:rPr>
          <w:rFonts w:ascii="Courier New" w:cs="Courier New" w:eastAsia="Courier New" w:hAnsi="Courier New"/>
          <w:sz w:val="14"/>
          <w:szCs w:val="14"/>
          <w:color w:val="auto"/>
        </w:rPr>
      </w:pPr>
    </w:p>
    <w:p>
      <w:pPr>
        <w:ind w:left="880" w:right="349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revenue or earnings estimates or publication of research reports by analysts;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any member of our senior management team;</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ectPr>
          <w:pgSz w:w="11900" w:h="16838" w:orient="portrait"/>
          <w:cols w:equalWidth="0" w:num="1">
            <w:col w:w="10239"/>
          </w:cols>
          <w:pgMar w:left="220" w:top="141" w:right="1440" w:bottom="349" w:gutter="0" w:footer="0" w:header="0"/>
        </w:sectPr>
      </w:pPr>
    </w:p>
    <w:bookmarkStart w:id="14" w:name="page15"/>
    <w:bookmarkEnd w:id="14"/>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speculation in the press or investment community;</w:t>
      </w:r>
    </w:p>
    <w:p>
      <w:pPr>
        <w:spacing w:after="0" w:line="172"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actions by us or our competitors, such as acquisitions or restructurings;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our common stock by stockholders;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 and</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legal and regulatory factors unrelated to our performance.</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b w:val="1"/>
          <w:bCs w:val="1"/>
          <w:i w:val="1"/>
          <w:iCs w:val="1"/>
          <w:color w:val="auto"/>
        </w:rPr>
        <w:t>Provisions in our charter documents and Delaware law may inhibit a takeover, which could adversely affect the value of our common stock.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3. Quantitative and Qualitative Disclosures About Market Risk</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March 31, 2004, we had $59.3 million outstanding under the domestic credit facilities and</w:t>
      </w:r>
    </w:p>
    <w:p>
      <w:pPr>
        <w:spacing w:after="0" w:line="2" w:lineRule="exact"/>
        <w:rPr>
          <w:sz w:val="20"/>
          <w:szCs w:val="20"/>
          <w:color w:val="auto"/>
        </w:rPr>
      </w:pPr>
    </w:p>
    <w:p>
      <w:pPr>
        <w:ind w:right="3239" w:firstLine="10"/>
        <w:spacing w:after="0" w:line="255" w:lineRule="auto"/>
        <w:tabs>
          <w:tab w:leader="none" w:pos="26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had 21.0 million Euro ($25.7 million) outstanding under the Euro term loan. See Note 8 of the Notes to Consolidated Financial Statements. At March 31, 2004, a one-percent increase in the interest rate charged on our outstanding borrowings under both credit facilities would result in interest expense increasing annually by approximately $0.8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swap. This original debt was repaid in May 2003, however, the swap remains pursuant to its original terms. On May 1, 2003, we entered into the $90 million credit facility. This new financing arrangement replaces our prior credit facility with AmSouth and NN Europe's credit facility with Hypo Vereinsbank Luxembourg, S.A.,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March 31,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4. Controls and Procedures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As of March 31, 2004, we carried out an evaluation, under the supervision and with the participation of the Company's management, including the Company's</w:t>
      </w:r>
    </w:p>
    <w:p>
      <w:pPr>
        <w:sectPr>
          <w:pgSz w:w="11900" w:h="16838" w:orient="portrait"/>
          <w:cols w:equalWidth="0" w:num="1">
            <w:col w:w="10239"/>
          </w:cols>
          <w:pgMar w:left="220" w:top="303" w:right="1440" w:bottom="0" w:gutter="0" w:footer="0" w:header="0"/>
        </w:sectPr>
      </w:pPr>
    </w:p>
    <w:bookmarkStart w:id="15" w:name="page16"/>
    <w:bookmarkEnd w:id="15"/>
    <w:p>
      <w:pPr>
        <w:ind w:right="3239"/>
        <w:spacing w:after="0" w:line="255" w:lineRule="auto"/>
        <w:rPr>
          <w:sz w:val="20"/>
          <w:szCs w:val="20"/>
          <w:color w:val="auto"/>
        </w:rPr>
      </w:pPr>
      <w:r>
        <w:rPr>
          <w:rFonts w:ascii="Courier New" w:cs="Courier New" w:eastAsia="Courier New" w:hAnsi="Courier New"/>
          <w:sz w:val="14"/>
          <w:szCs w:val="14"/>
          <w:color w:val="auto"/>
        </w:rPr>
        <w:t>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6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There have been no changes in this fiscal quarter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Part II. Other Information</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1.</w:t>
      </w:r>
      <w:r>
        <w:rPr>
          <w:sz w:val="20"/>
          <w:szCs w:val="20"/>
          <w:color w:val="auto"/>
        </w:rPr>
        <w:tab/>
      </w:r>
      <w:r>
        <w:rPr>
          <w:rFonts w:ascii="Courier New" w:cs="Courier New" w:eastAsia="Courier New" w:hAnsi="Courier New"/>
          <w:sz w:val="14"/>
          <w:szCs w:val="14"/>
          <w:b w:val="1"/>
          <w:bCs w:val="1"/>
          <w:color w:val="auto"/>
        </w:rPr>
        <w:t>Legal Proceedings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2.</w:t>
      </w:r>
      <w:r>
        <w:rPr>
          <w:sz w:val="20"/>
          <w:szCs w:val="20"/>
          <w:color w:val="auto"/>
        </w:rPr>
        <w:tab/>
      </w:r>
      <w:r>
        <w:rPr>
          <w:rFonts w:ascii="Courier New" w:cs="Courier New" w:eastAsia="Courier New" w:hAnsi="Courier New"/>
          <w:sz w:val="14"/>
          <w:szCs w:val="14"/>
          <w:b w:val="1"/>
          <w:bCs w:val="1"/>
          <w:color w:val="auto"/>
        </w:rPr>
        <w:t>Change in Securities and Use of Proceeds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3.</w:t>
      </w:r>
      <w:r>
        <w:rPr>
          <w:sz w:val="20"/>
          <w:szCs w:val="20"/>
          <w:color w:val="auto"/>
        </w:rPr>
        <w:tab/>
      </w:r>
      <w:r>
        <w:rPr>
          <w:rFonts w:ascii="Courier New" w:cs="Courier New" w:eastAsia="Courier New" w:hAnsi="Courier New"/>
          <w:sz w:val="14"/>
          <w:szCs w:val="14"/>
          <w:b w:val="1"/>
          <w:bCs w:val="1"/>
          <w:color w:val="auto"/>
        </w:rPr>
        <w:t>Defaults upon Senior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4.</w:t>
      </w:r>
      <w:r>
        <w:rPr>
          <w:sz w:val="20"/>
          <w:szCs w:val="20"/>
          <w:color w:val="auto"/>
        </w:rPr>
        <w:tab/>
      </w:r>
      <w:r>
        <w:rPr>
          <w:rFonts w:ascii="Courier New" w:cs="Courier New" w:eastAsia="Courier New" w:hAnsi="Courier New"/>
          <w:sz w:val="14"/>
          <w:szCs w:val="14"/>
          <w:b w:val="1"/>
          <w:bCs w:val="1"/>
          <w:color w:val="auto"/>
        </w:rPr>
        <w:t>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5.</w:t>
      </w:r>
      <w:r>
        <w:rPr>
          <w:sz w:val="20"/>
          <w:szCs w:val="20"/>
          <w:color w:val="auto"/>
        </w:rPr>
        <w:tab/>
      </w:r>
      <w:r>
        <w:rPr>
          <w:rFonts w:ascii="Courier New" w:cs="Courier New" w:eastAsia="Courier New" w:hAnsi="Courier New"/>
          <w:sz w:val="14"/>
          <w:szCs w:val="14"/>
          <w:b w:val="1"/>
          <w:bCs w:val="1"/>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b w:val="1"/>
          <w:bCs w:val="1"/>
          <w:color w:val="auto"/>
        </w:rPr>
        <w:t>Item 6.</w:t>
      </w:r>
      <w:r>
        <w:rPr>
          <w:sz w:val="20"/>
          <w:szCs w:val="20"/>
          <w:color w:val="auto"/>
        </w:rPr>
        <w:tab/>
      </w:r>
      <w:r>
        <w:rPr>
          <w:rFonts w:ascii="Courier New" w:cs="Courier New" w:eastAsia="Courier New" w:hAnsi="Courier New"/>
          <w:sz w:val="14"/>
          <w:szCs w:val="14"/>
          <w:b w:val="1"/>
          <w:bCs w:val="1"/>
          <w:color w:val="auto"/>
        </w:rPr>
        <w:t>Exhibits and Reports on Form 8-K.</w:t>
      </w:r>
    </w:p>
    <w:p>
      <w:pPr>
        <w:spacing w:after="0" w:line="166"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w:t>
      </w:r>
    </w:p>
    <w:p>
      <w:pPr>
        <w:spacing w:after="0" w:line="173" w:lineRule="exact"/>
        <w:rPr>
          <w:sz w:val="20"/>
          <w:szCs w:val="20"/>
          <w:color w:val="auto"/>
        </w:rPr>
      </w:pPr>
    </w:p>
    <w:p>
      <w:pPr>
        <w:ind w:left="880" w:right="3239" w:hanging="436"/>
        <w:spacing w:after="0" w:line="235" w:lineRule="auto"/>
        <w:rPr>
          <w:sz w:val="20"/>
          <w:szCs w:val="20"/>
          <w:color w:val="auto"/>
        </w:rPr>
      </w:pPr>
      <w:r>
        <w:rPr>
          <w:rFonts w:ascii="Courier New" w:cs="Courier New" w:eastAsia="Courier New" w:hAnsi="Courier New"/>
          <w:sz w:val="15"/>
          <w:szCs w:val="15"/>
          <w:color w:val="auto"/>
        </w:rPr>
        <w:t>10.1 Amendment No. 2 to Credit Agreement dated March 12, 2004, by and among NN, Inc., NN Euroball ApS, certain subsidiaries, AmSouth Bank as administrative agent and SunTrust Bank as Documentation Agent and Euro Loan Agent.</w:t>
      </w:r>
    </w:p>
    <w:p>
      <w:pPr>
        <w:spacing w:after="0" w:line="175" w:lineRule="exact"/>
        <w:rPr>
          <w:sz w:val="20"/>
          <w:szCs w:val="20"/>
          <w:color w:val="auto"/>
        </w:rPr>
      </w:pPr>
    </w:p>
    <w:p>
      <w:pPr>
        <w:ind w:left="880" w:right="3239" w:hanging="436"/>
        <w:spacing w:after="0" w:line="235" w:lineRule="auto"/>
        <w:rPr>
          <w:sz w:val="20"/>
          <w:szCs w:val="20"/>
          <w:color w:val="auto"/>
        </w:rPr>
      </w:pPr>
      <w:r>
        <w:rPr>
          <w:rFonts w:ascii="Courier New" w:cs="Courier New" w:eastAsia="Courier New" w:hAnsi="Courier New"/>
          <w:sz w:val="15"/>
          <w:szCs w:val="15"/>
          <w:color w:val="auto"/>
        </w:rPr>
        <w:t>10.2 Amendment No. 3 to Credit Agreement dated March 31, 2004, by and among NN, Inc., NN Europe ApS, certain subsidiaries, AmSouth Bank as administrative agent and SunTrust Bank as Documentation Agent and Euro Loan Agent.</w:t>
      </w:r>
    </w:p>
    <w:p>
      <w:pPr>
        <w:spacing w:after="0" w:line="175" w:lineRule="exact"/>
        <w:rPr>
          <w:sz w:val="20"/>
          <w:szCs w:val="20"/>
          <w:color w:val="auto"/>
        </w:rPr>
      </w:pPr>
    </w:p>
    <w:p>
      <w:pPr>
        <w:ind w:left="880" w:right="3499" w:hanging="436"/>
        <w:spacing w:after="0" w:line="234" w:lineRule="auto"/>
        <w:rPr>
          <w:sz w:val="20"/>
          <w:szCs w:val="20"/>
          <w:color w:val="auto"/>
        </w:rPr>
      </w:pPr>
      <w:r>
        <w:rPr>
          <w:rFonts w:ascii="Courier New" w:cs="Courier New" w:eastAsia="Courier New" w:hAnsi="Courier New"/>
          <w:sz w:val="15"/>
          <w:szCs w:val="15"/>
          <w:color w:val="auto"/>
        </w:rPr>
        <w:t>31.1 Certification of Chief Executive Officer pursuant to Section 302 of Sarbanes-Oxley Act.</w:t>
      </w:r>
    </w:p>
    <w:p>
      <w:pPr>
        <w:spacing w:after="0" w:line="173" w:lineRule="exact"/>
        <w:rPr>
          <w:sz w:val="20"/>
          <w:szCs w:val="20"/>
          <w:color w:val="auto"/>
        </w:rPr>
      </w:pPr>
    </w:p>
    <w:p>
      <w:pPr>
        <w:ind w:left="880" w:right="3499" w:hanging="436"/>
        <w:spacing w:after="0" w:line="234" w:lineRule="auto"/>
        <w:rPr>
          <w:sz w:val="20"/>
          <w:szCs w:val="20"/>
          <w:color w:val="auto"/>
        </w:rPr>
      </w:pPr>
      <w:r>
        <w:rPr>
          <w:rFonts w:ascii="Courier New" w:cs="Courier New" w:eastAsia="Courier New" w:hAnsi="Courier New"/>
          <w:sz w:val="15"/>
          <w:szCs w:val="15"/>
          <w:color w:val="auto"/>
        </w:rPr>
        <w:t>31.2 Certification of Chief Financial Officer pursuant to Section 302 of Sarbanes-Oxley Act.</w:t>
      </w:r>
    </w:p>
    <w:p>
      <w:pPr>
        <w:spacing w:after="0" w:line="173" w:lineRule="exact"/>
        <w:rPr>
          <w:sz w:val="20"/>
          <w:szCs w:val="20"/>
          <w:color w:val="auto"/>
        </w:rPr>
      </w:pPr>
    </w:p>
    <w:p>
      <w:pPr>
        <w:ind w:left="880" w:right="3499" w:hanging="436"/>
        <w:spacing w:after="0" w:line="234" w:lineRule="auto"/>
        <w:rPr>
          <w:sz w:val="20"/>
          <w:szCs w:val="20"/>
          <w:color w:val="auto"/>
        </w:rPr>
      </w:pPr>
      <w:r>
        <w:rPr>
          <w:rFonts w:ascii="Courier New" w:cs="Courier New" w:eastAsia="Courier New" w:hAnsi="Courier New"/>
          <w:sz w:val="15"/>
          <w:szCs w:val="15"/>
          <w:color w:val="auto"/>
        </w:rPr>
        <w:t>32.1 Certification of Chief Executive Officer pursuant to Section 906 of Sarbanes-Oxley Act.</w:t>
      </w:r>
    </w:p>
    <w:p>
      <w:pPr>
        <w:spacing w:after="0" w:line="173" w:lineRule="exact"/>
        <w:rPr>
          <w:sz w:val="20"/>
          <w:szCs w:val="20"/>
          <w:color w:val="auto"/>
        </w:rPr>
      </w:pPr>
    </w:p>
    <w:p>
      <w:pPr>
        <w:ind w:left="880" w:right="3499" w:hanging="436"/>
        <w:spacing w:after="0" w:line="234" w:lineRule="auto"/>
        <w:rPr>
          <w:sz w:val="20"/>
          <w:szCs w:val="20"/>
          <w:color w:val="auto"/>
        </w:rPr>
      </w:pPr>
      <w:r>
        <w:rPr>
          <w:rFonts w:ascii="Courier New" w:cs="Courier New" w:eastAsia="Courier New" w:hAnsi="Courier New"/>
          <w:sz w:val="15"/>
          <w:szCs w:val="15"/>
          <w:color w:val="auto"/>
        </w:rPr>
        <w:t>32.2 Certification of Chief Financial Officer pursuant to Section 906 of Sarbanes-Oxley Act.</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The Company furnished a Form 8-K, in response to Items 12 and 7, on February 26, 2004 announcing its fourth quarter and fiscal year 2003 earnings.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b w:val="1"/>
          <w:bCs w:val="1"/>
          <w:color w:val="auto"/>
        </w:rPr>
        <w:t>SIGNATURES</w:t>
      </w:r>
    </w:p>
    <w:p>
      <w:pPr>
        <w:spacing w:after="0" w:line="341"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141" w:right="1440"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NN, Inc.</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8"/>
              </w:rPr>
              <w:t>(Registrant)</w:t>
            </w:r>
          </w:p>
        </w:tc>
      </w:tr>
      <w:tr>
        <w:trPr>
          <w:trHeight w:val="505"/>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Date:</w:t>
            </w:r>
          </w:p>
        </w:tc>
        <w:tc>
          <w:tcPr>
            <w:tcW w:w="23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6"/>
              </w:rPr>
              <w:t>May 10, 2004</w:t>
            </w:r>
          </w:p>
        </w:tc>
        <w:tc>
          <w:tcPr>
            <w:tcW w:w="39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/s/ Roderick R. Baty</w:t>
            </w:r>
          </w:p>
        </w:tc>
      </w:tr>
      <w:tr>
        <w:trPr>
          <w:trHeight w:val="168"/>
        </w:trPr>
        <w:tc>
          <w:tcPr>
            <w:tcW w:w="440" w:type="dxa"/>
            <w:vAlign w:val="bottom"/>
          </w:tcPr>
          <w:p>
            <w:pPr>
              <w:spacing w:after="0"/>
              <w:rPr>
                <w:sz w:val="14"/>
                <w:szCs w:val="14"/>
                <w:color w:val="auto"/>
              </w:rPr>
            </w:pPr>
          </w:p>
        </w:tc>
        <w:tc>
          <w:tcPr>
            <w:tcW w:w="236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w:t>
            </w:r>
          </w:p>
        </w:tc>
        <w:tc>
          <w:tcPr>
            <w:tcW w:w="39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Roderick R. Baty,</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Chairman, President and</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Chief Executive Officer</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(Duly Authorized Officer)</w:t>
            </w:r>
          </w:p>
        </w:tc>
      </w:tr>
      <w:tr>
        <w:trPr>
          <w:trHeight w:val="505"/>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Date:</w:t>
            </w:r>
          </w:p>
        </w:tc>
        <w:tc>
          <w:tcPr>
            <w:tcW w:w="23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6"/>
              </w:rPr>
              <w:t>May 10, 2004</w:t>
            </w:r>
          </w:p>
        </w:tc>
        <w:tc>
          <w:tcPr>
            <w:tcW w:w="39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/s/ David L. Dyckman</w:t>
            </w:r>
          </w:p>
        </w:tc>
      </w:tr>
      <w:tr>
        <w:trPr>
          <w:trHeight w:val="168"/>
        </w:trPr>
        <w:tc>
          <w:tcPr>
            <w:tcW w:w="440" w:type="dxa"/>
            <w:vAlign w:val="bottom"/>
          </w:tcPr>
          <w:p>
            <w:pPr>
              <w:spacing w:after="0"/>
              <w:rPr>
                <w:sz w:val="14"/>
                <w:szCs w:val="14"/>
                <w:color w:val="auto"/>
              </w:rPr>
            </w:pPr>
          </w:p>
        </w:tc>
        <w:tc>
          <w:tcPr>
            <w:tcW w:w="236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w:t>
            </w:r>
          </w:p>
        </w:tc>
        <w:tc>
          <w:tcPr>
            <w:tcW w:w="39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David L. Dyckman</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Vice President - Corporate Development</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Chief Financial Officer</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(Principal Financial Officer)</w:t>
            </w:r>
          </w:p>
        </w:tc>
      </w:tr>
      <w:tr>
        <w:trPr>
          <w:trHeight w:val="168"/>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(Duly Authorized Officer)</w:t>
            </w:r>
          </w:p>
        </w:tc>
      </w:tr>
      <w:tr>
        <w:trPr>
          <w:trHeight w:val="505"/>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Date:</w:t>
            </w:r>
          </w:p>
        </w:tc>
        <w:tc>
          <w:tcPr>
            <w:tcW w:w="23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6"/>
              </w:rPr>
              <w:t>May 10, 2004</w:t>
            </w:r>
          </w:p>
        </w:tc>
        <w:tc>
          <w:tcPr>
            <w:tcW w:w="394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7"/>
              </w:rPr>
              <w:t>/s/ William C. Kelly, Jr.</w:t>
            </w:r>
          </w:p>
        </w:tc>
      </w:tr>
      <w:tr>
        <w:trPr>
          <w:trHeight w:val="168"/>
        </w:trPr>
        <w:tc>
          <w:tcPr>
            <w:tcW w:w="440" w:type="dxa"/>
            <w:vAlign w:val="bottom"/>
          </w:tcPr>
          <w:p>
            <w:pPr>
              <w:spacing w:after="0"/>
              <w:rPr>
                <w:sz w:val="14"/>
                <w:szCs w:val="14"/>
                <w:color w:val="auto"/>
              </w:rPr>
            </w:pPr>
          </w:p>
        </w:tc>
        <w:tc>
          <w:tcPr>
            <w:tcW w:w="236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w:t>
            </w:r>
          </w:p>
        </w:tc>
        <w:tc>
          <w:tcPr>
            <w:tcW w:w="39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bl>
    <w:p>
      <w:pPr>
        <w:ind w:left="4300"/>
        <w:spacing w:after="0" w:line="237" w:lineRule="auto"/>
        <w:rPr>
          <w:sz w:val="20"/>
          <w:szCs w:val="20"/>
          <w:color w:val="auto"/>
        </w:rPr>
      </w:pPr>
      <w:r>
        <w:rPr>
          <w:rFonts w:ascii="Courier New" w:cs="Courier New" w:eastAsia="Courier New" w:hAnsi="Courier New"/>
          <w:sz w:val="15"/>
          <w:szCs w:val="15"/>
          <w:color w:val="auto"/>
        </w:rPr>
        <w:t>William C. Kelly, Jr.,</w:t>
      </w:r>
    </w:p>
    <w:p>
      <w:pPr>
        <w:ind w:left="4200"/>
        <w:spacing w:after="0" w:line="238" w:lineRule="auto"/>
        <w:rPr>
          <w:sz w:val="20"/>
          <w:szCs w:val="20"/>
          <w:color w:val="auto"/>
        </w:rPr>
      </w:pPr>
      <w:r>
        <w:rPr>
          <w:rFonts w:ascii="Courier New" w:cs="Courier New" w:eastAsia="Courier New" w:hAnsi="Courier New"/>
          <w:sz w:val="15"/>
          <w:szCs w:val="15"/>
          <w:color w:val="auto"/>
        </w:rPr>
        <w:t>Treasurer, Secretary and</w:t>
      </w:r>
    </w:p>
    <w:p>
      <w:pPr>
        <w:ind w:left="4040"/>
        <w:spacing w:after="0" w:line="237" w:lineRule="auto"/>
        <w:rPr>
          <w:sz w:val="20"/>
          <w:szCs w:val="20"/>
          <w:color w:val="auto"/>
        </w:rPr>
      </w:pPr>
      <w:r>
        <w:rPr>
          <w:rFonts w:ascii="Courier New" w:cs="Courier New" w:eastAsia="Courier New" w:hAnsi="Courier New"/>
          <w:sz w:val="15"/>
          <w:szCs w:val="15"/>
          <w:color w:val="auto"/>
        </w:rPr>
        <w:t>Chief Administrative Officer</w:t>
      </w:r>
    </w:p>
    <w:p>
      <w:pPr>
        <w:ind w:left="4200"/>
        <w:spacing w:after="0" w:line="238" w:lineRule="auto"/>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40" w:right="1440" w:bottom="1440" w:gutter="0" w:footer="0" w:header="0"/>
        </w:sectPr>
      </w:pPr>
    </w:p>
    <w:bookmarkStart w:id="17" w:name="page18"/>
    <w:bookmarkEnd w:id="17"/>
    <w:p>
      <w:pPr>
        <w:jc w:val="right"/>
        <w:ind w:right="3239"/>
        <w:spacing w:after="0"/>
        <w:rPr>
          <w:sz w:val="20"/>
          <w:szCs w:val="20"/>
          <w:color w:val="auto"/>
        </w:rPr>
      </w:pPr>
      <w:r>
        <w:rPr>
          <w:rFonts w:ascii="Courier New" w:cs="Courier New" w:eastAsia="Courier New" w:hAnsi="Courier New"/>
          <w:sz w:val="15"/>
          <w:szCs w:val="15"/>
          <w:u w:val="single" w:color="auto"/>
          <w:color w:val="auto"/>
        </w:rPr>
        <w:t>Exhibit 10.1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b w:val="1"/>
          <w:bCs w:val="1"/>
          <w:color w:val="auto"/>
        </w:rPr>
        <w:t>AMENDMENT NO. 2 TO CREDIT AGREEMENT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b w:val="1"/>
          <w:bCs w:val="1"/>
          <w:color w:val="auto"/>
        </w:rPr>
        <w:t xml:space="preserve">THIS AMENDMENT NO. 2 TO CREDIT AGREEMENT </w:t>
      </w:r>
      <w:r>
        <w:rPr>
          <w:rFonts w:ascii="Courier New" w:cs="Courier New" w:eastAsia="Courier New" w:hAnsi="Courier New"/>
          <w:sz w:val="14"/>
          <w:szCs w:val="14"/>
          <w:color w:val="auto"/>
        </w:rPr>
        <w:t>(this "</w:t>
      </w:r>
      <w:r>
        <w:rPr>
          <w:rFonts w:ascii="Courier New" w:cs="Courier New" w:eastAsia="Courier New" w:hAnsi="Courier New"/>
          <w:sz w:val="14"/>
          <w:szCs w:val="14"/>
          <w:u w:val="single" w:color="auto"/>
          <w:color w:val="auto"/>
        </w:rPr>
        <w:t>Amendment</w:t>
      </w:r>
      <w:r>
        <w:rPr>
          <w:rFonts w:ascii="Courier New" w:cs="Courier New" w:eastAsia="Courier New" w:hAnsi="Courier New"/>
          <w:sz w:val="14"/>
          <w:szCs w:val="14"/>
          <w:color w:val="auto"/>
        </w:rPr>
        <w:t>"), dated as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of March 12, 2004, is made and entered into on the terms and conditions hereinafter set forth, by and among NN, INC., a Delaware corporation ("</w:t>
      </w:r>
      <w:r>
        <w:rPr>
          <w:rFonts w:ascii="Courier New" w:cs="Courier New" w:eastAsia="Courier New" w:hAnsi="Courier New"/>
          <w:sz w:val="14"/>
          <w:szCs w:val="14"/>
          <w:u w:val="single" w:color="auto"/>
          <w:color w:val="auto"/>
        </w:rPr>
        <w:t>Domestic</w:t>
      </w:r>
      <w:r>
        <w:rPr>
          <w:rFonts w:ascii="Courier New" w:cs="Courier New" w:eastAsia="Courier New" w:hAnsi="Courier New"/>
          <w:sz w:val="14"/>
          <w:szCs w:val="14"/>
          <w:color w:val="auto"/>
        </w:rPr>
        <w:t xml:space="preserve"> </w:t>
      </w:r>
      <w:r>
        <w:rPr>
          <w:rFonts w:ascii="Courier New" w:cs="Courier New" w:eastAsia="Courier New" w:hAnsi="Courier New"/>
          <w:sz w:val="14"/>
          <w:szCs w:val="14"/>
          <w:u w:val="single" w:color="auto"/>
          <w:color w:val="auto"/>
        </w:rPr>
        <w:t>Borrower</w:t>
      </w:r>
      <w:r>
        <w:rPr>
          <w:rFonts w:ascii="Courier New" w:cs="Courier New" w:eastAsia="Courier New" w:hAnsi="Courier New"/>
          <w:sz w:val="14"/>
          <w:szCs w:val="14"/>
          <w:color w:val="auto"/>
        </w:rPr>
        <w:t>"), NN EUROBALL ApS, a Denmark limited liability company ("</w:t>
      </w:r>
      <w:r>
        <w:rPr>
          <w:rFonts w:ascii="Courier New" w:cs="Courier New" w:eastAsia="Courier New" w:hAnsi="Courier New"/>
          <w:sz w:val="14"/>
          <w:szCs w:val="14"/>
          <w:u w:val="single" w:color="auto"/>
          <w:color w:val="auto"/>
        </w:rPr>
        <w:t>Euro</w:t>
      </w:r>
      <w:r>
        <w:rPr>
          <w:rFonts w:ascii="Courier New" w:cs="Courier New" w:eastAsia="Courier New" w:hAnsi="Courier New"/>
          <w:sz w:val="14"/>
          <w:szCs w:val="14"/>
          <w:color w:val="auto"/>
        </w:rPr>
        <w:t xml:space="preserve"> </w:t>
      </w:r>
      <w:r>
        <w:rPr>
          <w:rFonts w:ascii="Courier New" w:cs="Courier New" w:eastAsia="Courier New" w:hAnsi="Courier New"/>
          <w:sz w:val="14"/>
          <w:szCs w:val="14"/>
          <w:u w:val="single" w:color="auto"/>
          <w:color w:val="auto"/>
        </w:rPr>
        <w:t>Borrower</w:t>
      </w:r>
      <w:r>
        <w:rPr>
          <w:rFonts w:ascii="Courier New" w:cs="Courier New" w:eastAsia="Courier New" w:hAnsi="Courier New"/>
          <w:sz w:val="14"/>
          <w:szCs w:val="14"/>
          <w:color w:val="auto"/>
        </w:rPr>
        <w:t>"; Domestic Borrower and Euro Borrower are sometimes hereinafter individually and collectively referred to as the "</w:t>
      </w:r>
      <w:r>
        <w:rPr>
          <w:rFonts w:ascii="Courier New" w:cs="Courier New" w:eastAsia="Courier New" w:hAnsi="Courier New"/>
          <w:sz w:val="14"/>
          <w:szCs w:val="14"/>
          <w:u w:val="single" w:color="auto"/>
          <w:color w:val="auto"/>
        </w:rPr>
        <w:t>Borrower</w:t>
      </w:r>
      <w:r>
        <w:rPr>
          <w:rFonts w:ascii="Courier New" w:cs="Courier New" w:eastAsia="Courier New" w:hAnsi="Courier New"/>
          <w:sz w:val="14"/>
          <w:szCs w:val="14"/>
          <w:color w:val="auto"/>
        </w:rPr>
        <w:t>"), all subsidiaries (except for the Euro Borrower) of the Domestic Borrower who are now or hereafter become parties to the Credit Agreement, as hereinafter defined (the "</w:t>
      </w:r>
      <w:r>
        <w:rPr>
          <w:rFonts w:ascii="Courier New" w:cs="Courier New" w:eastAsia="Courier New" w:hAnsi="Courier New"/>
          <w:sz w:val="14"/>
          <w:szCs w:val="14"/>
          <w:u w:val="single" w:color="auto"/>
          <w:color w:val="auto"/>
        </w:rPr>
        <w:t>Domestic</w:t>
      </w:r>
      <w:r>
        <w:rPr>
          <w:rFonts w:ascii="Courier New" w:cs="Courier New" w:eastAsia="Courier New" w:hAnsi="Courier New"/>
          <w:sz w:val="14"/>
          <w:szCs w:val="14"/>
          <w:color w:val="auto"/>
        </w:rPr>
        <w:t xml:space="preserve"> </w:t>
      </w:r>
      <w:r>
        <w:rPr>
          <w:rFonts w:ascii="Courier New" w:cs="Courier New" w:eastAsia="Courier New" w:hAnsi="Courier New"/>
          <w:sz w:val="14"/>
          <w:szCs w:val="14"/>
          <w:u w:val="single" w:color="auto"/>
          <w:color w:val="auto"/>
        </w:rPr>
        <w:t>Guarantors</w:t>
      </w:r>
      <w:r>
        <w:rPr>
          <w:rFonts w:ascii="Courier New" w:cs="Courier New" w:eastAsia="Courier New" w:hAnsi="Courier New"/>
          <w:sz w:val="14"/>
          <w:szCs w:val="14"/>
          <w:color w:val="auto"/>
        </w:rPr>
        <w:t>"), the several lenders who are now or hereafter become parties to the Credit Agreement (the "</w:t>
      </w:r>
      <w:r>
        <w:rPr>
          <w:rFonts w:ascii="Courier New" w:cs="Courier New" w:eastAsia="Courier New" w:hAnsi="Courier New"/>
          <w:sz w:val="14"/>
          <w:szCs w:val="14"/>
          <w:u w:val="single" w:color="auto"/>
          <w:color w:val="auto"/>
        </w:rPr>
        <w:t>Lenders</w:t>
      </w:r>
      <w:r>
        <w:rPr>
          <w:rFonts w:ascii="Courier New" w:cs="Courier New" w:eastAsia="Courier New" w:hAnsi="Courier New"/>
          <w:sz w:val="14"/>
          <w:szCs w:val="14"/>
          <w:color w:val="auto"/>
        </w:rPr>
        <w:t>"), AMSOUTH BANK, an Alabama state bank, individually and as administrative agent for the Lenders (in such capacity, the "</w:t>
      </w:r>
      <w:r>
        <w:rPr>
          <w:rFonts w:ascii="Courier New" w:cs="Courier New" w:eastAsia="Courier New" w:hAnsi="Courier New"/>
          <w:sz w:val="14"/>
          <w:szCs w:val="14"/>
          <w:u w:val="single" w:color="auto"/>
          <w:color w:val="auto"/>
        </w:rPr>
        <w:t>Administrative Agent</w:t>
      </w:r>
      <w:r>
        <w:rPr>
          <w:rFonts w:ascii="Courier New" w:cs="Courier New" w:eastAsia="Courier New" w:hAnsi="Courier New"/>
          <w:sz w:val="14"/>
          <w:szCs w:val="14"/>
          <w:color w:val="auto"/>
        </w:rPr>
        <w:t>"), and SUNTRUST BANK, as documentation agent and euro loan agent for the Lenders (in such capacity, the "</w:t>
      </w:r>
      <w:r>
        <w:rPr>
          <w:rFonts w:ascii="Courier New" w:cs="Courier New" w:eastAsia="Courier New" w:hAnsi="Courier New"/>
          <w:sz w:val="14"/>
          <w:szCs w:val="14"/>
          <w:u w:val="single" w:color="auto"/>
          <w:color w:val="auto"/>
        </w:rPr>
        <w:t>Euro Loan Agent</w:t>
      </w:r>
      <w:r>
        <w:rPr>
          <w:rFonts w:ascii="Courier New" w:cs="Courier New" w:eastAsia="Courier New" w:hAnsi="Courier New"/>
          <w:sz w:val="14"/>
          <w:szCs w:val="14"/>
          <w:color w:val="auto"/>
        </w:rPr>
        <w:t>").</w:t>
      </w:r>
    </w:p>
    <w:p>
      <w:pPr>
        <w:spacing w:after="0" w:line="3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b w:val="1"/>
          <w:bCs w:val="1"/>
          <w:color w:val="auto"/>
        </w:rPr>
        <w:t>RECITALS:</w:t>
      </w:r>
    </w:p>
    <w:p>
      <w:pPr>
        <w:spacing w:after="0" w:line="173" w:lineRule="exact"/>
        <w:rPr>
          <w:sz w:val="20"/>
          <w:szCs w:val="20"/>
          <w:color w:val="auto"/>
        </w:rPr>
      </w:pPr>
    </w:p>
    <w:p>
      <w:pPr>
        <w:ind w:right="3239" w:firstLine="797"/>
        <w:spacing w:after="0" w:line="236" w:lineRule="auto"/>
        <w:tabs>
          <w:tab w:leader="none" w:pos="10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that certain Credit Agreement dated as of May 1, 2003, by and among the Borrower, the Domestic Guarantors, the Administrative Agent, the Lenders and the Euro Loan Agent, as amended by that certain Amendment No.1 to Credit Agreement dated August 1, 2003, by and among the Borrower, the Domestic Guarantors, the Administrative Agent, the Lenders and the Euro Loan Agent (as the same heretofore may have been and/or hereafter may be amended, restated, supplemented, extended, renewed, replaced or otherwise modified from time to time, the "</w:t>
      </w:r>
      <w:r>
        <w:rPr>
          <w:rFonts w:ascii="Courier New" w:cs="Courier New" w:eastAsia="Courier New" w:hAnsi="Courier New"/>
          <w:sz w:val="15"/>
          <w:szCs w:val="15"/>
          <w:u w:val="single" w:color="auto"/>
          <w:color w:val="auto"/>
        </w:rPr>
        <w:t>Credit Agreement</w:t>
      </w:r>
      <w:r>
        <w:rPr>
          <w:rFonts w:ascii="Courier New" w:cs="Courier New" w:eastAsia="Courier New" w:hAnsi="Courier New"/>
          <w:sz w:val="15"/>
          <w:szCs w:val="15"/>
          <w:color w:val="auto"/>
        </w:rPr>
        <w:t>"), the Lenders have agreed to make the Loans available to the Borrower, all as more specifically described in the Credit Agreement. Capitalized terms used but not otherwise defined in this Agreement have the same meanings as in the Credit Agreement.</w:t>
      </w:r>
    </w:p>
    <w:p>
      <w:pPr>
        <w:spacing w:after="0" w:line="180" w:lineRule="exact"/>
        <w:rPr>
          <w:rFonts w:ascii="Courier New" w:cs="Courier New" w:eastAsia="Courier New" w:hAnsi="Courier New"/>
          <w:sz w:val="15"/>
          <w:szCs w:val="15"/>
          <w:color w:val="auto"/>
        </w:rPr>
      </w:pPr>
    </w:p>
    <w:p>
      <w:pPr>
        <w:ind w:right="3399" w:firstLine="797"/>
        <w:spacing w:after="0" w:line="234" w:lineRule="auto"/>
        <w:tabs>
          <w:tab w:leader="none" w:pos="10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desire to amend the Credit Agreement in certain respects, as more particularly hereinafter set forth.</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b w:val="1"/>
          <w:bCs w:val="1"/>
          <w:color w:val="auto"/>
        </w:rPr>
        <w:t>AGREEMENTS: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for good and valuable consideration, the receipt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sufficiency of which are hereby acknowledged, the parties hereto agree as follows:</w:t>
      </w:r>
    </w:p>
    <w:p>
      <w:pPr>
        <w:spacing w:after="0" w:line="174" w:lineRule="exact"/>
        <w:rPr>
          <w:sz w:val="20"/>
          <w:szCs w:val="20"/>
          <w:color w:val="auto"/>
        </w:rPr>
      </w:pPr>
    </w:p>
    <w:p>
      <w:pPr>
        <w:ind w:right="3239" w:firstLine="447"/>
        <w:spacing w:after="0" w:line="235" w:lineRule="auto"/>
        <w:tabs>
          <w:tab w:leader="none" w:pos="699" w:val="left"/>
        </w:tabs>
        <w:numPr>
          <w:ilvl w:val="0"/>
          <w:numId w:val="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Defined Terms</w:t>
      </w: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Section 1.1</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the Agreement is hereby amended adding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following definition and by substituting the following definition for the existing definition of the following term:</w:t>
      </w:r>
    </w:p>
    <w:p>
      <w:pPr>
        <w:spacing w:after="0" w:line="174" w:lineRule="exact"/>
        <w:rPr>
          <w:sz w:val="20"/>
          <w:szCs w:val="20"/>
          <w:color w:val="auto"/>
        </w:rPr>
      </w:pPr>
    </w:p>
    <w:p>
      <w:pPr>
        <w:ind w:left="880" w:right="3319"/>
        <w:spacing w:after="0" w:line="255" w:lineRule="auto"/>
        <w:rPr>
          <w:sz w:val="20"/>
          <w:szCs w:val="20"/>
          <w:color w:val="auto"/>
        </w:rPr>
      </w:pPr>
      <w:r>
        <w:rPr>
          <w:rFonts w:ascii="Courier New" w:cs="Courier New" w:eastAsia="Courier New" w:hAnsi="Courier New"/>
          <w:sz w:val="14"/>
          <w:szCs w:val="14"/>
          <w:color w:val="auto"/>
        </w:rPr>
        <w:t>"Permitted Private Placement Indebtedness" shall mean Indebtedness of the Domestic Borrower that (i) is incurred through the issuance and private placement of senior notes of the Domestic Borrower, on or before April 30, 2004, (ii) is in aggregate principal amount sufficient to repay in full the Domestic Term Loan Facility, but not exceeding $40,000,000, (iii) has a maturity of not less than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729551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80" w:right="3239" w:firstLine="4"/>
        <w:spacing w:after="0" w:line="255" w:lineRule="auto"/>
        <w:tabs>
          <w:tab w:leader="none" w:pos="13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years from the date of issuance, (iv) does not provide for scheduled principal repayment prior to the fourth (4th) anniversary of the date of issuance, (v) constitutes senior debt of the Domestic Borrower, </w:t>
      </w:r>
      <w:r>
        <w:rPr>
          <w:rFonts w:ascii="Courier New" w:cs="Courier New" w:eastAsia="Courier New" w:hAnsi="Courier New"/>
          <w:sz w:val="14"/>
          <w:szCs w:val="14"/>
          <w:i w:val="1"/>
          <w:iCs w:val="1"/>
          <w:color w:val="auto"/>
        </w:rPr>
        <w:t>pari passu</w:t>
      </w:r>
      <w:r>
        <w:rPr>
          <w:rFonts w:ascii="Courier New" w:cs="Courier New" w:eastAsia="Courier New" w:hAnsi="Courier New"/>
          <w:sz w:val="14"/>
          <w:szCs w:val="14"/>
          <w:color w:val="auto"/>
        </w:rPr>
        <w:t xml:space="preserve"> with the Obligations of the Domestic Borrower and the Domestic Guarantors under the Facilities (and is unsecured except for a </w:t>
      </w:r>
      <w:r>
        <w:rPr>
          <w:rFonts w:ascii="Courier New" w:cs="Courier New" w:eastAsia="Courier New" w:hAnsi="Courier New"/>
          <w:sz w:val="14"/>
          <w:szCs w:val="14"/>
          <w:i w:val="1"/>
          <w:iCs w:val="1"/>
          <w:color w:val="auto"/>
        </w:rPr>
        <w:t>pari passu</w:t>
      </w:r>
      <w:r>
        <w:rPr>
          <w:rFonts w:ascii="Courier New" w:cs="Courier New" w:eastAsia="Courier New" w:hAnsi="Courier New"/>
          <w:sz w:val="14"/>
          <w:szCs w:val="14"/>
          <w:color w:val="auto"/>
        </w:rPr>
        <w:t xml:space="preserve"> lien on the Collateral securing the Obligations of the Domestic Borrower and the Domestic Guarantors under the Facilities) and (vi) is subject to documentation (including intercreditor and collateral documents) in form and substance reasonably satisfactory to Administrative Agent in all respects.</w:t>
      </w:r>
    </w:p>
    <w:p>
      <w:pPr>
        <w:spacing w:after="0" w:line="165" w:lineRule="exact"/>
        <w:rPr>
          <w:sz w:val="20"/>
          <w:szCs w:val="20"/>
          <w:color w:val="auto"/>
        </w:rPr>
      </w:pPr>
    </w:p>
    <w:p>
      <w:pPr>
        <w:ind w:left="880" w:right="3579"/>
        <w:spacing w:after="0" w:line="234" w:lineRule="auto"/>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15"/>
          <w:szCs w:val="15"/>
          <w:u w:val="single" w:color="auto"/>
          <w:color w:val="auto"/>
        </w:rPr>
        <w:t>Revolving Commitment Period Expiration Date</w:t>
      </w:r>
      <w:r>
        <w:rPr>
          <w:rFonts w:ascii="Courier New" w:cs="Courier New" w:eastAsia="Courier New" w:hAnsi="Courier New"/>
          <w:sz w:val="15"/>
          <w:szCs w:val="15"/>
          <w:color w:val="auto"/>
        </w:rPr>
        <w:t>" shall mean March 15, 2006.</w:t>
      </w:r>
    </w:p>
    <w:p>
      <w:pPr>
        <w:spacing w:after="0" w:line="173" w:lineRule="exact"/>
        <w:rPr>
          <w:sz w:val="20"/>
          <w:szCs w:val="20"/>
          <w:color w:val="auto"/>
        </w:rPr>
      </w:pPr>
    </w:p>
    <w:p>
      <w:pPr>
        <w:ind w:left="880" w:right="3399"/>
        <w:spacing w:after="0" w:line="235" w:lineRule="auto"/>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15"/>
          <w:szCs w:val="15"/>
          <w:u w:val="single" w:color="auto"/>
          <w:color w:val="auto"/>
        </w:rPr>
        <w:t>Term Loan Maturity Date</w:t>
      </w:r>
      <w:r>
        <w:rPr>
          <w:rFonts w:ascii="Courier New" w:cs="Courier New" w:eastAsia="Courier New" w:hAnsi="Courier New"/>
          <w:sz w:val="15"/>
          <w:szCs w:val="15"/>
          <w:color w:val="auto"/>
        </w:rPr>
        <w:t>" shall mean May 1, 2008; provided, however, upon incurrence by Borrower of Permitted Private Placement Indebtedness, "Term Loan Maturity Date" shall thereafter mean September 30, 2007.</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b w:val="1"/>
          <w:bCs w:val="1"/>
          <w:color w:val="auto"/>
        </w:rPr>
        <w:t>2</w:t>
      </w:r>
      <w:r>
        <w:rPr>
          <w:rFonts w:ascii="Courier New" w:cs="Courier New" w:eastAsia="Courier New" w:hAnsi="Courier New"/>
          <w:sz w:val="14"/>
          <w:szCs w:val="14"/>
          <w:color w:val="auto"/>
        </w:rPr>
        <w:t>.</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b w:val="1"/>
          <w:bCs w:val="1"/>
          <w:u w:val="single" w:color="auto"/>
          <w:color w:val="auto"/>
        </w:rPr>
        <w:t>Facility Fee</w:t>
      </w:r>
      <w:r>
        <w:rPr>
          <w:rFonts w:ascii="Courier New" w:cs="Courier New" w:eastAsia="Courier New" w:hAnsi="Courier New"/>
          <w:sz w:val="14"/>
          <w:szCs w:val="14"/>
          <w:color w:val="auto"/>
        </w:rPr>
        <w:t>. In consideration of the Lenders' agreement to extend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Commitment Period Expiration Date and consent to the incurrence of</w:t>
      </w:r>
    </w:p>
    <w:p>
      <w:pPr>
        <w:spacing w:after="0" w:line="237" w:lineRule="auto"/>
        <w:rPr>
          <w:sz w:val="20"/>
          <w:szCs w:val="20"/>
          <w:color w:val="auto"/>
        </w:rPr>
      </w:pPr>
      <w:r>
        <w:rPr>
          <w:rFonts w:ascii="Courier New" w:cs="Courier New" w:eastAsia="Courier New" w:hAnsi="Courier New"/>
          <w:sz w:val="15"/>
          <w:szCs w:val="15"/>
          <w:color w:val="auto"/>
        </w:rPr>
        <w:t>Permitted Private Placement Indebtedness as provided for herein, the Borrower</w:t>
      </w:r>
    </w:p>
    <w:p>
      <w:pPr>
        <w:spacing w:after="0" w:line="238" w:lineRule="auto"/>
        <w:rPr>
          <w:sz w:val="20"/>
          <w:szCs w:val="20"/>
          <w:color w:val="auto"/>
        </w:rPr>
      </w:pPr>
      <w:r>
        <w:rPr>
          <w:rFonts w:ascii="Courier New" w:cs="Courier New" w:eastAsia="Courier New" w:hAnsi="Courier New"/>
          <w:sz w:val="15"/>
          <w:szCs w:val="15"/>
          <w:color w:val="auto"/>
        </w:rPr>
        <w:t>agrees to pay to the Administrative Agent a facility fee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$71,121.01 (the "</w:t>
      </w:r>
      <w:r>
        <w:rPr>
          <w:rFonts w:ascii="Courier New" w:cs="Courier New" w:eastAsia="Courier New" w:hAnsi="Courier New"/>
          <w:sz w:val="14"/>
          <w:szCs w:val="14"/>
          <w:u w:val="single" w:color="auto"/>
          <w:color w:val="auto"/>
        </w:rPr>
        <w:t>Facility Fee</w:t>
      </w:r>
      <w:r>
        <w:rPr>
          <w:rFonts w:ascii="Courier New" w:cs="Courier New" w:eastAsia="Courier New" w:hAnsi="Courier New"/>
          <w:sz w:val="14"/>
          <w:szCs w:val="14"/>
          <w:color w:val="auto"/>
        </w:rPr>
        <w:t>") for distribution to the Lenders in proportion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respective Percentages. The Facility Fee shall be fully earned and due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upon the execution of this Amendment by the Borrower and the Domestic</w:t>
      </w:r>
    </w:p>
    <w:p>
      <w:pPr>
        <w:spacing w:after="0" w:line="237" w:lineRule="auto"/>
        <w:rPr>
          <w:sz w:val="20"/>
          <w:szCs w:val="20"/>
          <w:color w:val="auto"/>
        </w:rPr>
      </w:pPr>
      <w:r>
        <w:rPr>
          <w:rFonts w:ascii="Courier New" w:cs="Courier New" w:eastAsia="Courier New" w:hAnsi="Courier New"/>
          <w:sz w:val="15"/>
          <w:szCs w:val="15"/>
          <w:color w:val="auto"/>
        </w:rPr>
        <w:t>Guarantors.</w:t>
      </w:r>
    </w:p>
    <w:p>
      <w:pPr>
        <w:spacing w:after="0" w:line="173" w:lineRule="exact"/>
        <w:rPr>
          <w:sz w:val="20"/>
          <w:szCs w:val="20"/>
          <w:color w:val="auto"/>
        </w:rPr>
      </w:pPr>
    </w:p>
    <w:p>
      <w:pPr>
        <w:ind w:right="3239" w:firstLine="447"/>
        <w:spacing w:after="0" w:line="261" w:lineRule="auto"/>
        <w:tabs>
          <w:tab w:leader="none" w:pos="699" w:val="left"/>
        </w:tabs>
        <w:numPr>
          <w:ilvl w:val="0"/>
          <w:numId w:val="1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Mandatory Prepayments</w:t>
      </w:r>
      <w:r>
        <w:rPr>
          <w:rFonts w:ascii="Courier New" w:cs="Courier New" w:eastAsia="Courier New" w:hAnsi="Courier New"/>
          <w:sz w:val="14"/>
          <w:szCs w:val="14"/>
          <w:color w:val="auto"/>
        </w:rPr>
        <w:t>.</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u w:val="single" w:color="auto"/>
          <w:color w:val="auto"/>
        </w:rPr>
        <w:t>Subsection 3.1.3(b)(1)</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of the Credit Agreement is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hereby amended by adding the following sentence at the end of said subsection:</w:t>
      </w:r>
    </w:p>
    <w:p>
      <w:pPr>
        <w:spacing w:after="0" w:line="160"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Notwithstanding the foregoing, the Domestic Term Loan Facility shall be repaid in full with the net proceeds of any Permitted Private Placement Indebtedness, with the remainder of such proceeds applied to the outstanding principal balance of the Revolving Loans (without, however, reducing the Revolving Credit Commitments), in each case applied first to Base Rate Loans until the same have been fully repaid, and then to LIBOR Loans.</w:t>
      </w:r>
    </w:p>
    <w:p>
      <w:pPr>
        <w:sectPr>
          <w:pgSz w:w="11900" w:h="16838" w:orient="portrait"/>
          <w:cols w:equalWidth="0" w:num="1">
            <w:col w:w="10239"/>
          </w:cols>
          <w:pgMar w:left="220" w:top="303" w:right="1440" w:bottom="0" w:gutter="0" w:footer="0" w:header="0"/>
        </w:sectPr>
      </w:pPr>
    </w:p>
    <w:bookmarkStart w:id="18" w:name="page19"/>
    <w:bookmarkEnd w:id="18"/>
    <w:p>
      <w:pPr>
        <w:ind w:left="-447" w:right="3399" w:firstLine="447"/>
        <w:spacing w:after="0" w:line="234" w:lineRule="auto"/>
        <w:tabs>
          <w:tab w:leader="none" w:pos="252" w:val="left"/>
        </w:tabs>
        <w:numPr>
          <w:ilvl w:val="0"/>
          <w:numId w:val="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Indebtedness</w:t>
      </w: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Section 9.1</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the Credit Agreement is hereby amended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revising clause (d) to provide as follows:</w:t>
      </w:r>
    </w:p>
    <w:p>
      <w:pPr>
        <w:spacing w:after="0" w:line="173" w:lineRule="exact"/>
        <w:rPr>
          <w:rFonts w:ascii="Courier New" w:cs="Courier New" w:eastAsia="Courier New" w:hAnsi="Courier New"/>
          <w:sz w:val="15"/>
          <w:szCs w:val="15"/>
          <w:b w:val="1"/>
          <w:bCs w:val="1"/>
          <w:color w:val="auto"/>
        </w:rPr>
      </w:pPr>
    </w:p>
    <w:p>
      <w:pPr>
        <w:ind w:left="433" w:right="3319" w:firstLine="4"/>
        <w:spacing w:after="0" w:line="256" w:lineRule="auto"/>
        <w:tabs>
          <w:tab w:leader="none" w:pos="783"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Indebtedness and Permitted Private Placement Indebtedness (</w:t>
      </w:r>
      <w:r>
        <w:rPr>
          <w:rFonts w:ascii="Courier New" w:cs="Courier New" w:eastAsia="Courier New" w:hAnsi="Courier New"/>
          <w:sz w:val="14"/>
          <w:szCs w:val="14"/>
          <w:u w:val="single" w:color="auto"/>
          <w:color w:val="auto"/>
        </w:rPr>
        <w:t>provided, however</w:t>
      </w:r>
      <w:r>
        <w:rPr>
          <w:rFonts w:ascii="Courier New" w:cs="Courier New" w:eastAsia="Courier New" w:hAnsi="Courier New"/>
          <w:sz w:val="14"/>
          <w:szCs w:val="14"/>
          <w:color w:val="auto"/>
        </w:rPr>
        <w:t>, Domestic Borrower agrees not to make or permit any of its Subsidiaries to make any voluntary principal repayments of Permitted Private Placement Indebtedness prior to the date that is four (4) years after the incurrence thereof);</w:t>
      </w:r>
    </w:p>
    <w:p>
      <w:pPr>
        <w:spacing w:after="0" w:line="200" w:lineRule="exact"/>
        <w:rPr>
          <w:sz w:val="20"/>
          <w:szCs w:val="20"/>
          <w:color w:val="auto"/>
        </w:rPr>
      </w:pPr>
    </w:p>
    <w:p>
      <w:pPr>
        <w:spacing w:after="0" w:line="293"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188595</wp:posOffset>
            </wp:positionV>
            <wp:extent cx="729551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7" w:right="3239" w:firstLine="447"/>
        <w:spacing w:after="0" w:line="258" w:lineRule="auto"/>
        <w:tabs>
          <w:tab w:leader="none" w:pos="252" w:val="left"/>
        </w:tabs>
        <w:numPr>
          <w:ilvl w:val="0"/>
          <w:numId w:val="21"/>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Liens</w:t>
      </w:r>
      <w:r>
        <w:rPr>
          <w:rFonts w:ascii="Courier New" w:cs="Courier New" w:eastAsia="Courier New" w:hAnsi="Courier New"/>
          <w:sz w:val="14"/>
          <w:szCs w:val="14"/>
          <w:color w:val="auto"/>
        </w:rPr>
        <w:t>.</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u w:val="single" w:color="auto"/>
          <w:color w:val="auto"/>
        </w:rPr>
        <w:t>Section 9.2</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of the Credit Agreement is hereby amended by deleting</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the period after clause (l) and substituting "; and" in lieu thereof, and by adding the following additional clause immediately following clause (l):</w:t>
      </w:r>
    </w:p>
    <w:p>
      <w:pPr>
        <w:spacing w:after="0" w:line="154" w:lineRule="exact"/>
        <w:rPr>
          <w:rFonts w:ascii="Courier New" w:cs="Courier New" w:eastAsia="Courier New" w:hAnsi="Courier New"/>
          <w:sz w:val="14"/>
          <w:szCs w:val="14"/>
          <w:b w:val="1"/>
          <w:bCs w:val="1"/>
          <w:color w:val="auto"/>
        </w:rPr>
      </w:pPr>
    </w:p>
    <w:p>
      <w:pPr>
        <w:ind w:left="793" w:hanging="356"/>
        <w:spacing w:after="0"/>
        <w:tabs>
          <w:tab w:leader="none" w:pos="79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Permitted Private Placement Indebtedness.</w:t>
      </w:r>
    </w:p>
    <w:p>
      <w:pPr>
        <w:spacing w:after="0" w:line="172" w:lineRule="exact"/>
        <w:rPr>
          <w:rFonts w:ascii="Courier New" w:cs="Courier New" w:eastAsia="Courier New" w:hAnsi="Courier New"/>
          <w:sz w:val="15"/>
          <w:szCs w:val="15"/>
          <w:color w:val="auto"/>
        </w:rPr>
      </w:pPr>
    </w:p>
    <w:p>
      <w:pPr>
        <w:ind w:left="-447" w:right="3239" w:firstLine="447"/>
        <w:spacing w:after="0" w:line="235" w:lineRule="auto"/>
        <w:tabs>
          <w:tab w:leader="none" w:pos="252" w:val="left"/>
        </w:tabs>
        <w:numPr>
          <w:ilvl w:val="0"/>
          <w:numId w:val="2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Agreements Restricting the Borrower and its Subsidiaries</w:t>
      </w: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Section 9.9</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Credit Agreement is hereby amended by adding the following language at the beginning of said clause (b):</w:t>
      </w:r>
    </w:p>
    <w:p>
      <w:pPr>
        <w:spacing w:after="0" w:line="174" w:lineRule="exact"/>
        <w:rPr>
          <w:sz w:val="20"/>
          <w:szCs w:val="20"/>
          <w:color w:val="auto"/>
        </w:rPr>
      </w:pPr>
    </w:p>
    <w:p>
      <w:pPr>
        <w:ind w:left="433" w:right="3939"/>
        <w:spacing w:after="0" w:line="234" w:lineRule="auto"/>
        <w:rPr>
          <w:sz w:val="20"/>
          <w:szCs w:val="20"/>
          <w:color w:val="auto"/>
        </w:rPr>
      </w:pPr>
      <w:r>
        <w:rPr>
          <w:rFonts w:ascii="Courier New" w:cs="Courier New" w:eastAsia="Courier New" w:hAnsi="Courier New"/>
          <w:sz w:val="15"/>
          <w:szCs w:val="15"/>
          <w:color w:val="auto"/>
        </w:rPr>
        <w:t>"except in connection with the incurrence of Permitted Private Placement Indebtedness,"</w:t>
      </w:r>
    </w:p>
    <w:p>
      <w:pPr>
        <w:spacing w:after="0" w:line="173" w:lineRule="exact"/>
        <w:rPr>
          <w:sz w:val="20"/>
          <w:szCs w:val="20"/>
          <w:color w:val="auto"/>
        </w:rPr>
      </w:pPr>
    </w:p>
    <w:p>
      <w:pPr>
        <w:ind w:left="-447" w:right="3239" w:firstLine="447"/>
        <w:spacing w:after="0" w:line="236" w:lineRule="auto"/>
        <w:tabs>
          <w:tab w:leader="none" w:pos="252" w:val="left"/>
        </w:tabs>
        <w:numPr>
          <w:ilvl w:val="0"/>
          <w:numId w:val="2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Release of Certain Domestic Guarantors</w:t>
      </w:r>
      <w:r>
        <w:rPr>
          <w:rFonts w:ascii="Courier New" w:cs="Courier New" w:eastAsia="Courier New" w:hAnsi="Courier New"/>
          <w:sz w:val="15"/>
          <w:szCs w:val="15"/>
          <w:color w:val="auto"/>
        </w:rPr>
        <w:t>. NN Mexico, LLC, a Delaware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corporation ("NN Mexico") and NN Arte S. De R.L. De C.V., a Mexican company ("NN Arte") are hereby released as Domestic Guarantors. Borrower and Domestic Guarantors hereby represent and warrant that NN Mexico has no operations and no assets other than its ownership interests in NN Arte, and that NN Arte has no operations and has transferred all or substantially all of its assets to other Domestic Guarantors.</w:t>
      </w:r>
    </w:p>
    <w:p>
      <w:pPr>
        <w:spacing w:after="0" w:line="175" w:lineRule="exact"/>
        <w:rPr>
          <w:rFonts w:ascii="Courier New" w:cs="Courier New" w:eastAsia="Courier New" w:hAnsi="Courier New"/>
          <w:sz w:val="15"/>
          <w:szCs w:val="15"/>
          <w:b w:val="1"/>
          <w:bCs w:val="1"/>
          <w:color w:val="auto"/>
        </w:rPr>
      </w:pPr>
    </w:p>
    <w:p>
      <w:pPr>
        <w:ind w:left="-447" w:right="3239" w:firstLine="447"/>
        <w:spacing w:after="0" w:line="235" w:lineRule="auto"/>
        <w:tabs>
          <w:tab w:leader="none" w:pos="252" w:val="left"/>
        </w:tabs>
        <w:numPr>
          <w:ilvl w:val="0"/>
          <w:numId w:val="2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Capitalization, etc</w:t>
      </w: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Schedule 7.1</w:t>
      </w:r>
      <w:r>
        <w:rPr>
          <w:rFonts w:ascii="Courier New" w:cs="Courier New" w:eastAsia="Courier New" w:hAnsi="Courier New"/>
          <w:sz w:val="15"/>
          <w:szCs w:val="15"/>
          <w:color w:val="auto"/>
        </w:rPr>
        <w:t>. (Capitalization and Jurisdiction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 xml:space="preserve">Incorporation and Foreign Qualification ) of the Agreement is hereby deleted and </w:t>
      </w:r>
      <w:r>
        <w:rPr>
          <w:rFonts w:ascii="Courier New" w:cs="Courier New" w:eastAsia="Courier New" w:hAnsi="Courier New"/>
          <w:sz w:val="15"/>
          <w:szCs w:val="15"/>
          <w:u w:val="single" w:color="auto"/>
          <w:color w:val="auto"/>
        </w:rPr>
        <w:t>Schedule 7.1</w:t>
      </w:r>
      <w:r>
        <w:rPr>
          <w:rFonts w:ascii="Courier New" w:cs="Courier New" w:eastAsia="Courier New" w:hAnsi="Courier New"/>
          <w:sz w:val="15"/>
          <w:szCs w:val="15"/>
          <w:color w:val="auto"/>
        </w:rPr>
        <w:t xml:space="preserve"> attached hereto is substituted in lieu thereof.</w:t>
      </w:r>
    </w:p>
    <w:p>
      <w:pPr>
        <w:spacing w:after="0" w:line="173" w:lineRule="exact"/>
        <w:rPr>
          <w:rFonts w:ascii="Courier New" w:cs="Courier New" w:eastAsia="Courier New" w:hAnsi="Courier New"/>
          <w:sz w:val="15"/>
          <w:szCs w:val="15"/>
          <w:b w:val="1"/>
          <w:bCs w:val="1"/>
          <w:color w:val="auto"/>
        </w:rPr>
      </w:pPr>
    </w:p>
    <w:p>
      <w:pPr>
        <w:ind w:left="-447" w:right="3319" w:firstLine="447"/>
        <w:spacing w:after="0" w:line="235" w:lineRule="auto"/>
        <w:tabs>
          <w:tab w:leader="none" w:pos="252" w:val="left"/>
        </w:tabs>
        <w:numPr>
          <w:ilvl w:val="0"/>
          <w:numId w:val="2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Effectiveness</w:t>
      </w:r>
      <w:r>
        <w:rPr>
          <w:rFonts w:ascii="Courier New" w:cs="Courier New" w:eastAsia="Courier New" w:hAnsi="Courier New"/>
          <w:sz w:val="15"/>
          <w:szCs w:val="15"/>
          <w:color w:val="auto"/>
        </w:rPr>
        <w:t>. This Amendment shall become effective when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Administrative Agent shall have received counterparts or signatures pages executed by the Borrower, the Domestic Guarantors, the Administrative Agent and the Lenders.</w:t>
      </w:r>
    </w:p>
    <w:p>
      <w:pPr>
        <w:spacing w:after="0" w:line="175" w:lineRule="exact"/>
        <w:rPr>
          <w:rFonts w:ascii="Courier New" w:cs="Courier New" w:eastAsia="Courier New" w:hAnsi="Courier New"/>
          <w:sz w:val="15"/>
          <w:szCs w:val="15"/>
          <w:b w:val="1"/>
          <w:bCs w:val="1"/>
          <w:color w:val="auto"/>
        </w:rPr>
      </w:pPr>
    </w:p>
    <w:p>
      <w:pPr>
        <w:ind w:left="-447" w:right="3399" w:firstLine="447"/>
        <w:spacing w:after="0" w:line="236" w:lineRule="auto"/>
        <w:tabs>
          <w:tab w:leader="none" w:pos="340" w:val="left"/>
        </w:tabs>
        <w:numPr>
          <w:ilvl w:val="0"/>
          <w:numId w:val="2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Representations and Warranties of the Borrower and the Guarantors</w:t>
      </w:r>
      <w:r>
        <w:rPr>
          <w:rFonts w:ascii="Courier New" w:cs="Courier New" w:eastAsia="Courier New" w:hAnsi="Courier New"/>
          <w:sz w:val="15"/>
          <w:szCs w:val="15"/>
          <w:color w:val="auto"/>
        </w:rPr>
        <w:t>. 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 inducement to the Administrative Agent, the Euro Loan Agent and the Lenders to enter into this Amendment, the Borrower and the Domestic Guarantors hereby represent and warrant to the Administrative Agent, the Euro Loan Agent and the Lenders that, on and as of the date hereof:</w:t>
      </w:r>
    </w:p>
    <w:p>
      <w:pPr>
        <w:spacing w:after="0" w:line="173" w:lineRule="exact"/>
        <w:rPr>
          <w:rFonts w:ascii="Courier New" w:cs="Courier New" w:eastAsia="Courier New" w:hAnsi="Courier New"/>
          <w:sz w:val="15"/>
          <w:szCs w:val="15"/>
          <w:b w:val="1"/>
          <w:bCs w:val="1"/>
          <w:color w:val="auto"/>
        </w:rPr>
      </w:pPr>
    </w:p>
    <w:p>
      <w:pPr>
        <w:ind w:left="-7" w:right="3239" w:firstLine="444"/>
        <w:spacing w:after="0" w:line="236" w:lineRule="auto"/>
        <w:tabs>
          <w:tab w:leader="none" w:pos="7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169" w:lineRule="exact"/>
        <w:rPr>
          <w:rFonts w:ascii="Courier New" w:cs="Courier New" w:eastAsia="Courier New" w:hAnsi="Courier New"/>
          <w:sz w:val="15"/>
          <w:szCs w:val="15"/>
          <w:color w:val="auto"/>
        </w:rPr>
      </w:pPr>
    </w:p>
    <w:p>
      <w:pPr>
        <w:ind w:left="793" w:hanging="356"/>
        <w:spacing w:after="0"/>
        <w:tabs>
          <w:tab w:leader="none" w:pos="793"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188595</wp:posOffset>
            </wp:positionV>
            <wp:extent cx="729551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7" w:right="3399" w:firstLine="447"/>
        <w:spacing w:after="0" w:line="234" w:lineRule="auto"/>
        <w:tabs>
          <w:tab w:leader="none" w:pos="340" w:val="left"/>
        </w:tabs>
        <w:numPr>
          <w:ilvl w:val="0"/>
          <w:numId w:val="2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Effect of Amendment; Continuing Effectiveness of Credit Agreement and Loan Documents</w:t>
      </w: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b w:val="1"/>
          <w:bCs w:val="1"/>
          <w:color w:val="auto"/>
        </w:rPr>
      </w:pPr>
    </w:p>
    <w:p>
      <w:pPr>
        <w:ind w:left="-7" w:right="3319" w:firstLine="444"/>
        <w:spacing w:after="0" w:line="255" w:lineRule="auto"/>
        <w:tabs>
          <w:tab w:leader="none" w:pos="7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65" w:lineRule="exact"/>
        <w:rPr>
          <w:rFonts w:ascii="Courier New" w:cs="Courier New" w:eastAsia="Courier New" w:hAnsi="Courier New"/>
          <w:sz w:val="14"/>
          <w:szCs w:val="14"/>
          <w:color w:val="auto"/>
        </w:rPr>
      </w:pPr>
    </w:p>
    <w:p>
      <w:pPr>
        <w:ind w:left="-7" w:right="3239" w:firstLine="444"/>
        <w:spacing w:after="0" w:line="255" w:lineRule="auto"/>
        <w:tabs>
          <w:tab w:leader="none" w:pos="7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extent amended hereby, the Credit Agreement, the other Loan Documents and all terms, conditions and provisions thereof shall continue in full force and effect in all respects.</w:t>
      </w:r>
    </w:p>
    <w:p>
      <w:pPr>
        <w:spacing w:after="0" w:line="166" w:lineRule="exact"/>
        <w:rPr>
          <w:rFonts w:ascii="Courier New" w:cs="Courier New" w:eastAsia="Courier New" w:hAnsi="Courier New"/>
          <w:sz w:val="14"/>
          <w:szCs w:val="14"/>
          <w:color w:val="auto"/>
        </w:rPr>
      </w:pPr>
    </w:p>
    <w:p>
      <w:pPr>
        <w:ind w:left="-447" w:right="3239" w:firstLine="447"/>
        <w:spacing w:after="0" w:line="255" w:lineRule="auto"/>
        <w:tabs>
          <w:tab w:leader="none" w:pos="340" w:val="left"/>
        </w:tabs>
        <w:numPr>
          <w:ilvl w:val="0"/>
          <w:numId w:val="23"/>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Counterparts</w:t>
      </w:r>
      <w:r>
        <w:rPr>
          <w:rFonts w:ascii="Courier New" w:cs="Courier New" w:eastAsia="Courier New" w:hAnsi="Courier New"/>
          <w:sz w:val="14"/>
          <w:szCs w:val="14"/>
          <w:color w:val="auto"/>
        </w:rPr>
        <w:t>. This Amendment may be executed in multiple counterparts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or copies, each of which shall be deemed an original hereof for all purposes. One or more 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w:t>
      </w:r>
    </w:p>
    <w:p>
      <w:pPr>
        <w:sectPr>
          <w:pgSz w:w="11900" w:h="16838" w:orient="portrait"/>
          <w:cols w:equalWidth="0" w:num="1">
            <w:col w:w="9792"/>
          </w:cols>
          <w:pgMar w:left="667" w:top="141" w:right="1440" w:bottom="0" w:gutter="0" w:footer="0" w:header="0"/>
        </w:sectPr>
      </w:pPr>
    </w:p>
    <w:bookmarkStart w:id="19" w:name="page20"/>
    <w:bookmarkEnd w:id="19"/>
    <w:p>
      <w:pPr>
        <w:ind w:right="3239"/>
        <w:spacing w:after="0" w:line="236" w:lineRule="auto"/>
        <w:rPr>
          <w:sz w:val="20"/>
          <w:szCs w:val="20"/>
          <w:color w:val="auto"/>
        </w:rPr>
      </w:pPr>
      <w:r>
        <w:rPr>
          <w:rFonts w:ascii="Courier New" w:cs="Courier New" w:eastAsia="Courier New" w:hAnsi="Courier New"/>
          <w:sz w:val="15"/>
          <w:szCs w:val="15"/>
          <w:color w:val="auto"/>
        </w:rPr>
        <w:t>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171" w:lineRule="exact"/>
        <w:rPr>
          <w:sz w:val="20"/>
          <w:szCs w:val="20"/>
          <w:color w:val="auto"/>
        </w:rPr>
      </w:pPr>
    </w:p>
    <w:p>
      <w:pPr>
        <w:ind w:left="800" w:hanging="353"/>
        <w:spacing w:after="0"/>
        <w:tabs>
          <w:tab w:leader="none" w:pos="800" w:val="left"/>
        </w:tabs>
        <w:numPr>
          <w:ilvl w:val="0"/>
          <w:numId w:val="2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Miscellaneous</w:t>
      </w: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b w:val="1"/>
          <w:bCs w:val="1"/>
          <w:color w:val="auto"/>
        </w:rPr>
      </w:pPr>
    </w:p>
    <w:p>
      <w:pPr>
        <w:ind w:left="440" w:right="3499" w:firstLine="444"/>
        <w:spacing w:after="0" w:line="235" w:lineRule="auto"/>
        <w:tabs>
          <w:tab w:leader="none" w:pos="122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construed and enforced in accordance with the laws of the State of Tennessee, without reference to the conflicts or choice of law principles thereof.</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Amendment and the usage herein of defined terms are for convenience of reference only, and shall not be construed as amplifying, limiting or otherwise affecting the substantive provisions hereof.</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herein to any instrument, document or agreement, by whatever terminology used, shall be deemed to include any and all amendments,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729551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modifications, supplements, extensions, renewals, substitutions and/or replacements thereof as the context may require.</w:t>
      </w:r>
    </w:p>
    <w:p>
      <w:pPr>
        <w:spacing w:after="0" w:line="173" w:lineRule="exact"/>
        <w:rPr>
          <w:sz w:val="20"/>
          <w:szCs w:val="20"/>
          <w:color w:val="auto"/>
        </w:rPr>
      </w:pPr>
    </w:p>
    <w:p>
      <w:pPr>
        <w:ind w:left="440" w:right="3399" w:firstLine="444"/>
        <w:spacing w:after="0" w:line="236" w:lineRule="auto"/>
        <w:tabs>
          <w:tab w:leader="none" w:pos="122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176"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b w:val="1"/>
          <w:bCs w:val="1"/>
          <w:color w:val="auto"/>
        </w:rPr>
        <w:t>IN WITNESS WHEREOF</w:t>
      </w:r>
      <w:r>
        <w:rPr>
          <w:rFonts w:ascii="Courier New" w:cs="Courier New" w:eastAsia="Courier New" w:hAnsi="Courier New"/>
          <w:sz w:val="15"/>
          <w:szCs w:val="15"/>
          <w:color w:val="auto"/>
        </w:rPr>
        <w:t>, the parties hereto have caused this Amendment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duly executed and delivered as of the date first written above.</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b w:val="1"/>
          <w:bCs w:val="1"/>
          <w:color w:val="auto"/>
        </w:rPr>
        <w:t>BORROWER:</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NN, INC.,</w:t>
      </w:r>
    </w:p>
    <w:p>
      <w:pPr>
        <w:ind w:left="2720"/>
        <w:spacing w:after="0" w:line="237" w:lineRule="auto"/>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39"/>
          </w:cols>
          <w:pgMar w:left="220" w:top="141" w:right="1440" w:bottom="0" w:gutter="0" w:footer="0" w:header="0"/>
        </w:sectPr>
      </w:pPr>
    </w:p>
    <w:p>
      <w:pPr>
        <w:spacing w:after="0" w:line="34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tabs>
          <w:tab w:leader="none" w:pos="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spacing w:after="0" w:line="5" w:lineRule="exact"/>
        <w:rPr>
          <w:sz w:val="20"/>
          <w:szCs w:val="20"/>
          <w:color w:val="auto"/>
        </w:rPr>
      </w:pPr>
    </w:p>
    <w:p>
      <w:pPr>
        <w:ind w:left="160"/>
        <w:spacing w:after="0"/>
        <w:tabs>
          <w:tab w:leader="none" w:pos="840" w:val="left"/>
        </w:tabs>
        <w:rPr>
          <w:sz w:val="20"/>
          <w:szCs w:val="20"/>
          <w:color w:val="auto"/>
        </w:rPr>
      </w:pPr>
      <w:r>
        <w:rPr>
          <w:rFonts w:ascii="Courier New" w:cs="Courier New" w:eastAsia="Courier New" w:hAnsi="Courier New"/>
          <w:sz w:val="14"/>
          <w:szCs w:val="14"/>
          <w:color w:val="auto"/>
        </w:rPr>
        <w:t>Title:</w:t>
        <w:tab/>
        <w:t>Vice President and Chief Financial Officer</w:t>
      </w:r>
    </w:p>
    <w:p>
      <w:pPr>
        <w:spacing w:after="0" w:line="200" w:lineRule="exact"/>
        <w:rPr>
          <w:sz w:val="20"/>
          <w:szCs w:val="20"/>
          <w:color w:val="auto"/>
        </w:rPr>
      </w:pPr>
    </w:p>
    <w:p>
      <w:pPr>
        <w:sectPr>
          <w:pgSz w:w="11900" w:h="16838" w:orient="portrait"/>
          <w:cols w:equalWidth="0" w:num="2">
            <w:col w:w="2980" w:space="100"/>
            <w:col w:w="7159"/>
          </w:cols>
          <w:pgMar w:left="220" w:top="141" w:right="1440" w:bottom="0" w:gutter="0" w:footer="0" w:header="0"/>
          <w:type w:val="continuous"/>
        </w:sectPr>
      </w:pPr>
    </w:p>
    <w:p>
      <w:pPr>
        <w:spacing w:after="0" w:line="14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NN EUROBALL ApS, a Denmark limited liability company</w:t>
      </w:r>
    </w:p>
    <w:p>
      <w:pPr>
        <w:sectPr>
          <w:pgSz w:w="11900" w:h="16838" w:orient="portrait"/>
          <w:cols w:equalWidth="0" w:num="1">
            <w:col w:w="10239"/>
          </w:cols>
          <w:pgMar w:left="220" w:top="141" w:right="1440" w:bottom="0" w:gutter="0" w:footer="0" w:header="0"/>
          <w:type w:val="continuous"/>
        </w:sectPr>
      </w:pPr>
    </w:p>
    <w:p>
      <w:pPr>
        <w:spacing w:after="0" w:line="34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tabs>
          <w:tab w:leader="none" w:pos="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spacing w:after="0" w:line="1" w:lineRule="exact"/>
        <w:rPr>
          <w:sz w:val="20"/>
          <w:szCs w:val="20"/>
          <w:color w:val="auto"/>
        </w:rPr>
      </w:pPr>
    </w:p>
    <w:p>
      <w:pPr>
        <w:sectPr>
          <w:pgSz w:w="11900" w:h="16838" w:orient="portrait"/>
          <w:cols w:equalWidth="0" w:num="2">
            <w:col w:w="2980" w:space="100"/>
            <w:col w:w="7159"/>
          </w:cols>
          <w:pgMar w:left="220" w:top="141" w:right="1440" w:bottom="0" w:gutter="0" w:footer="0" w:header="0"/>
          <w:type w:val="continuous"/>
        </w:sectPr>
      </w:pPr>
    </w:p>
    <w:p>
      <w:pPr>
        <w:ind w:left="3240"/>
        <w:spacing w:after="0" w:line="237" w:lineRule="auto"/>
        <w:rPr>
          <w:sz w:val="20"/>
          <w:szCs w:val="20"/>
          <w:color w:val="auto"/>
        </w:rPr>
      </w:pPr>
      <w:r>
        <w:rPr>
          <w:rFonts w:ascii="Courier New" w:cs="Courier New" w:eastAsia="Courier New" w:hAnsi="Courier New"/>
          <w:sz w:val="15"/>
          <w:szCs w:val="15"/>
          <w:color w:val="auto"/>
        </w:rPr>
        <w:t>Title: Board Member</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b w:val="1"/>
          <w:bCs w:val="1"/>
          <w:color w:val="auto"/>
        </w:rPr>
        <w:t>DOMESTIC GUARANTORS:</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INDUSTRIAL MOLDING GP, LLC,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 Delaware limited liability company</w:t>
      </w:r>
    </w:p>
    <w:p>
      <w:pPr>
        <w:sectPr>
          <w:pgSz w:w="11900" w:h="16838" w:orient="portrait"/>
          <w:cols w:equalWidth="0" w:num="1">
            <w:col w:w="10239"/>
          </w:cols>
          <w:pgMar w:left="220" w:top="141" w:right="1440" w:bottom="0" w:gutter="0" w:footer="0" w:header="0"/>
          <w:type w:val="continuous"/>
        </w:sectPr>
      </w:pPr>
    </w:p>
    <w:p>
      <w:pPr>
        <w:spacing w:after="0" w:line="34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tabs>
          <w:tab w:leader="none" w:pos="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ind w:left="16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ectPr>
          <w:pgSz w:w="11900" w:h="16838" w:orient="portrait"/>
          <w:cols w:equalWidth="0" w:num="2">
            <w:col w:w="2980" w:space="100"/>
            <w:col w:w="7159"/>
          </w:cols>
          <w:pgMar w:left="220" w:top="141" w:right="1440" w:bottom="0" w:gutter="0" w:footer="0" w:header="0"/>
          <w:type w:val="continuous"/>
        </w:sect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729551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INDUSTRIAL MOLDING LP, LLC,</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 Tennessee limited liability company</w:t>
      </w:r>
    </w:p>
    <w:p>
      <w:pPr>
        <w:sectPr>
          <w:pgSz w:w="11900" w:h="16838" w:orient="portrait"/>
          <w:cols w:equalWidth="0" w:num="1">
            <w:col w:w="10239"/>
          </w:cols>
          <w:pgMar w:left="220" w:top="141" w:right="1440" w:bottom="0" w:gutter="0" w:footer="0" w:header="0"/>
          <w:type w:val="continuous"/>
        </w:sectPr>
      </w:pPr>
    </w:p>
    <w:p>
      <w:pPr>
        <w:spacing w:after="0" w:line="34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C. Kelly, Jr.</w:t>
      </w:r>
    </w:p>
    <w:p>
      <w:pPr>
        <w:spacing w:after="0" w:line="10" w:lineRule="exact"/>
        <w:rPr>
          <w:sz w:val="20"/>
          <w:szCs w:val="20"/>
          <w:color w:val="auto"/>
        </w:rPr>
      </w:pPr>
    </w:p>
    <w:p>
      <w:pPr>
        <w:sectPr>
          <w:pgSz w:w="11900" w:h="16838" w:orient="portrait"/>
          <w:cols w:equalWidth="0" w:num="2">
            <w:col w:w="2900" w:space="520"/>
            <w:col w:w="6819"/>
          </w:cols>
          <w:pgMar w:left="220" w:top="141" w:right="1440" w:bottom="0" w:gutter="0" w:footer="0" w:header="0"/>
          <w:type w:val="continuous"/>
        </w:sect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Name:</w:t>
        <w:tab/>
        <w:t>William C. Kelly, Jr.</w:t>
      </w:r>
    </w:p>
    <w:p>
      <w:pPr>
        <w:ind w:left="308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INDUSTRIAL MOLDING GROUP, L.P.,</w:t>
      </w:r>
    </w:p>
    <w:p>
      <w:pPr>
        <w:ind w:left="2640"/>
        <w:spacing w:after="0" w:line="237" w:lineRule="auto"/>
        <w:rPr>
          <w:sz w:val="20"/>
          <w:szCs w:val="20"/>
          <w:color w:val="auto"/>
        </w:rPr>
      </w:pPr>
      <w:r>
        <w:rPr>
          <w:rFonts w:ascii="Courier New" w:cs="Courier New" w:eastAsia="Courier New" w:hAnsi="Courier New"/>
          <w:sz w:val="15"/>
          <w:szCs w:val="15"/>
          <w:color w:val="auto"/>
        </w:rPr>
        <w:t>a Tennessee limited partnership</w:t>
      </w:r>
    </w:p>
    <w:p>
      <w:pPr>
        <w:sectPr>
          <w:pgSz w:w="11900" w:h="16838" w:orient="portrait"/>
          <w:cols w:equalWidth="0" w:num="1">
            <w:col w:w="10239"/>
          </w:cols>
          <w:pgMar w:left="220" w:top="141" w:right="1440" w:bottom="0" w:gutter="0" w:footer="0" w:header="0"/>
          <w:type w:val="continuous"/>
        </w:sectPr>
      </w:pPr>
    </w:p>
    <w:bookmarkStart w:id="20" w:name="page21"/>
    <w:bookmarkEnd w:id="20"/>
    <w:p>
      <w:pPr>
        <w:ind w:left="1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right="2799"/>
        <w:spacing w:after="0" w:line="261" w:lineRule="auto"/>
        <w:rPr>
          <w:sz w:val="20"/>
          <w:szCs w:val="20"/>
          <w:color w:val="auto"/>
        </w:rPr>
      </w:pPr>
      <w:r>
        <w:rPr>
          <w:rFonts w:ascii="Courier New" w:cs="Courier New" w:eastAsia="Courier New" w:hAnsi="Courier New"/>
          <w:sz w:val="14"/>
          <w:szCs w:val="14"/>
          <w:color w:val="auto"/>
        </w:rPr>
        <w:t>Industrial Molding GP, LLC, a Delaware limited liability company, its general partner</w:t>
      </w:r>
    </w:p>
    <w:p>
      <w:pPr>
        <w:spacing w:after="0" w:line="200" w:lineRule="exact"/>
        <w:rPr>
          <w:sz w:val="20"/>
          <w:szCs w:val="20"/>
          <w:color w:val="auto"/>
        </w:rPr>
      </w:pPr>
    </w:p>
    <w:p>
      <w:pPr>
        <w:sectPr>
          <w:pgSz w:w="11900" w:h="16838" w:orient="portrait"/>
          <w:cols w:equalWidth="0" w:num="2">
            <w:col w:w="1680" w:space="520"/>
            <w:col w:w="6819"/>
          </w:cols>
          <w:pgMar w:left="1440" w:top="141" w:right="1440" w:bottom="185" w:gutter="0" w:footer="0" w:header="0"/>
        </w:sectPr>
      </w:pPr>
    </w:p>
    <w:p>
      <w:pPr>
        <w:spacing w:after="0" w:line="12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5"/>
          <w:szCs w:val="15"/>
          <w:color w:val="auto"/>
        </w:rPr>
        <w:t>Name:</w:t>
        <w:tab/>
        <w:t>David L. Dyckman</w:t>
      </w:r>
    </w:p>
    <w:p>
      <w:pPr>
        <w:ind w:left="100"/>
        <w:spacing w:after="0" w:line="237" w:lineRule="auto"/>
        <w:tabs>
          <w:tab w:leader="none" w:pos="780" w:val="left"/>
        </w:tabs>
        <w:rPr>
          <w:sz w:val="20"/>
          <w:szCs w:val="20"/>
          <w:color w:val="auto"/>
        </w:rPr>
      </w:pPr>
      <w:r>
        <w:rPr>
          <w:rFonts w:ascii="Courier New" w:cs="Courier New" w:eastAsia="Courier New" w:hAnsi="Courier New"/>
          <w:sz w:val="15"/>
          <w:szCs w:val="15"/>
          <w:color w:val="auto"/>
        </w:rPr>
        <w:t>Title:</w:t>
        <w:tab/>
        <w:t>Manager</w:t>
      </w:r>
    </w:p>
    <w:p>
      <w:pPr>
        <w:spacing w:after="0" w:line="200" w:lineRule="exact"/>
        <w:rPr>
          <w:sz w:val="20"/>
          <w:szCs w:val="20"/>
          <w:color w:val="auto"/>
        </w:rPr>
      </w:pPr>
    </w:p>
    <w:p>
      <w:pPr>
        <w:sectPr>
          <w:pgSz w:w="11900" w:h="16838" w:orient="portrait"/>
          <w:cols w:equalWidth="0" w:num="2">
            <w:col w:w="1680" w:space="80"/>
            <w:col w:w="7259"/>
          </w:cols>
          <w:pgMar w:left="1440" w:top="141" w:right="1440" w:bottom="185" w:gutter="0" w:footer="0" w:header="0"/>
          <w:type w:val="continuous"/>
        </w:sectPr>
      </w:pPr>
    </w:p>
    <w:p>
      <w:pPr>
        <w:spacing w:after="0" w:line="1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DELTA RUBBER COMPANY,</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 Connecticut corporation</w:t>
      </w:r>
    </w:p>
    <w:p>
      <w:pPr>
        <w:sectPr>
          <w:pgSz w:w="11900" w:h="16838" w:orient="portrait"/>
          <w:cols w:equalWidth="0" w:num="1">
            <w:col w:w="9019"/>
          </w:cols>
          <w:pgMar w:left="1440" w:top="141" w:right="1440" w:bottom="185" w:gutter="0" w:footer="0" w:header="0"/>
          <w:type w:val="continuous"/>
        </w:sectPr>
      </w:pP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tab/>
        <w:t>David L. Dyckman</w:t>
      </w:r>
    </w:p>
    <w:p>
      <w:pPr>
        <w:ind w:left="180"/>
        <w:spacing w:after="0"/>
        <w:tabs>
          <w:tab w:leader="none" w:pos="8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200" w:lineRule="exact"/>
        <w:rPr>
          <w:sz w:val="20"/>
          <w:szCs w:val="20"/>
          <w:color w:val="auto"/>
        </w:rPr>
      </w:pPr>
    </w:p>
    <w:p>
      <w:pPr>
        <w:sectPr>
          <w:pgSz w:w="11900" w:h="16838" w:orient="portrait"/>
          <w:cols w:equalWidth="0" w:num="2">
            <w:col w:w="1680" w:space="80"/>
            <w:col w:w="7259"/>
          </w:cols>
          <w:pgMar w:left="1440" w:top="141" w:right="1440" w:bottom="185" w:gutter="0" w:footer="0" w:header="0"/>
          <w:type w:val="continuous"/>
        </w:sectPr>
      </w:pPr>
    </w:p>
    <w:p>
      <w:pPr>
        <w:spacing w:after="0" w:line="1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KUGELFERTIGUNG ELTMANN GmbH, a German Company</w:t>
      </w:r>
    </w:p>
    <w:p>
      <w:pPr>
        <w:sectPr>
          <w:pgSz w:w="11900" w:h="16838" w:orient="portrait"/>
          <w:cols w:equalWidth="0" w:num="1">
            <w:col w:w="9019"/>
          </w:cols>
          <w:pgMar w:left="1440" w:top="141" w:right="1440" w:bottom="185" w:gutter="0" w:footer="0" w:header="0"/>
          <w:type w:val="continuous"/>
        </w:sectPr>
      </w:pP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Dirk Offergeld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tab/>
        <w:t>Dirk Offergeld</w:t>
      </w:r>
    </w:p>
    <w:p>
      <w:pPr>
        <w:ind w:left="18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200" w:lineRule="exact"/>
        <w:rPr>
          <w:sz w:val="20"/>
          <w:szCs w:val="20"/>
          <w:color w:val="auto"/>
        </w:rPr>
      </w:pPr>
    </w:p>
    <w:p>
      <w:pPr>
        <w:sectPr>
          <w:pgSz w:w="11900" w:h="16838" w:orient="portrait"/>
          <w:cols w:equalWidth="0" w:num="2">
            <w:col w:w="1680" w:space="80"/>
            <w:col w:w="7259"/>
          </w:cols>
          <w:pgMar w:left="1440" w:top="141" w:right="1440" w:bottom="185" w:gutter="0" w:footer="0" w:header="0"/>
          <w:type w:val="continuous"/>
        </w:sectPr>
      </w:pPr>
    </w:p>
    <w:p>
      <w:pPr>
        <w:spacing w:after="0" w:line="1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Wolfgang Bartel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tab/>
        <w:t>Wolfgang Bartel</w:t>
      </w:r>
    </w:p>
    <w:p>
      <w:pPr>
        <w:spacing w:after="0" w:line="1" w:lineRule="exact"/>
        <w:rPr>
          <w:sz w:val="20"/>
          <w:szCs w:val="20"/>
          <w:color w:val="auto"/>
        </w:rPr>
      </w:pPr>
    </w:p>
    <w:p>
      <w:pPr>
        <w:sectPr>
          <w:pgSz w:w="11900" w:h="16838" w:orient="portrait"/>
          <w:cols w:equalWidth="0" w:num="2">
            <w:col w:w="1680" w:space="80"/>
            <w:col w:w="7259"/>
          </w:cols>
          <w:pgMar w:left="1440" w:top="141" w:right="1440" w:bottom="185" w:gutter="0" w:footer="0" w:header="0"/>
          <w:type w:val="continuous"/>
        </w:sectPr>
      </w:pPr>
    </w:p>
    <w:p>
      <w:pPr>
        <w:ind w:left="194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b w:val="1"/>
          <w:bCs w:val="1"/>
          <w:color w:val="auto"/>
        </w:rPr>
        <w:t>[Signatures Continued Next Page]</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188595</wp:posOffset>
            </wp:positionV>
            <wp:extent cx="729551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NN NETHERLANDS B.V., a Dutch company</w:t>
      </w:r>
    </w:p>
    <w:p>
      <w:pPr>
        <w:sectPr>
          <w:pgSz w:w="11900" w:h="16838" w:orient="portrait"/>
          <w:cols w:equalWidth="0" w:num="1">
            <w:col w:w="9019"/>
          </w:cols>
          <w:pgMar w:left="1440" w:top="141" w:right="1440" w:bottom="185" w:gutter="0" w:footer="0" w:header="0"/>
          <w:type w:val="continuous"/>
        </w:sectPr>
      </w:pP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tab/>
        <w:t>David L. Dyckman</w:t>
      </w:r>
    </w:p>
    <w:p>
      <w:pPr>
        <w:ind w:left="180"/>
        <w:spacing w:after="0" w:line="237" w:lineRule="auto"/>
        <w:rPr>
          <w:sz w:val="20"/>
          <w:szCs w:val="20"/>
          <w:color w:val="auto"/>
        </w:rPr>
      </w:pPr>
      <w:r>
        <w:rPr>
          <w:rFonts w:ascii="Courier New" w:cs="Courier New" w:eastAsia="Courier New" w:hAnsi="Courier New"/>
          <w:sz w:val="15"/>
          <w:szCs w:val="15"/>
          <w:color w:val="auto"/>
        </w:rPr>
        <w:t>Title: Board Member</w:t>
      </w:r>
    </w:p>
    <w:p>
      <w:pPr>
        <w:spacing w:after="0" w:line="200" w:lineRule="exact"/>
        <w:rPr>
          <w:sz w:val="20"/>
          <w:szCs w:val="20"/>
          <w:color w:val="auto"/>
        </w:rPr>
      </w:pPr>
    </w:p>
    <w:p>
      <w:pPr>
        <w:sectPr>
          <w:pgSz w:w="11900" w:h="16838" w:orient="portrait"/>
          <w:cols w:equalWidth="0" w:num="2">
            <w:col w:w="1680" w:space="80"/>
            <w:col w:w="7259"/>
          </w:cols>
          <w:pgMar w:left="1440" w:top="141" w:right="1440" w:bottom="185" w:gutter="0" w:footer="0" w:header="0"/>
          <w:type w:val="continuous"/>
        </w:sectPr>
      </w:pPr>
    </w:p>
    <w:p>
      <w:pPr>
        <w:spacing w:after="0" w:line="31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NN EUROBALL IRELAND LIMITED, an Irish company</w:t>
      </w:r>
    </w:p>
    <w:p>
      <w:pPr>
        <w:sectPr>
          <w:pgSz w:w="11900" w:h="16838" w:orient="portrait"/>
          <w:cols w:equalWidth="0" w:num="1">
            <w:col w:w="9019"/>
          </w:cols>
          <w:pgMar w:left="1440" w:top="141" w:right="1440" w:bottom="185" w:gutter="0" w:footer="0" w:header="0"/>
          <w:type w:val="continuous"/>
        </w:sectPr>
      </w:pPr>
    </w:p>
    <w:p>
      <w:pPr>
        <w:spacing w:after="0" w:line="346"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5"/>
          <w:szCs w:val="15"/>
          <w:color w:val="auto"/>
        </w:rPr>
        <w:t>Name:</w:t>
        <w:tab/>
        <w:t>Roderick R. Baty</w:t>
      </w:r>
    </w:p>
    <w:p>
      <w:pPr>
        <w:ind w:left="180"/>
        <w:spacing w:after="0" w:line="237" w:lineRule="auto"/>
        <w:rPr>
          <w:sz w:val="20"/>
          <w:szCs w:val="20"/>
          <w:color w:val="auto"/>
        </w:rPr>
      </w:pPr>
      <w:r>
        <w:rPr>
          <w:rFonts w:ascii="Courier New" w:cs="Courier New" w:eastAsia="Courier New" w:hAnsi="Courier New"/>
          <w:sz w:val="15"/>
          <w:szCs w:val="15"/>
          <w:color w:val="auto"/>
        </w:rPr>
        <w:t>Title: Board Member</w:t>
      </w:r>
    </w:p>
    <w:p>
      <w:pPr>
        <w:spacing w:after="0" w:line="200" w:lineRule="exact"/>
        <w:rPr>
          <w:sz w:val="20"/>
          <w:szCs w:val="20"/>
          <w:color w:val="auto"/>
        </w:rPr>
      </w:pPr>
    </w:p>
    <w:p>
      <w:pPr>
        <w:sectPr>
          <w:pgSz w:w="11900" w:h="16838" w:orient="portrait"/>
          <w:cols w:equalWidth="0" w:num="2">
            <w:col w:w="1580" w:space="100"/>
            <w:col w:w="7339"/>
          </w:cols>
          <w:pgMar w:left="1440" w:top="141" w:right="1440" w:bottom="185" w:gutter="0" w:footer="0" w:header="0"/>
          <w:type w:val="continuous"/>
        </w:sectPr>
      </w:pPr>
    </w:p>
    <w:p>
      <w:pPr>
        <w:spacing w:after="0" w:line="1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NN HOLDINGS, B.V., a Dutch company</w:t>
      </w:r>
    </w:p>
    <w:p>
      <w:pPr>
        <w:sectPr>
          <w:pgSz w:w="11900" w:h="16838" w:orient="portrait"/>
          <w:cols w:equalWidth="0" w:num="1">
            <w:col w:w="9019"/>
          </w:cols>
          <w:pgMar w:left="1440" w:top="141" w:right="1440" w:bottom="185" w:gutter="0" w:footer="0" w:header="0"/>
          <w:type w:val="continuous"/>
        </w:sectPr>
      </w:pPr>
    </w:p>
    <w:p>
      <w:pPr>
        <w:spacing w:after="0" w:line="346"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5"/>
          <w:szCs w:val="15"/>
          <w:color w:val="auto"/>
        </w:rPr>
        <w:t>Name:</w:t>
        <w:tab/>
        <w:t>David L. Dyckman</w:t>
      </w:r>
    </w:p>
    <w:p>
      <w:pPr>
        <w:ind w:left="180"/>
        <w:spacing w:after="0" w:line="237" w:lineRule="auto"/>
        <w:rPr>
          <w:sz w:val="20"/>
          <w:szCs w:val="20"/>
          <w:color w:val="auto"/>
        </w:rPr>
      </w:pPr>
      <w:r>
        <w:rPr>
          <w:rFonts w:ascii="Courier New" w:cs="Courier New" w:eastAsia="Courier New" w:hAnsi="Courier New"/>
          <w:sz w:val="15"/>
          <w:szCs w:val="15"/>
          <w:color w:val="auto"/>
        </w:rPr>
        <w:t>Title: Board Member/Shareholder Representative</w:t>
      </w:r>
    </w:p>
    <w:p>
      <w:pPr>
        <w:spacing w:after="0" w:line="200" w:lineRule="exact"/>
        <w:rPr>
          <w:sz w:val="20"/>
          <w:szCs w:val="20"/>
          <w:color w:val="auto"/>
        </w:rPr>
      </w:pPr>
    </w:p>
    <w:p>
      <w:pPr>
        <w:sectPr>
          <w:pgSz w:w="11900" w:h="16838" w:orient="portrait"/>
          <w:cols w:equalWidth="0" w:num="2">
            <w:col w:w="1580" w:space="100"/>
            <w:col w:w="7339"/>
          </w:cols>
          <w:pgMar w:left="1440" w:top="141" w:right="1440" w:bottom="185" w:gutter="0" w:footer="0" w:header="0"/>
          <w:type w:val="continuous"/>
        </w:sectPr>
      </w:pPr>
    </w:p>
    <w:p>
      <w:pPr>
        <w:spacing w:after="0" w:line="1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b w:val="1"/>
          <w:bCs w:val="1"/>
          <w:color w:val="auto"/>
        </w:rPr>
        <w:t>LENDERS:</w:t>
      </w:r>
    </w:p>
    <w:p>
      <w:pPr>
        <w:spacing w:after="0" w:line="17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AMSOUTH BANK, as a Lender</w:t>
      </w:r>
    </w:p>
    <w:p>
      <w:pPr>
        <w:sectPr>
          <w:pgSz w:w="11900" w:h="16838" w:orient="portrait"/>
          <w:cols w:equalWidth="0" w:num="1">
            <w:col w:w="9019"/>
          </w:cols>
          <w:pgMar w:left="1440" w:top="141" w:right="1440" w:bottom="185" w:gutter="0" w:footer="0" w:header="0"/>
          <w:type w:val="continuous"/>
        </w:sectPr>
      </w:pPr>
    </w:p>
    <w:p>
      <w:pPr>
        <w:spacing w:after="0" w:line="346"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William H. Keller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William H. Keller</w:t>
      </w:r>
    </w:p>
    <w:p>
      <w:pPr>
        <w:ind w:left="180"/>
        <w:spacing w:after="0" w:line="237" w:lineRule="auto"/>
        <w:tabs>
          <w:tab w:leader="none" w:pos="86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200" w:lineRule="exact"/>
        <w:rPr>
          <w:sz w:val="20"/>
          <w:szCs w:val="20"/>
          <w:color w:val="auto"/>
        </w:rPr>
      </w:pPr>
    </w:p>
    <w:p>
      <w:pPr>
        <w:sectPr>
          <w:pgSz w:w="11900" w:h="16838" w:orient="portrait"/>
          <w:cols w:equalWidth="0" w:num="2">
            <w:col w:w="1500" w:space="80"/>
            <w:col w:w="7439"/>
          </w:cols>
          <w:pgMar w:left="1440" w:top="141" w:right="1440" w:bottom="185" w:gutter="0" w:footer="0" w:header="0"/>
          <w:type w:val="continuous"/>
        </w:sectPr>
      </w:pPr>
    </w:p>
    <w:p>
      <w:pPr>
        <w:spacing w:after="0" w:line="14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FIRST TENNESSEE BANK NATIONAL ASSOCIATION, as a Lender</w:t>
      </w:r>
    </w:p>
    <w:p>
      <w:pPr>
        <w:sectPr>
          <w:pgSz w:w="11900" w:h="16838" w:orient="portrait"/>
          <w:cols w:equalWidth="0" w:num="1">
            <w:col w:w="9019"/>
          </w:cols>
          <w:pgMar w:left="1440" w:top="141" w:right="1440" w:bottom="185" w:gutter="0" w:footer="0" w:header="0"/>
          <w:type w:val="continuous"/>
        </w:sectPr>
      </w:pPr>
    </w:p>
    <w:p>
      <w:pPr>
        <w:spacing w:after="0" w:line="346"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Vincent K. Hickam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Vincent K. Hickam</w:t>
      </w:r>
    </w:p>
    <w:p>
      <w:pPr>
        <w:ind w:left="180"/>
        <w:spacing w:after="0" w:line="237" w:lineRule="auto"/>
        <w:tabs>
          <w:tab w:leader="none" w:pos="860"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200" w:lineRule="exact"/>
        <w:rPr>
          <w:sz w:val="20"/>
          <w:szCs w:val="20"/>
          <w:color w:val="auto"/>
        </w:rPr>
      </w:pPr>
    </w:p>
    <w:p>
      <w:pPr>
        <w:sectPr>
          <w:pgSz w:w="11900" w:h="16838" w:orient="portrait"/>
          <w:cols w:equalWidth="0" w:num="2">
            <w:col w:w="1500" w:space="80"/>
            <w:col w:w="7439"/>
          </w:cols>
          <w:pgMar w:left="1440" w:top="141" w:right="1440" w:bottom="185" w:gutter="0" w:footer="0" w:header="0"/>
          <w:type w:val="continuous"/>
        </w:sectPr>
      </w:pPr>
    </w:p>
    <w:p>
      <w:pPr>
        <w:spacing w:after="0" w:line="1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b w:val="1"/>
          <w:bCs w:val="1"/>
          <w:color w:val="auto"/>
        </w:rPr>
        <w:t>[Signatures Continued Next Page]</w:t>
      </w:r>
    </w:p>
    <w:p>
      <w:pPr>
        <w:sectPr>
          <w:pgSz w:w="11900" w:h="16838" w:orient="portrait"/>
          <w:cols w:equalWidth="0" w:num="1">
            <w:col w:w="9019"/>
          </w:cols>
          <w:pgMar w:left="1440" w:top="141" w:right="1440" w:bottom="185"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63"/>
        </w:trPr>
        <w:tc>
          <w:tcPr>
            <w:tcW w:w="2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40" w:type="dxa"/>
            <w:vAlign w:val="bottom"/>
          </w:tcPr>
          <w:p>
            <w:pPr>
              <w:jc w:val="right"/>
              <w:ind w:right="7888"/>
              <w:spacing w:after="0"/>
              <w:rPr>
                <w:sz w:val="20"/>
                <w:szCs w:val="20"/>
                <w:color w:val="auto"/>
              </w:rPr>
            </w:pPr>
            <w:r>
              <w:rPr>
                <w:rFonts w:ascii="Courier New" w:cs="Courier New" w:eastAsia="Courier New" w:hAnsi="Courier New"/>
                <w:sz w:val="14"/>
                <w:szCs w:val="14"/>
                <w:color w:val="auto"/>
                <w:w w:val="70"/>
              </w:rPr>
              <w:t>7</w:t>
            </w:r>
          </w:p>
        </w:tc>
      </w:tr>
      <w:tr>
        <w:trPr>
          <w:trHeight w:val="319"/>
        </w:trPr>
        <w:tc>
          <w:tcPr>
            <w:tcW w:w="11460" w:type="dxa"/>
            <w:vAlign w:val="bottom"/>
            <w:tcBorders>
              <w:bottom w:val="single" w:sz="8" w:color="9A9A9A"/>
            </w:tcBorders>
            <w:gridSpan w:val="3"/>
          </w:tcPr>
          <w:p>
            <w:pPr>
              <w:spacing w:after="0"/>
              <w:rPr>
                <w:sz w:val="24"/>
                <w:szCs w:val="24"/>
                <w:color w:val="auto"/>
              </w:rPr>
            </w:pPr>
          </w:p>
        </w:tc>
      </w:tr>
      <w:tr>
        <w:trPr>
          <w:trHeight w:val="311"/>
        </w:trPr>
        <w:tc>
          <w:tcPr>
            <w:tcW w:w="114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UNION PLANTERS BANK, NATIONAL ASSOCIATION, as a Lender</w:t>
            </w:r>
          </w:p>
        </w:tc>
      </w:tr>
      <w:tr>
        <w:trPr>
          <w:trHeight w:val="505"/>
        </w:trPr>
        <w:tc>
          <w:tcPr>
            <w:tcW w:w="2640" w:type="dxa"/>
            <w:vAlign w:val="bottom"/>
          </w:tcPr>
          <w:p>
            <w:pPr>
              <w:ind w:left="2380"/>
              <w:spacing w:after="0"/>
              <w:rPr>
                <w:sz w:val="20"/>
                <w:szCs w:val="20"/>
                <w:color w:val="auto"/>
              </w:rPr>
            </w:pPr>
            <w:r>
              <w:rPr>
                <w:rFonts w:ascii="Courier New" w:cs="Courier New" w:eastAsia="Courier New" w:hAnsi="Courier New"/>
                <w:sz w:val="15"/>
                <w:szCs w:val="15"/>
                <w:color w:val="auto"/>
                <w:w w:val="88"/>
              </w:rPr>
              <w:t>By:</w:t>
            </w:r>
          </w:p>
        </w:tc>
        <w:tc>
          <w:tcPr>
            <w:tcW w:w="8820" w:type="dxa"/>
            <w:vAlign w:val="bottom"/>
            <w:gridSpan w:val="2"/>
          </w:tcPr>
          <w:p>
            <w:pPr>
              <w:jc w:val="right"/>
              <w:ind w:right="6308"/>
              <w:spacing w:after="0"/>
              <w:rPr>
                <w:sz w:val="20"/>
                <w:szCs w:val="20"/>
                <w:color w:val="auto"/>
              </w:rPr>
            </w:pPr>
            <w:r>
              <w:rPr>
                <w:rFonts w:ascii="Courier New" w:cs="Courier New" w:eastAsia="Courier New" w:hAnsi="Courier New"/>
                <w:sz w:val="15"/>
                <w:szCs w:val="15"/>
                <w:color w:val="auto"/>
              </w:rPr>
              <w:t>/s/ Edwin Andrew Moats</w:t>
            </w:r>
          </w:p>
        </w:tc>
      </w:tr>
      <w:tr>
        <w:trPr>
          <w:trHeight w:val="168"/>
        </w:trPr>
        <w:tc>
          <w:tcPr>
            <w:tcW w:w="2640" w:type="dxa"/>
            <w:vAlign w:val="bottom"/>
          </w:tcPr>
          <w:p>
            <w:pPr>
              <w:spacing w:after="0"/>
              <w:rPr>
                <w:sz w:val="14"/>
                <w:szCs w:val="14"/>
                <w:color w:val="auto"/>
              </w:rPr>
            </w:pPr>
          </w:p>
        </w:tc>
        <w:tc>
          <w:tcPr>
            <w:tcW w:w="8820" w:type="dxa"/>
            <w:vAlign w:val="bottom"/>
            <w:gridSpan w:val="2"/>
          </w:tcPr>
          <w:p>
            <w:pPr>
              <w:jc w:val="right"/>
              <w:ind w:right="4028"/>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Name:</w:t>
            </w:r>
          </w:p>
        </w:tc>
        <w:tc>
          <w:tcPr>
            <w:tcW w:w="8040" w:type="dxa"/>
            <w:vAlign w:val="bottom"/>
          </w:tcPr>
          <w:p>
            <w:pPr>
              <w:jc w:val="right"/>
              <w:ind w:right="6308"/>
              <w:spacing w:after="0" w:line="168" w:lineRule="exact"/>
              <w:rPr>
                <w:sz w:val="20"/>
                <w:szCs w:val="20"/>
                <w:color w:val="auto"/>
              </w:rPr>
            </w:pPr>
            <w:r>
              <w:rPr>
                <w:rFonts w:ascii="Courier New" w:cs="Courier New" w:eastAsia="Courier New" w:hAnsi="Courier New"/>
                <w:sz w:val="15"/>
                <w:szCs w:val="15"/>
                <w:color w:val="auto"/>
              </w:rPr>
              <w:t>Edwin Andrew Moats</w:t>
            </w:r>
          </w:p>
        </w:tc>
      </w:tr>
      <w:tr>
        <w:trPr>
          <w:trHeight w:val="168"/>
        </w:trPr>
        <w:tc>
          <w:tcPr>
            <w:tcW w:w="26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Title:</w:t>
            </w:r>
          </w:p>
        </w:tc>
        <w:tc>
          <w:tcPr>
            <w:tcW w:w="8040" w:type="dxa"/>
            <w:vAlign w:val="bottom"/>
          </w:tcPr>
          <w:p>
            <w:pPr>
              <w:jc w:val="right"/>
              <w:ind w:right="5688"/>
              <w:spacing w:after="0" w:line="168" w:lineRule="exact"/>
              <w:rPr>
                <w:sz w:val="20"/>
                <w:szCs w:val="20"/>
                <w:color w:val="auto"/>
              </w:rPr>
            </w:pPr>
            <w:r>
              <w:rPr>
                <w:rFonts w:ascii="Courier New" w:cs="Courier New" w:eastAsia="Courier New" w:hAnsi="Courier New"/>
                <w:sz w:val="15"/>
                <w:szCs w:val="15"/>
                <w:color w:val="auto"/>
              </w:rPr>
              <w:t>Assistant Vice President</w:t>
            </w:r>
          </w:p>
        </w:tc>
      </w:tr>
      <w:tr>
        <w:trPr>
          <w:trHeight w:val="505"/>
        </w:trPr>
        <w:tc>
          <w:tcPr>
            <w:tcW w:w="11460" w:type="dxa"/>
            <w:vAlign w:val="bottom"/>
            <w:gridSpan w:val="3"/>
          </w:tcPr>
          <w:p>
            <w:pPr>
              <w:ind w:left="2280"/>
              <w:spacing w:after="0"/>
              <w:rPr>
                <w:sz w:val="20"/>
                <w:szCs w:val="20"/>
                <w:color w:val="auto"/>
              </w:rPr>
            </w:pPr>
            <w:r>
              <w:rPr>
                <w:rFonts w:ascii="Courier New" w:cs="Courier New" w:eastAsia="Courier New" w:hAnsi="Courier New"/>
                <w:sz w:val="15"/>
                <w:szCs w:val="15"/>
                <w:color w:val="auto"/>
              </w:rPr>
              <w:t>INTEGRA BANK, N.A., as a Lender</w:t>
            </w:r>
          </w:p>
        </w:tc>
      </w:tr>
      <w:tr>
        <w:trPr>
          <w:trHeight w:val="505"/>
        </w:trPr>
        <w:tc>
          <w:tcPr>
            <w:tcW w:w="2640" w:type="dxa"/>
            <w:vAlign w:val="bottom"/>
          </w:tcPr>
          <w:p>
            <w:pPr>
              <w:ind w:left="2280"/>
              <w:spacing w:after="0"/>
              <w:rPr>
                <w:sz w:val="20"/>
                <w:szCs w:val="20"/>
                <w:color w:val="auto"/>
              </w:rPr>
            </w:pPr>
            <w:r>
              <w:rPr>
                <w:rFonts w:ascii="Courier New" w:cs="Courier New" w:eastAsia="Courier New" w:hAnsi="Courier New"/>
                <w:sz w:val="15"/>
                <w:szCs w:val="15"/>
                <w:color w:val="auto"/>
              </w:rPr>
              <w:t>By:</w:t>
            </w:r>
          </w:p>
        </w:tc>
        <w:tc>
          <w:tcPr>
            <w:tcW w:w="8820" w:type="dxa"/>
            <w:vAlign w:val="bottom"/>
            <w:gridSpan w:val="2"/>
          </w:tcPr>
          <w:p>
            <w:pPr>
              <w:jc w:val="right"/>
              <w:ind w:right="6128"/>
              <w:spacing w:after="0"/>
              <w:rPr>
                <w:sz w:val="20"/>
                <w:szCs w:val="20"/>
                <w:color w:val="auto"/>
              </w:rPr>
            </w:pPr>
            <w:r>
              <w:rPr>
                <w:rFonts w:ascii="Courier New" w:cs="Courier New" w:eastAsia="Courier New" w:hAnsi="Courier New"/>
                <w:sz w:val="15"/>
                <w:szCs w:val="15"/>
                <w:color w:val="auto"/>
              </w:rPr>
              <w:t>/s/ Jeffrey S. Nurkiewicz</w:t>
            </w:r>
          </w:p>
        </w:tc>
      </w:tr>
      <w:tr>
        <w:trPr>
          <w:trHeight w:val="168"/>
        </w:trPr>
        <w:tc>
          <w:tcPr>
            <w:tcW w:w="2640" w:type="dxa"/>
            <w:vAlign w:val="bottom"/>
          </w:tcPr>
          <w:p>
            <w:pPr>
              <w:spacing w:after="0"/>
              <w:rPr>
                <w:sz w:val="14"/>
                <w:szCs w:val="14"/>
                <w:color w:val="auto"/>
              </w:rPr>
            </w:pPr>
          </w:p>
        </w:tc>
        <w:tc>
          <w:tcPr>
            <w:tcW w:w="8820" w:type="dxa"/>
            <w:vAlign w:val="bottom"/>
            <w:gridSpan w:val="2"/>
          </w:tcPr>
          <w:p>
            <w:pPr>
              <w:jc w:val="right"/>
              <w:ind w:right="394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40" w:type="dxa"/>
            <w:vAlign w:val="bottom"/>
          </w:tcPr>
          <w:p>
            <w:pPr>
              <w:spacing w:after="0"/>
              <w:rPr>
                <w:sz w:val="14"/>
                <w:szCs w:val="14"/>
                <w:color w:val="auto"/>
              </w:rPr>
            </w:pP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Name:</w:t>
            </w:r>
          </w:p>
        </w:tc>
        <w:tc>
          <w:tcPr>
            <w:tcW w:w="8040" w:type="dxa"/>
            <w:vAlign w:val="bottom"/>
          </w:tcPr>
          <w:p>
            <w:pPr>
              <w:jc w:val="right"/>
              <w:ind w:right="6128"/>
              <w:spacing w:after="0" w:line="168" w:lineRule="exact"/>
              <w:rPr>
                <w:sz w:val="20"/>
                <w:szCs w:val="20"/>
                <w:color w:val="auto"/>
              </w:rPr>
            </w:pPr>
            <w:r>
              <w:rPr>
                <w:rFonts w:ascii="Courier New" w:cs="Courier New" w:eastAsia="Courier New" w:hAnsi="Courier New"/>
                <w:sz w:val="15"/>
                <w:szCs w:val="15"/>
                <w:color w:val="auto"/>
                <w:w w:val="96"/>
              </w:rPr>
              <w:t>Jeffrey S. Nurkiewicz</w:t>
            </w:r>
          </w:p>
        </w:tc>
      </w:tr>
      <w:tr>
        <w:trPr>
          <w:trHeight w:val="168"/>
        </w:trPr>
        <w:tc>
          <w:tcPr>
            <w:tcW w:w="2640" w:type="dxa"/>
            <w:vAlign w:val="bottom"/>
          </w:tcPr>
          <w:p>
            <w:pPr>
              <w:spacing w:after="0"/>
              <w:rPr>
                <w:sz w:val="14"/>
                <w:szCs w:val="14"/>
                <w:color w:val="auto"/>
              </w:rPr>
            </w:pP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Title:</w:t>
            </w:r>
          </w:p>
        </w:tc>
        <w:tc>
          <w:tcPr>
            <w:tcW w:w="8040" w:type="dxa"/>
            <w:vAlign w:val="bottom"/>
          </w:tcPr>
          <w:p>
            <w:pPr>
              <w:jc w:val="right"/>
              <w:ind w:right="6048"/>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505"/>
        </w:trPr>
        <w:tc>
          <w:tcPr>
            <w:tcW w:w="11460" w:type="dxa"/>
            <w:vAlign w:val="bottom"/>
            <w:gridSpan w:val="3"/>
          </w:tcPr>
          <w:p>
            <w:pPr>
              <w:ind w:left="2280"/>
              <w:spacing w:after="0"/>
              <w:rPr>
                <w:sz w:val="20"/>
                <w:szCs w:val="20"/>
                <w:color w:val="auto"/>
              </w:rPr>
            </w:pPr>
            <w:r>
              <w:rPr>
                <w:rFonts w:ascii="Courier New" w:cs="Courier New" w:eastAsia="Courier New" w:hAnsi="Courier New"/>
                <w:sz w:val="15"/>
                <w:szCs w:val="15"/>
                <w:color w:val="auto"/>
              </w:rPr>
              <w:t>SUNTRUST BANK, as a Lender and Euro Loan Agent</w:t>
            </w:r>
          </w:p>
        </w:tc>
      </w:tr>
      <w:tr>
        <w:trPr>
          <w:trHeight w:val="505"/>
        </w:trPr>
        <w:tc>
          <w:tcPr>
            <w:tcW w:w="2640" w:type="dxa"/>
            <w:vAlign w:val="bottom"/>
          </w:tcPr>
          <w:p>
            <w:pPr>
              <w:ind w:left="2280"/>
              <w:spacing w:after="0"/>
              <w:rPr>
                <w:sz w:val="20"/>
                <w:szCs w:val="20"/>
                <w:color w:val="auto"/>
              </w:rPr>
            </w:pPr>
            <w:r>
              <w:rPr>
                <w:rFonts w:ascii="Courier New" w:cs="Courier New" w:eastAsia="Courier New" w:hAnsi="Courier New"/>
                <w:sz w:val="15"/>
                <w:szCs w:val="15"/>
                <w:color w:val="auto"/>
              </w:rPr>
              <w:t>By:</w:t>
            </w:r>
          </w:p>
        </w:tc>
        <w:tc>
          <w:tcPr>
            <w:tcW w:w="8820" w:type="dxa"/>
            <w:vAlign w:val="bottom"/>
            <w:gridSpan w:val="2"/>
          </w:tcPr>
          <w:p>
            <w:pPr>
              <w:jc w:val="right"/>
              <w:ind w:right="6908"/>
              <w:spacing w:after="0"/>
              <w:rPr>
                <w:sz w:val="20"/>
                <w:szCs w:val="20"/>
                <w:color w:val="auto"/>
              </w:rPr>
            </w:pPr>
            <w:r>
              <w:rPr>
                <w:rFonts w:ascii="Courier New" w:cs="Courier New" w:eastAsia="Courier New" w:hAnsi="Courier New"/>
                <w:sz w:val="15"/>
                <w:szCs w:val="15"/>
                <w:color w:val="auto"/>
              </w:rPr>
              <w:t>/s/ Scott Folsom</w:t>
            </w:r>
          </w:p>
        </w:tc>
      </w:tr>
      <w:tr>
        <w:trPr>
          <w:trHeight w:val="168"/>
        </w:trPr>
        <w:tc>
          <w:tcPr>
            <w:tcW w:w="2640" w:type="dxa"/>
            <w:vAlign w:val="bottom"/>
          </w:tcPr>
          <w:p>
            <w:pPr>
              <w:spacing w:after="0"/>
              <w:rPr>
                <w:sz w:val="14"/>
                <w:szCs w:val="14"/>
                <w:color w:val="auto"/>
              </w:rPr>
            </w:pPr>
          </w:p>
        </w:tc>
        <w:tc>
          <w:tcPr>
            <w:tcW w:w="8820" w:type="dxa"/>
            <w:vAlign w:val="bottom"/>
            <w:gridSpan w:val="2"/>
          </w:tcPr>
          <w:p>
            <w:pPr>
              <w:jc w:val="right"/>
              <w:ind w:right="402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40" w:type="dxa"/>
            <w:vAlign w:val="bottom"/>
          </w:tcPr>
          <w:p>
            <w:pPr>
              <w:spacing w:after="0"/>
              <w:rPr>
                <w:sz w:val="14"/>
                <w:szCs w:val="14"/>
                <w:color w:val="auto"/>
              </w:rPr>
            </w:pPr>
          </w:p>
        </w:tc>
        <w:tc>
          <w:tcPr>
            <w:tcW w:w="8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Name: Scott Folsom</w:t>
            </w:r>
          </w:p>
        </w:tc>
      </w:tr>
      <w:tr>
        <w:trPr>
          <w:trHeight w:val="168"/>
        </w:trPr>
        <w:tc>
          <w:tcPr>
            <w:tcW w:w="26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Title:</w:t>
            </w:r>
          </w:p>
        </w:tc>
        <w:tc>
          <w:tcPr>
            <w:tcW w:w="8040" w:type="dxa"/>
            <w:vAlign w:val="bottom"/>
          </w:tcPr>
          <w:p>
            <w:pPr>
              <w:jc w:val="right"/>
              <w:ind w:right="6128"/>
              <w:spacing w:after="0" w:line="168" w:lineRule="exact"/>
              <w:rPr>
                <w:sz w:val="20"/>
                <w:szCs w:val="20"/>
                <w:color w:val="auto"/>
              </w:rPr>
            </w:pPr>
            <w:r>
              <w:rPr>
                <w:rFonts w:ascii="Courier New" w:cs="Courier New" w:eastAsia="Courier New" w:hAnsi="Courier New"/>
                <w:sz w:val="15"/>
                <w:szCs w:val="15"/>
                <w:color w:val="auto"/>
                <w:w w:val="96"/>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-2787015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-2787015</wp:posOffset>
            </wp:positionV>
            <wp:extent cx="3238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22" w:name="page23"/>
    <w:bookmarkEnd w:id="22"/>
    <w:p>
      <w:pPr>
        <w:jc w:val="right"/>
        <w:ind w:right="3239"/>
        <w:spacing w:after="0"/>
        <w:rPr>
          <w:sz w:val="20"/>
          <w:szCs w:val="20"/>
          <w:color w:val="auto"/>
        </w:rPr>
      </w:pPr>
      <w:r>
        <w:rPr>
          <w:rFonts w:ascii="Courier New" w:cs="Courier New" w:eastAsia="Courier New" w:hAnsi="Courier New"/>
          <w:sz w:val="15"/>
          <w:szCs w:val="15"/>
          <w:b w:val="1"/>
          <w:bCs w:val="1"/>
          <w:u w:val="single" w:color="auto"/>
          <w:color w:val="auto"/>
        </w:rPr>
        <w:t>Exhibit 10.2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b w:val="1"/>
          <w:bCs w:val="1"/>
          <w:color w:val="auto"/>
        </w:rPr>
        <w:t>AMENDMENT NO. 3 TO CREDIT AGREEMENT AND WAIVER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b w:val="1"/>
          <w:bCs w:val="1"/>
          <w:color w:val="auto"/>
        </w:rPr>
        <w:t xml:space="preserve">THIS AMENDMENT NO. 3 TO CREDIT AGREEMENT AND WAIVER </w:t>
      </w:r>
      <w:r>
        <w:rPr>
          <w:rFonts w:ascii="Courier New" w:cs="Courier New" w:eastAsia="Courier New" w:hAnsi="Courier New"/>
          <w:sz w:val="15"/>
          <w:szCs w:val="15"/>
          <w:color w:val="auto"/>
        </w:rPr>
        <w:t>(this "</w:t>
      </w:r>
      <w:r>
        <w:rPr>
          <w:rFonts w:ascii="Courier New" w:cs="Courier New" w:eastAsia="Courier New" w:hAnsi="Courier New"/>
          <w:sz w:val="15"/>
          <w:szCs w:val="15"/>
          <w:u w:val="single" w:color="auto"/>
          <w:color w:val="auto"/>
        </w:rPr>
        <w:t>Amendment</w:t>
      </w: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dated as of March 31, 2004, is made and entered into on the terms and conditions hereinafter set forth, by and among NN, INC., a Delaware corporation ("</w:t>
      </w:r>
      <w:r>
        <w:rPr>
          <w:rFonts w:ascii="Courier New" w:cs="Courier New" w:eastAsia="Courier New" w:hAnsi="Courier New"/>
          <w:sz w:val="15"/>
          <w:szCs w:val="15"/>
          <w:u w:val="single" w:color="auto"/>
          <w:color w:val="auto"/>
        </w:rPr>
        <w:t>Domestic</w:t>
      </w:r>
      <w:r>
        <w:rPr>
          <w:rFonts w:ascii="Courier New" w:cs="Courier New" w:eastAsia="Courier New" w:hAnsi="Courier New"/>
          <w:sz w:val="15"/>
          <w:szCs w:val="15"/>
          <w:color w:val="auto"/>
        </w:rPr>
        <w:t xml:space="preserve"> </w:t>
      </w:r>
      <w:r>
        <w:rPr>
          <w:rFonts w:ascii="Courier New" w:cs="Courier New" w:eastAsia="Courier New" w:hAnsi="Courier New"/>
          <w:sz w:val="15"/>
          <w:szCs w:val="15"/>
          <w:u w:val="single" w:color="auto"/>
          <w:color w:val="auto"/>
        </w:rPr>
        <w:t>Borrower</w:t>
      </w:r>
      <w:r>
        <w:rPr>
          <w:rFonts w:ascii="Courier New" w:cs="Courier New" w:eastAsia="Courier New" w:hAnsi="Courier New"/>
          <w:sz w:val="15"/>
          <w:szCs w:val="15"/>
          <w:color w:val="auto"/>
        </w:rPr>
        <w:t>"), NN EUROPE ApS, a Denmark limited liability company (successor by name change to NN Euroball ApS) ("</w:t>
      </w:r>
      <w:r>
        <w:rPr>
          <w:rFonts w:ascii="Courier New" w:cs="Courier New" w:eastAsia="Courier New" w:hAnsi="Courier New"/>
          <w:sz w:val="15"/>
          <w:szCs w:val="15"/>
          <w:u w:val="single" w:color="auto"/>
          <w:color w:val="auto"/>
        </w:rPr>
        <w:t>Euro Borrower</w:t>
      </w:r>
      <w:r>
        <w:rPr>
          <w:rFonts w:ascii="Courier New" w:cs="Courier New" w:eastAsia="Courier New" w:hAnsi="Courier New"/>
          <w:sz w:val="15"/>
          <w:szCs w:val="15"/>
          <w:color w:val="auto"/>
        </w:rPr>
        <w:t>"; Domestic Borrower and Euro Borrower are sometimes hereinafter individually and collectively referred to as the "</w:t>
      </w:r>
      <w:r>
        <w:rPr>
          <w:rFonts w:ascii="Courier New" w:cs="Courier New" w:eastAsia="Courier New" w:hAnsi="Courier New"/>
          <w:sz w:val="15"/>
          <w:szCs w:val="15"/>
          <w:u w:val="single" w:color="auto"/>
          <w:color w:val="auto"/>
        </w:rPr>
        <w:t>Borrower</w:t>
      </w:r>
      <w:r>
        <w:rPr>
          <w:rFonts w:ascii="Courier New" w:cs="Courier New" w:eastAsia="Courier New" w:hAnsi="Courier New"/>
          <w:sz w:val="15"/>
          <w:szCs w:val="15"/>
          <w:color w:val="auto"/>
        </w:rPr>
        <w:t>"), all subsidiaries (except for the Euro Borrower) of the Domestic Borrower who are now or hereafter become parties to the Credit Agreement, as hereinafter defined (the "</w:t>
      </w:r>
      <w:r>
        <w:rPr>
          <w:rFonts w:ascii="Courier New" w:cs="Courier New" w:eastAsia="Courier New" w:hAnsi="Courier New"/>
          <w:sz w:val="15"/>
          <w:szCs w:val="15"/>
          <w:u w:val="single" w:color="auto"/>
          <w:color w:val="auto"/>
        </w:rPr>
        <w:t>Domestic Guarantors</w:t>
      </w:r>
      <w:r>
        <w:rPr>
          <w:rFonts w:ascii="Courier New" w:cs="Courier New" w:eastAsia="Courier New" w:hAnsi="Courier New"/>
          <w:sz w:val="15"/>
          <w:szCs w:val="15"/>
          <w:color w:val="auto"/>
        </w:rPr>
        <w:t>"), the several lenders who are now or hereafter become parties to the Credit Agreement (the "</w:t>
      </w:r>
      <w:r>
        <w:rPr>
          <w:rFonts w:ascii="Courier New" w:cs="Courier New" w:eastAsia="Courier New" w:hAnsi="Courier New"/>
          <w:sz w:val="15"/>
          <w:szCs w:val="15"/>
          <w:u w:val="single" w:color="auto"/>
          <w:color w:val="auto"/>
        </w:rPr>
        <w:t>Lenders</w:t>
      </w:r>
      <w:r>
        <w:rPr>
          <w:rFonts w:ascii="Courier New" w:cs="Courier New" w:eastAsia="Courier New" w:hAnsi="Courier New"/>
          <w:sz w:val="15"/>
          <w:szCs w:val="15"/>
          <w:color w:val="auto"/>
        </w:rPr>
        <w:t>"), AMSOUTH BANK, an Alabama state bank, individually and as administrative agent for the Lenders (in such capacity, the "</w:t>
      </w:r>
      <w:r>
        <w:rPr>
          <w:rFonts w:ascii="Courier New" w:cs="Courier New" w:eastAsia="Courier New" w:hAnsi="Courier New"/>
          <w:sz w:val="15"/>
          <w:szCs w:val="15"/>
          <w:u w:val="single" w:color="auto"/>
          <w:color w:val="auto"/>
        </w:rPr>
        <w:t>Administrative Agent</w:t>
      </w:r>
      <w:r>
        <w:rPr>
          <w:rFonts w:ascii="Courier New" w:cs="Courier New" w:eastAsia="Courier New" w:hAnsi="Courier New"/>
          <w:sz w:val="15"/>
          <w:szCs w:val="15"/>
          <w:color w:val="auto"/>
        </w:rPr>
        <w:t>"), and SUNTRUST BANK, as documentation agent and euro loan agent for the Lenders (in such capacity, the "</w:t>
      </w:r>
      <w:r>
        <w:rPr>
          <w:rFonts w:ascii="Courier New" w:cs="Courier New" w:eastAsia="Courier New" w:hAnsi="Courier New"/>
          <w:sz w:val="15"/>
          <w:szCs w:val="15"/>
          <w:u w:val="single" w:color="auto"/>
          <w:color w:val="auto"/>
        </w:rPr>
        <w:t>Euro Loan Agent</w:t>
      </w:r>
      <w:r>
        <w:rPr>
          <w:rFonts w:ascii="Courier New" w:cs="Courier New" w:eastAsia="Courier New" w:hAnsi="Courier New"/>
          <w:sz w:val="15"/>
          <w:szCs w:val="15"/>
          <w:color w:val="auto"/>
        </w:rPr>
        <w:t>").</w:t>
      </w:r>
    </w:p>
    <w:p>
      <w:pPr>
        <w:spacing w:after="0" w:line="33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b w:val="1"/>
          <w:bCs w:val="1"/>
          <w:color w:val="auto"/>
        </w:rPr>
        <w:t>RECITALS:</w:t>
      </w:r>
    </w:p>
    <w:p>
      <w:pPr>
        <w:spacing w:after="0" w:line="173" w:lineRule="exact"/>
        <w:rPr>
          <w:sz w:val="20"/>
          <w:szCs w:val="20"/>
          <w:color w:val="auto"/>
        </w:rPr>
      </w:pPr>
    </w:p>
    <w:p>
      <w:pPr>
        <w:ind w:right="3399" w:firstLine="447"/>
        <w:spacing w:after="0" w:line="255" w:lineRule="auto"/>
        <w:tabs>
          <w:tab w:leader="none" w:pos="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that certain Credit Agreement dated as of May 1, 2003, by and among the Borrower, the Domestic Guarantors, the Administrative Agent, the Lenders and the Euro Loan Agent, as amended by that certain Amendment No.1 to Credit Agreement dated August 1, 2003, and that certain Amendment No. 2 to Credit Agreement dated March 12, 2004, by and among the Borrower, the Domestic Guarantors, the Administrative Agent, the Lenders and the Euro Loan Agent (as the same heretofore may have been and/or hereafter may be amended, restated, supplemented, extended, renewed, replaced or otherwise modified from time to time, the "</w:t>
      </w:r>
      <w:r>
        <w:rPr>
          <w:rFonts w:ascii="Courier New" w:cs="Courier New" w:eastAsia="Courier New" w:hAnsi="Courier New"/>
          <w:sz w:val="14"/>
          <w:szCs w:val="14"/>
          <w:u w:val="single" w:color="auto"/>
          <w:color w:val="auto"/>
        </w:rPr>
        <w:t>Credit Agreement</w:t>
      </w:r>
      <w:r>
        <w:rPr>
          <w:rFonts w:ascii="Courier New" w:cs="Courier New" w:eastAsia="Courier New" w:hAnsi="Courier New"/>
          <w:sz w:val="14"/>
          <w:szCs w:val="14"/>
          <w:color w:val="auto"/>
        </w:rPr>
        <w:t>"), the Lenders have agreed to make the Loans available to the Borrower, all as more specifically described in the Credit Agreement. Capitalized terms used but not otherwise defined in this Agreement have the same meanings as in the Credit Agreement.</w:t>
      </w:r>
    </w:p>
    <w:p>
      <w:pPr>
        <w:spacing w:after="0" w:line="164" w:lineRule="exact"/>
        <w:rPr>
          <w:rFonts w:ascii="Courier New" w:cs="Courier New" w:eastAsia="Courier New" w:hAnsi="Courier New"/>
          <w:sz w:val="14"/>
          <w:szCs w:val="14"/>
          <w:color w:val="auto"/>
        </w:rPr>
      </w:pPr>
    </w:p>
    <w:p>
      <w:pPr>
        <w:ind w:right="3759" w:firstLine="447"/>
        <w:spacing w:after="0" w:line="234"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desire to amend the Credit Agreement in certain respects, as more particularly hereinafter set forth.</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b w:val="1"/>
          <w:bCs w:val="1"/>
          <w:color w:val="auto"/>
        </w:rPr>
        <w:t>AGREEMENTS:</w:t>
      </w:r>
    </w:p>
    <w:p>
      <w:pPr>
        <w:spacing w:after="0" w:line="173"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b w:val="1"/>
          <w:bCs w:val="1"/>
          <w:color w:val="auto"/>
        </w:rPr>
        <w:t>NOW, THEREFORE</w:t>
      </w:r>
      <w:r>
        <w:rPr>
          <w:rFonts w:ascii="Courier New" w:cs="Courier New" w:eastAsia="Courier New" w:hAnsi="Courier New"/>
          <w:sz w:val="15"/>
          <w:szCs w:val="15"/>
          <w:color w:val="auto"/>
        </w:rPr>
        <w:t>, for good and valuable consideration, the receipt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sufficiency of which are hereby acknowledged, the parties hereto agree as follows:</w:t>
      </w:r>
    </w:p>
    <w:p>
      <w:pPr>
        <w:spacing w:after="0" w:line="174" w:lineRule="exact"/>
        <w:rPr>
          <w:sz w:val="20"/>
          <w:szCs w:val="20"/>
          <w:color w:val="auto"/>
        </w:rPr>
      </w:pPr>
    </w:p>
    <w:p>
      <w:pPr>
        <w:ind w:right="3759" w:firstLine="447"/>
        <w:spacing w:after="0" w:line="234" w:lineRule="auto"/>
        <w:tabs>
          <w:tab w:leader="none" w:pos="699" w:val="left"/>
        </w:tabs>
        <w:numPr>
          <w:ilvl w:val="0"/>
          <w:numId w:val="2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Indebtedness</w:t>
      </w: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Clause (i)</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Section 9.1</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the Credit Agreement 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hereby amended to provide as follows:</w:t>
      </w:r>
    </w:p>
    <w:p>
      <w:pPr>
        <w:spacing w:after="0" w:line="341" w:lineRule="exact"/>
        <w:rPr>
          <w:rFonts w:ascii="Courier New" w:cs="Courier New" w:eastAsia="Courier New" w:hAnsi="Courier New"/>
          <w:sz w:val="15"/>
          <w:szCs w:val="15"/>
          <w:b w:val="1"/>
          <w:bCs w:val="1"/>
          <w:color w:val="auto"/>
        </w:rPr>
      </w:pPr>
    </w:p>
    <w:p>
      <w:pPr>
        <w:ind w:left="440" w:right="3319" w:firstLine="444"/>
        <w:spacing w:after="0" w:line="235" w:lineRule="auto"/>
        <w:tabs>
          <w:tab w:leader="none" w:pos="1227"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Indebtedness of the Borrower or a Subsidiary of the Borrower that is owed to the Borrower or a Subsidiary of the Borrower and that is described in </w:t>
      </w:r>
      <w:r>
        <w:rPr>
          <w:rFonts w:ascii="Courier New" w:cs="Courier New" w:eastAsia="Courier New" w:hAnsi="Courier New"/>
          <w:sz w:val="15"/>
          <w:szCs w:val="15"/>
          <w:u w:val="single" w:color="auto"/>
          <w:color w:val="auto"/>
        </w:rPr>
        <w:t>clauses (d)</w:t>
      </w:r>
      <w:r>
        <w:rPr>
          <w:rFonts w:ascii="Courier New" w:cs="Courier New" w:eastAsia="Courier New" w:hAnsi="Courier New"/>
          <w:sz w:val="15"/>
          <w:szCs w:val="15"/>
          <w:color w:val="auto"/>
        </w:rPr>
        <w:t xml:space="preserve">, </w:t>
      </w:r>
      <w:r>
        <w:rPr>
          <w:rFonts w:ascii="Courier New" w:cs="Courier New" w:eastAsia="Courier New" w:hAnsi="Courier New"/>
          <w:sz w:val="15"/>
          <w:szCs w:val="15"/>
          <w:u w:val="single" w:color="auto"/>
          <w:color w:val="auto"/>
        </w:rPr>
        <w:t>(e)</w:t>
      </w:r>
      <w:r>
        <w:rPr>
          <w:rFonts w:ascii="Courier New" w:cs="Courier New" w:eastAsia="Courier New" w:hAnsi="Courier New"/>
          <w:sz w:val="15"/>
          <w:szCs w:val="15"/>
          <w:color w:val="auto"/>
        </w:rPr>
        <w:t xml:space="preserve">, </w:t>
      </w:r>
      <w:r>
        <w:rPr>
          <w:rFonts w:ascii="Courier New" w:cs="Courier New" w:eastAsia="Courier New" w:hAnsi="Courier New"/>
          <w:sz w:val="15"/>
          <w:szCs w:val="15"/>
          <w:u w:val="single" w:color="auto"/>
          <w:color w:val="auto"/>
        </w:rPr>
        <w:t>(h)</w:t>
      </w:r>
      <w:r>
        <w:rPr>
          <w:rFonts w:ascii="Courier New" w:cs="Courier New" w:eastAsia="Courier New" w:hAnsi="Courier New"/>
          <w:sz w:val="15"/>
          <w:szCs w:val="15"/>
          <w:color w:val="auto"/>
        </w:rPr>
        <w:t xml:space="preserve">, or </w:t>
      </w:r>
      <w:r>
        <w:rPr>
          <w:rFonts w:ascii="Courier New" w:cs="Courier New" w:eastAsia="Courier New" w:hAnsi="Courier New"/>
          <w:sz w:val="15"/>
          <w:szCs w:val="15"/>
          <w:u w:val="single" w:color="auto"/>
          <w:color w:val="auto"/>
        </w:rPr>
        <w:t>(m)</w:t>
      </w:r>
      <w:r>
        <w:rPr>
          <w:rFonts w:ascii="Courier New" w:cs="Courier New" w:eastAsia="Courier New" w:hAnsi="Courier New"/>
          <w:sz w:val="15"/>
          <w:szCs w:val="15"/>
          <w:color w:val="auto"/>
        </w:rPr>
        <w:t xml:space="preserve"> of </w:t>
      </w:r>
      <w:r>
        <w:rPr>
          <w:rFonts w:ascii="Courier New" w:cs="Courier New" w:eastAsia="Courier New" w:hAnsi="Courier New"/>
          <w:sz w:val="15"/>
          <w:szCs w:val="15"/>
          <w:u w:val="single" w:color="auto"/>
          <w:color w:val="auto"/>
        </w:rPr>
        <w:t>Section 9.4</w:t>
      </w: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92" w:lineRule="exact"/>
        <w:rPr>
          <w:rFonts w:ascii="Courier New" w:cs="Courier New" w:eastAsia="Courier New" w:hAnsi="Courier New"/>
          <w:sz w:val="15"/>
          <w:szCs w:val="15"/>
          <w:color w:val="auto"/>
        </w:rPr>
      </w:pPr>
    </w:p>
    <w:p>
      <w:pPr>
        <w:ind w:right="3239" w:firstLine="447"/>
        <w:spacing w:after="0" w:line="234" w:lineRule="auto"/>
        <w:tabs>
          <w:tab w:leader="none" w:pos="699" w:val="left"/>
        </w:tabs>
        <w:numPr>
          <w:ilvl w:val="0"/>
          <w:numId w:val="2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Investments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Clause (m)</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Section 9.4</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the Credit Agreement is hereby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amended to provide as follows:</w:t>
      </w:r>
    </w:p>
    <w:p>
      <w:pPr>
        <w:spacing w:after="0" w:line="173" w:lineRule="exact"/>
        <w:rPr>
          <w:rFonts w:ascii="Courier New" w:cs="Courier New" w:eastAsia="Courier New" w:hAnsi="Courier New"/>
          <w:sz w:val="15"/>
          <w:szCs w:val="15"/>
          <w:b w:val="1"/>
          <w:bCs w:val="1"/>
          <w:color w:val="auto"/>
        </w:rPr>
      </w:pPr>
    </w:p>
    <w:p>
      <w:pPr>
        <w:ind w:left="440" w:right="3239" w:firstLine="444"/>
        <w:spacing w:after="0" w:line="256" w:lineRule="auto"/>
        <w:tabs>
          <w:tab w:leader="none" w:pos="122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by the Domestic Borrower or any of its Subsidiaries in the Euro Borrower that are used to make Investments in NN Italy or the Euro Borrower's Subsidiaries that are Domestic Guarantors and used by such Subsidiaries to fund their operations or used to pay the Euro Obligations.</w:t>
      </w:r>
    </w:p>
    <w:p>
      <w:pPr>
        <w:spacing w:after="0" w:line="164" w:lineRule="exact"/>
        <w:rPr>
          <w:rFonts w:ascii="Courier New" w:cs="Courier New" w:eastAsia="Courier New" w:hAnsi="Courier New"/>
          <w:sz w:val="14"/>
          <w:szCs w:val="14"/>
          <w:color w:val="auto"/>
        </w:rPr>
      </w:pPr>
    </w:p>
    <w:p>
      <w:pPr>
        <w:ind w:right="3399" w:firstLine="447"/>
        <w:spacing w:after="0" w:line="234" w:lineRule="auto"/>
        <w:tabs>
          <w:tab w:leader="none" w:pos="699" w:val="left"/>
        </w:tabs>
        <w:numPr>
          <w:ilvl w:val="0"/>
          <w:numId w:val="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Restricted Payments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Clause (d)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u w:val="single" w:color="auto"/>
          <w:color w:val="auto"/>
        </w:rPr>
        <w:t>Section 9.5</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the Credit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is hereby amended to provide as follows:</w:t>
      </w:r>
    </w:p>
    <w:p>
      <w:pPr>
        <w:spacing w:after="0" w:line="173" w:lineRule="exact"/>
        <w:rPr>
          <w:rFonts w:ascii="Courier New" w:cs="Courier New" w:eastAsia="Courier New" w:hAnsi="Courier New"/>
          <w:sz w:val="15"/>
          <w:szCs w:val="15"/>
          <w:b w:val="1"/>
          <w:bCs w:val="1"/>
          <w:color w:val="auto"/>
        </w:rPr>
      </w:pPr>
    </w:p>
    <w:p>
      <w:pPr>
        <w:ind w:left="440" w:right="3239" w:firstLine="444"/>
        <w:spacing w:after="0" w:line="236" w:lineRule="auto"/>
        <w:tabs>
          <w:tab w:leader="none" w:pos="122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Subsidiaries of the Euro Borrower may declare and deliver dividends and make distributions payable to the Euro Borrower so long as such amounts are (i) distributed as a dividend by Euro Borrower to Domestic Borrower, (ii) used by the Euro Borrower to make Investments in any of its Subsidiaries that are Guarantors or NN Italy, to the extent permitted under </w:t>
      </w:r>
      <w:r>
        <w:rPr>
          <w:rFonts w:ascii="Courier New" w:cs="Courier New" w:eastAsia="Courier New" w:hAnsi="Courier New"/>
          <w:sz w:val="15"/>
          <w:szCs w:val="15"/>
          <w:u w:val="single" w:color="auto"/>
          <w:color w:val="auto"/>
        </w:rPr>
        <w:t>Section 9.4</w:t>
      </w:r>
      <w:r>
        <w:rPr>
          <w:rFonts w:ascii="Courier New" w:cs="Courier New" w:eastAsia="Courier New" w:hAnsi="Courier New"/>
          <w:sz w:val="15"/>
          <w:szCs w:val="15"/>
          <w:color w:val="auto"/>
        </w:rPr>
        <w:t>, or (iii) used to pay the Euro Obligations.</w:t>
      </w:r>
    </w:p>
    <w:p>
      <w:pPr>
        <w:spacing w:after="0" w:line="174" w:lineRule="exact"/>
        <w:rPr>
          <w:rFonts w:ascii="Courier New" w:cs="Courier New" w:eastAsia="Courier New" w:hAnsi="Courier New"/>
          <w:sz w:val="15"/>
          <w:szCs w:val="15"/>
          <w:color w:val="auto"/>
        </w:rPr>
      </w:pPr>
    </w:p>
    <w:p>
      <w:pPr>
        <w:ind w:right="3399" w:firstLine="447"/>
        <w:spacing w:after="0" w:line="254" w:lineRule="auto"/>
        <w:tabs>
          <w:tab w:leader="none" w:pos="699" w:val="left"/>
        </w:tabs>
        <w:numPr>
          <w:ilvl w:val="0"/>
          <w:numId w:val="2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Waiver</w:t>
      </w:r>
      <w:r>
        <w:rPr>
          <w:rFonts w:ascii="Courier New" w:cs="Courier New" w:eastAsia="Courier New" w:hAnsi="Courier New"/>
          <w:sz w:val="14"/>
          <w:szCs w:val="14"/>
          <w:color w:val="auto"/>
        </w:rPr>
        <w:t>. Lenders hereby waive any Default or Event of Default resulting</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 xml:space="preserve">from any noncompliance with </w:t>
      </w:r>
      <w:r>
        <w:rPr>
          <w:rFonts w:ascii="Courier New" w:cs="Courier New" w:eastAsia="Courier New" w:hAnsi="Courier New"/>
          <w:sz w:val="14"/>
          <w:szCs w:val="14"/>
          <w:u w:val="single" w:color="auto"/>
          <w:color w:val="auto"/>
        </w:rPr>
        <w:t>Sections 9.1</w:t>
      </w:r>
      <w:r>
        <w:rPr>
          <w:rFonts w:ascii="Courier New" w:cs="Courier New" w:eastAsia="Courier New" w:hAnsi="Courier New"/>
          <w:sz w:val="14"/>
          <w:szCs w:val="14"/>
          <w:color w:val="auto"/>
        </w:rPr>
        <w:t xml:space="preserve"> and </w:t>
      </w:r>
      <w:r>
        <w:rPr>
          <w:rFonts w:ascii="Courier New" w:cs="Courier New" w:eastAsia="Courier New" w:hAnsi="Courier New"/>
          <w:sz w:val="14"/>
          <w:szCs w:val="14"/>
          <w:u w:val="single" w:color="auto"/>
          <w:color w:val="auto"/>
        </w:rPr>
        <w:t>9.4</w:t>
      </w:r>
      <w:r>
        <w:rPr>
          <w:rFonts w:ascii="Courier New" w:cs="Courier New" w:eastAsia="Courier New" w:hAnsi="Courier New"/>
          <w:sz w:val="14"/>
          <w:szCs w:val="14"/>
          <w:color w:val="auto"/>
        </w:rPr>
        <w:t xml:space="preserve"> of the Credit Agreement in connection with loans in the aggregate amount of €7,150,000 from NN Italy</w:t>
      </w:r>
    </w:p>
    <w:p>
      <w:pPr>
        <w:spacing w:after="0" w:line="1" w:lineRule="exact"/>
        <w:rPr>
          <w:rFonts w:ascii="Courier New" w:cs="Courier New" w:eastAsia="Courier New" w:hAnsi="Courier New"/>
          <w:sz w:val="14"/>
          <w:szCs w:val="14"/>
          <w:b w:val="1"/>
          <w:bCs w:val="1"/>
          <w:color w:val="auto"/>
        </w:rPr>
      </w:pPr>
    </w:p>
    <w:p>
      <w:pPr>
        <w:ind w:right="3319"/>
        <w:spacing w:after="0" w:line="235" w:lineRule="auto"/>
        <w:rPr>
          <w:rFonts w:ascii="Courier New" w:cs="Courier New" w:eastAsia="Courier New" w:hAnsi="Courier New"/>
          <w:sz w:val="14"/>
          <w:szCs w:val="14"/>
          <w:b w:val="1"/>
          <w:bCs w:val="1"/>
          <w:color w:val="auto"/>
        </w:rPr>
      </w:pPr>
      <w:r>
        <w:rPr>
          <w:rFonts w:ascii="Courier New" w:cs="Courier New" w:eastAsia="Courier New" w:hAnsi="Courier New"/>
          <w:sz w:val="15"/>
          <w:szCs w:val="15"/>
          <w:color w:val="auto"/>
        </w:rPr>
        <w:t>and NN Ireland to Euro Borrower made on or before the date hereof, the proceeds of which were used (together with (euro) 326,000 already on hand with Euro Borrower)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-2893695</wp:posOffset>
            </wp:positionV>
            <wp:extent cx="729551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14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€2,422,000 Investment in NN Slovakia, s.r.o.;</w:t>
      </w:r>
    </w:p>
    <w:p>
      <w:pPr>
        <w:ind w:left="700"/>
        <w:spacing w:after="0" w:line="237" w:lineRule="auto"/>
        <w:rPr>
          <w:sz w:val="20"/>
          <w:szCs w:val="20"/>
          <w:color w:val="auto"/>
        </w:rPr>
      </w:pPr>
      <w:r>
        <w:rPr>
          <w:rFonts w:ascii="Courier New" w:cs="Courier New" w:eastAsia="Courier New" w:hAnsi="Courier New"/>
          <w:sz w:val="15"/>
          <w:szCs w:val="15"/>
          <w:color w:val="auto"/>
        </w:rPr>
        <w:t>€4,654,000 repayment of Euro Obligations; and</w:t>
      </w:r>
    </w:p>
    <w:p>
      <w:pPr>
        <w:ind w:left="700"/>
        <w:spacing w:after="0" w:line="238" w:lineRule="auto"/>
        <w:rPr>
          <w:sz w:val="20"/>
          <w:szCs w:val="20"/>
          <w:color w:val="auto"/>
        </w:rPr>
      </w:pPr>
      <w:r>
        <w:rPr>
          <w:rFonts w:ascii="Courier New" w:cs="Courier New" w:eastAsia="Courier New" w:hAnsi="Courier New"/>
          <w:sz w:val="15"/>
          <w:szCs w:val="15"/>
          <w:color w:val="auto"/>
        </w:rPr>
        <w:t>€400,000 Investment in Kugelfertigung Eltmann GmbH.</w:t>
      </w:r>
    </w:p>
    <w:p>
      <w:pPr>
        <w:spacing w:after="0" w:line="173" w:lineRule="exact"/>
        <w:rPr>
          <w:sz w:val="20"/>
          <w:szCs w:val="20"/>
          <w:color w:val="auto"/>
        </w:rPr>
      </w:pPr>
    </w:p>
    <w:p>
      <w:pPr>
        <w:ind w:right="3319" w:firstLine="447"/>
        <w:spacing w:after="0" w:line="235" w:lineRule="auto"/>
        <w:tabs>
          <w:tab w:leader="none" w:pos="699" w:val="left"/>
        </w:tabs>
        <w:numPr>
          <w:ilvl w:val="0"/>
          <w:numId w:val="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Effectiveness</w:t>
      </w:r>
      <w:r>
        <w:rPr>
          <w:rFonts w:ascii="Courier New" w:cs="Courier New" w:eastAsia="Courier New" w:hAnsi="Courier New"/>
          <w:sz w:val="15"/>
          <w:szCs w:val="15"/>
          <w:color w:val="auto"/>
        </w:rPr>
        <w:t>. This Amendment shall become effective when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Administrative Agent shall have received counterparts or signatures pages executed by the Borrower, the Domestic Guarantors, the Administrative Agent and the Requisite Lenders.</w:t>
      </w:r>
    </w:p>
    <w:p>
      <w:pPr>
        <w:spacing w:after="0" w:line="175" w:lineRule="exact"/>
        <w:rPr>
          <w:rFonts w:ascii="Courier New" w:cs="Courier New" w:eastAsia="Courier New" w:hAnsi="Courier New"/>
          <w:sz w:val="15"/>
          <w:szCs w:val="15"/>
          <w:b w:val="1"/>
          <w:bCs w:val="1"/>
          <w:color w:val="auto"/>
        </w:rPr>
      </w:pPr>
    </w:p>
    <w:p>
      <w:pPr>
        <w:ind w:right="3239" w:firstLine="447"/>
        <w:spacing w:after="0" w:line="258" w:lineRule="auto"/>
        <w:tabs>
          <w:tab w:leader="none" w:pos="699" w:val="left"/>
        </w:tabs>
        <w:numPr>
          <w:ilvl w:val="0"/>
          <w:numId w:val="30"/>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Representations and Warranties of the Borrower and the Guarantors</w:t>
      </w:r>
      <w:r>
        <w:rPr>
          <w:rFonts w:ascii="Courier New" w:cs="Courier New" w:eastAsia="Courier New" w:hAnsi="Courier New"/>
          <w:sz w:val="14"/>
          <w:szCs w:val="14"/>
          <w:color w:val="auto"/>
        </w:rPr>
        <w:t>. As an</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inducement to the Administrative Agent, the Euro Loan Agent and the Lenders to enter into this Amendment, the Borrower and the Domestic Guarantors hereby</w:t>
      </w:r>
    </w:p>
    <w:p>
      <w:pPr>
        <w:sectPr>
          <w:pgSz w:w="11900" w:h="16838" w:orient="portrait"/>
          <w:cols w:equalWidth="0" w:num="1">
            <w:col w:w="10239"/>
          </w:cols>
          <w:pgMar w:left="220" w:top="471"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represent and warrant to the Administrative Agent, the Euro Loan Agent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Lenders that, on and as of the date hereof:</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175"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except as set forth in </w:t>
      </w:r>
      <w:r>
        <w:rPr>
          <w:rFonts w:ascii="Courier New" w:cs="Courier New" w:eastAsia="Courier New" w:hAnsi="Courier New"/>
          <w:sz w:val="15"/>
          <w:szCs w:val="15"/>
          <w:u w:val="single" w:color="auto"/>
          <w:color w:val="auto"/>
        </w:rPr>
        <w:t>Section 4</w:t>
      </w:r>
      <w:r>
        <w:rPr>
          <w:rFonts w:ascii="Courier New" w:cs="Courier New" w:eastAsia="Courier New" w:hAnsi="Courier New"/>
          <w:sz w:val="15"/>
          <w:szCs w:val="15"/>
          <w:color w:val="auto"/>
        </w:rPr>
        <w:t xml:space="preserve"> hereof, no Default or Event of Default has occurred and is continuing.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295275</wp:posOffset>
            </wp:positionV>
            <wp:extent cx="729551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499" w:firstLine="447"/>
        <w:spacing w:after="0" w:line="234" w:lineRule="auto"/>
        <w:tabs>
          <w:tab w:leader="none" w:pos="699" w:val="left"/>
        </w:tabs>
        <w:numPr>
          <w:ilvl w:val="0"/>
          <w:numId w:val="3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Effect of Amendment; Continuing Effectiveness of Credit Agreement and Loan Documents</w:t>
      </w:r>
      <w:r>
        <w:rPr>
          <w:rFonts w:ascii="Courier New" w:cs="Courier New" w:eastAsia="Courier New" w:hAnsi="Courier New"/>
          <w:sz w:val="15"/>
          <w:szCs w:val="15"/>
          <w:b w:val="1"/>
          <w:bCs w:val="1"/>
          <w:color w:val="auto"/>
        </w:rPr>
        <w:t>.</w:t>
      </w:r>
    </w:p>
    <w:p>
      <w:pPr>
        <w:spacing w:after="0" w:line="173" w:lineRule="exact"/>
        <w:rPr>
          <w:rFonts w:ascii="Courier New" w:cs="Courier New" w:eastAsia="Courier New" w:hAnsi="Courier New"/>
          <w:sz w:val="15"/>
          <w:szCs w:val="15"/>
          <w:b w:val="1"/>
          <w:bCs w:val="1"/>
          <w:color w:val="auto"/>
        </w:rPr>
      </w:pPr>
    </w:p>
    <w:p>
      <w:pPr>
        <w:ind w:left="440" w:right="3319" w:firstLine="444"/>
        <w:spacing w:after="0" w:line="255" w:lineRule="auto"/>
        <w:tabs>
          <w:tab w:leader="none" w:pos="122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65"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extent amended hereby, the Credit Agreement, the other Loan Documents and all terms, conditions and provisions thereof shall continue in full force and effect in all respects.</w:t>
      </w:r>
    </w:p>
    <w:p>
      <w:pPr>
        <w:spacing w:after="0" w:line="166" w:lineRule="exact"/>
        <w:rPr>
          <w:rFonts w:ascii="Courier New" w:cs="Courier New" w:eastAsia="Courier New" w:hAnsi="Courier New"/>
          <w:sz w:val="14"/>
          <w:szCs w:val="14"/>
          <w:color w:val="auto"/>
        </w:rPr>
      </w:pPr>
    </w:p>
    <w:p>
      <w:pPr>
        <w:ind w:right="3239" w:firstLine="447"/>
        <w:spacing w:after="0" w:line="255" w:lineRule="auto"/>
        <w:tabs>
          <w:tab w:leader="none" w:pos="699" w:val="left"/>
        </w:tabs>
        <w:numPr>
          <w:ilvl w:val="0"/>
          <w:numId w:val="3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Counterparts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This Amendment may be executed in multiple counterparts or</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copies, each of which shall be deemed an original hereof for all purposes. One or more 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324" w:lineRule="exact"/>
        <w:rPr>
          <w:rFonts w:ascii="Courier New" w:cs="Courier New" w:eastAsia="Courier New" w:hAnsi="Courier New"/>
          <w:sz w:val="14"/>
          <w:szCs w:val="14"/>
          <w:b w:val="1"/>
          <w:bCs w:val="1"/>
          <w:color w:val="auto"/>
        </w:rPr>
      </w:pPr>
    </w:p>
    <w:p>
      <w:pPr>
        <w:ind w:left="700" w:hanging="253"/>
        <w:spacing w:after="0"/>
        <w:tabs>
          <w:tab w:leader="none" w:pos="700" w:val="left"/>
        </w:tabs>
        <w:numPr>
          <w:ilvl w:val="0"/>
          <w:numId w:val="3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Miscellaneous</w:t>
      </w:r>
      <w:r>
        <w:rPr>
          <w:rFonts w:ascii="Courier New" w:cs="Courier New" w:eastAsia="Courier New" w:hAnsi="Courier New"/>
          <w:sz w:val="15"/>
          <w:szCs w:val="15"/>
          <w:b w:val="1"/>
          <w:bCs w:val="1"/>
          <w:color w:val="auto"/>
        </w:rPr>
        <w:t>.</w:t>
      </w:r>
    </w:p>
    <w:p>
      <w:pPr>
        <w:spacing w:after="0" w:line="172" w:lineRule="exact"/>
        <w:rPr>
          <w:rFonts w:ascii="Courier New" w:cs="Courier New" w:eastAsia="Courier New" w:hAnsi="Courier New"/>
          <w:sz w:val="15"/>
          <w:szCs w:val="15"/>
          <w:b w:val="1"/>
          <w:bCs w:val="1"/>
          <w:color w:val="auto"/>
        </w:rPr>
      </w:pPr>
    </w:p>
    <w:p>
      <w:pPr>
        <w:ind w:left="440" w:right="3499" w:firstLine="444"/>
        <w:spacing w:after="0" w:line="235" w:lineRule="auto"/>
        <w:tabs>
          <w:tab w:leader="none" w:pos="122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construed and enforced in accordance with the laws of the State of Tennessee, without reference to the conflicts or choice of law principles thereof.</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Amendment and the usage herein of defined terms are for convenience of reference only, and shall not be construed as amplifying, limiting or otherwise affecting the substantive provisions hereof.</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herein to any instrument, document or agreement, by whatever terminology used, shall be deemed to include any and all amendments,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295275</wp:posOffset>
            </wp:positionV>
            <wp:extent cx="729551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modifications, supplements, extensions, renewals, substitutions and/or replacements thereof as the context may require.</w:t>
      </w:r>
    </w:p>
    <w:p>
      <w:pPr>
        <w:spacing w:after="0" w:line="173" w:lineRule="exact"/>
        <w:rPr>
          <w:sz w:val="20"/>
          <w:szCs w:val="20"/>
          <w:color w:val="auto"/>
        </w:rPr>
      </w:pPr>
    </w:p>
    <w:p>
      <w:pPr>
        <w:ind w:left="440" w:right="3399" w:firstLine="444"/>
        <w:spacing w:after="0" w:line="236" w:lineRule="auto"/>
        <w:tabs>
          <w:tab w:leader="none" w:pos="12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17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b w:val="1"/>
          <w:bCs w:val="1"/>
          <w:color w:val="auto"/>
        </w:rPr>
        <w:t>IN WITNESS WHEREOF</w:t>
      </w:r>
      <w:r>
        <w:rPr>
          <w:rFonts w:ascii="Courier New" w:cs="Courier New" w:eastAsia="Courier New" w:hAnsi="Courier New"/>
          <w:sz w:val="15"/>
          <w:szCs w:val="15"/>
          <w:color w:val="auto"/>
        </w:rPr>
        <w:t>, the parties hereto have caused this Amendment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duly executed and delivered as of the date first written above.</w:t>
      </w:r>
    </w:p>
    <w:p>
      <w:pPr>
        <w:sectPr>
          <w:pgSz w:w="11900" w:h="16838" w:orient="portrait"/>
          <w:cols w:equalWidth="0" w:num="1">
            <w:col w:w="10239"/>
          </w:cols>
          <w:pgMar w:left="220" w:top="141" w:right="1440" w:bottom="0" w:gutter="0" w:footer="0" w:header="0"/>
        </w:sectPr>
      </w:pPr>
    </w:p>
    <w:bookmarkStart w:id="24" w:name="page25"/>
    <w:bookmarkEnd w:id="24"/>
    <w:p>
      <w:pPr>
        <w:ind w:left="2200"/>
        <w:spacing w:after="0"/>
        <w:rPr>
          <w:sz w:val="20"/>
          <w:szCs w:val="20"/>
          <w:color w:val="auto"/>
        </w:rPr>
      </w:pPr>
      <w:r>
        <w:rPr>
          <w:rFonts w:ascii="Courier New" w:cs="Courier New" w:eastAsia="Courier New" w:hAnsi="Courier New"/>
          <w:sz w:val="15"/>
          <w:szCs w:val="15"/>
          <w:b w:val="1"/>
          <w:bCs w:val="1"/>
          <w:color w:val="auto"/>
        </w:rPr>
        <w:t>BORROWER:</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NN, INC.,</w:t>
      </w:r>
    </w:p>
    <w:p>
      <w:pPr>
        <w:ind w:left="2200"/>
        <w:spacing w:after="0" w:line="237" w:lineRule="auto"/>
        <w:rPr>
          <w:sz w:val="20"/>
          <w:szCs w:val="20"/>
          <w:color w:val="auto"/>
        </w:rPr>
      </w:pPr>
      <w:r>
        <w:rPr>
          <w:rFonts w:ascii="Courier New" w:cs="Courier New" w:eastAsia="Courier New" w:hAnsi="Courier New"/>
          <w:sz w:val="15"/>
          <w:szCs w:val="15"/>
          <w:color w:val="auto"/>
        </w:rPr>
        <w:t>a Delaware corporation</w:t>
      </w:r>
    </w:p>
    <w:p>
      <w:pPr>
        <w:spacing w:after="0" w:line="335"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David L. Dyckman</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Vice President and Chief</w:t>
      </w:r>
    </w:p>
    <w:p>
      <w:pPr>
        <w:ind w:left="3420"/>
        <w:spacing w:after="0" w:line="238" w:lineRule="auto"/>
        <w:rPr>
          <w:sz w:val="20"/>
          <w:szCs w:val="20"/>
          <w:color w:val="auto"/>
        </w:rPr>
      </w:pPr>
      <w:r>
        <w:rPr>
          <w:rFonts w:ascii="Courier New" w:cs="Courier New" w:eastAsia="Courier New" w:hAnsi="Courier New"/>
          <w:sz w:val="15"/>
          <w:szCs w:val="15"/>
          <w:color w:val="auto"/>
        </w:rPr>
        <w:t>Financial Officer</w:t>
      </w:r>
    </w:p>
    <w:p>
      <w:pPr>
        <w:spacing w:after="0" w:line="341" w:lineRule="exact"/>
        <w:rPr>
          <w:sz w:val="20"/>
          <w:szCs w:val="20"/>
          <w:color w:val="auto"/>
        </w:rPr>
      </w:pPr>
    </w:p>
    <w:p>
      <w:pPr>
        <w:ind w:left="2200" w:right="3679" w:firstLine="1"/>
        <w:spacing w:after="0" w:line="235" w:lineRule="auto"/>
        <w:tabs>
          <w:tab w:leader="none" w:pos="24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ApS, a Denmark limited liability company (successor by name change to NN Euroball ApS)</w:t>
      </w:r>
    </w:p>
    <w:p>
      <w:pPr>
        <w:spacing w:after="0" w:line="335"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David L. Dyckman</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Board Member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b w:val="1"/>
          <w:bCs w:val="1"/>
          <w:color w:val="auto"/>
        </w:rPr>
        <w:t>DOMESTIC GUARANTORS:</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INDUSTRIAL MOLDING GP, LLC,</w:t>
      </w:r>
    </w:p>
    <w:p>
      <w:pPr>
        <w:ind w:left="2200"/>
        <w:spacing w:after="0" w:line="237" w:lineRule="auto"/>
        <w:rPr>
          <w:sz w:val="20"/>
          <w:szCs w:val="20"/>
          <w:color w:val="auto"/>
        </w:rPr>
      </w:pPr>
      <w:r>
        <w:rPr>
          <w:rFonts w:ascii="Courier New" w:cs="Courier New" w:eastAsia="Courier New" w:hAnsi="Courier New"/>
          <w:sz w:val="15"/>
          <w:szCs w:val="15"/>
          <w:color w:val="auto"/>
        </w:rPr>
        <w:t>a Delaware limited liability company</w:t>
      </w:r>
    </w:p>
    <w:p>
      <w:pPr>
        <w:spacing w:after="0" w:line="335"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David L. Dyckman</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Manager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295275</wp:posOffset>
            </wp:positionV>
            <wp:extent cx="729551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INDUSTRIAL MOLDING LP, LLC,</w:t>
      </w:r>
    </w:p>
    <w:p>
      <w:pPr>
        <w:ind w:left="2200"/>
        <w:spacing w:after="0" w:line="237" w:lineRule="auto"/>
        <w:rPr>
          <w:sz w:val="20"/>
          <w:szCs w:val="20"/>
          <w:color w:val="auto"/>
        </w:rPr>
      </w:pPr>
      <w:r>
        <w:rPr>
          <w:rFonts w:ascii="Courier New" w:cs="Courier New" w:eastAsia="Courier New" w:hAnsi="Courier New"/>
          <w:sz w:val="15"/>
          <w:szCs w:val="15"/>
          <w:color w:val="auto"/>
        </w:rPr>
        <w:t>a Tennessee limited liability company</w:t>
      </w:r>
    </w:p>
    <w:p>
      <w:pPr>
        <w:spacing w:after="0" w:line="335"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William C. Kelly, Jr.</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320" w:val="left"/>
        </w:tabs>
        <w:rPr>
          <w:sz w:val="20"/>
          <w:szCs w:val="20"/>
          <w:color w:val="auto"/>
        </w:rPr>
      </w:pPr>
      <w:r>
        <w:rPr>
          <w:rFonts w:ascii="Courier New" w:cs="Courier New" w:eastAsia="Courier New" w:hAnsi="Courier New"/>
          <w:sz w:val="15"/>
          <w:szCs w:val="15"/>
          <w:color w:val="auto"/>
        </w:rPr>
        <w:t>Name:</w:t>
        <w:tab/>
        <w:t>William C. Kelly, Jr.</w:t>
      </w:r>
    </w:p>
    <w:p>
      <w:pPr>
        <w:ind w:left="272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b w:val="1"/>
          <w:bCs w:val="1"/>
          <w:color w:val="auto"/>
        </w:rPr>
        <w:t>[Signatures Continued Next Page]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295275</wp:posOffset>
            </wp:positionV>
            <wp:extent cx="729551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INDUSTRIAL MOLDING GROUP, L.P.,</w:t>
      </w:r>
    </w:p>
    <w:p>
      <w:pPr>
        <w:ind w:left="2200"/>
        <w:spacing w:after="0" w:line="237" w:lineRule="auto"/>
        <w:rPr>
          <w:sz w:val="20"/>
          <w:szCs w:val="20"/>
          <w:color w:val="auto"/>
        </w:rPr>
      </w:pPr>
      <w:r>
        <w:rPr>
          <w:rFonts w:ascii="Courier New" w:cs="Courier New" w:eastAsia="Courier New" w:hAnsi="Courier New"/>
          <w:sz w:val="15"/>
          <w:szCs w:val="15"/>
          <w:color w:val="auto"/>
        </w:rPr>
        <w:t>a Tennessee limited partnership</w:t>
      </w:r>
    </w:p>
    <w:p>
      <w:pPr>
        <w:spacing w:after="0" w:line="167" w:lineRule="exact"/>
        <w:rPr>
          <w:sz w:val="20"/>
          <w:szCs w:val="20"/>
          <w:color w:val="auto"/>
        </w:rPr>
      </w:pPr>
    </w:p>
    <w:p>
      <w:pPr>
        <w:ind w:left="2200"/>
        <w:spacing w:after="0"/>
        <w:tabs>
          <w:tab w:leader="none" w:pos="2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Industrial Molding GP, LLC, a</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Delaware limited liability company,</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its general partner</w:t>
      </w:r>
    </w:p>
    <w:p>
      <w:pPr>
        <w:spacing w:after="0" w:line="335"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David L. Dyckman</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Manager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DELTA RUBBER COMPANY,</w:t>
      </w:r>
    </w:p>
    <w:p>
      <w:pPr>
        <w:ind w:left="2200"/>
        <w:spacing w:after="0" w:line="237" w:lineRule="auto"/>
        <w:rPr>
          <w:sz w:val="20"/>
          <w:szCs w:val="20"/>
          <w:color w:val="auto"/>
        </w:rPr>
      </w:pPr>
      <w:r>
        <w:rPr>
          <w:rFonts w:ascii="Courier New" w:cs="Courier New" w:eastAsia="Courier New" w:hAnsi="Courier New"/>
          <w:sz w:val="15"/>
          <w:szCs w:val="15"/>
          <w:color w:val="auto"/>
        </w:rPr>
        <w:t>a Connecticut corporation</w:t>
      </w:r>
    </w:p>
    <w:p>
      <w:pPr>
        <w:spacing w:after="0" w:line="167"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David L. Dyckman</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KUGELFERTIGUNG ELTMANN GmbH, a German</w:t>
      </w:r>
    </w:p>
    <w:p>
      <w:pPr>
        <w:ind w:left="2200"/>
        <w:spacing w:after="0" w:line="237" w:lineRule="auto"/>
        <w:rPr>
          <w:sz w:val="20"/>
          <w:szCs w:val="20"/>
          <w:color w:val="auto"/>
        </w:rPr>
      </w:pPr>
      <w:r>
        <w:rPr>
          <w:rFonts w:ascii="Courier New" w:cs="Courier New" w:eastAsia="Courier New" w:hAnsi="Courier New"/>
          <w:sz w:val="15"/>
          <w:szCs w:val="15"/>
          <w:color w:val="auto"/>
        </w:rPr>
        <w:t>Company</w:t>
      </w:r>
    </w:p>
    <w:p>
      <w:pPr>
        <w:spacing w:after="0" w:line="167"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Dirk Offergeld</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Dirk Offergeld</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Plant Manager</w:t>
      </w:r>
    </w:p>
    <w:p>
      <w:pPr>
        <w:sectPr>
          <w:pgSz w:w="11900" w:h="16838" w:orient="portrait"/>
          <w:cols w:equalWidth="0" w:num="1">
            <w:col w:w="9019"/>
          </w:cols>
          <w:pgMar w:left="1440" w:top="471" w:right="1440" w:bottom="0" w:gutter="0" w:footer="0" w:header="0"/>
        </w:sectPr>
      </w:pPr>
    </w:p>
    <w:bookmarkStart w:id="25" w:name="page26"/>
    <w:bookmarkEnd w:id="25"/>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Wolfgang Werner</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Wolfgang Werner</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Financial Controller</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NN NETHERLANDS B.V., a Dutch company</w:t>
      </w:r>
    </w:p>
    <w:p>
      <w:pPr>
        <w:spacing w:after="0" w:line="335"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400" w:val="left"/>
        </w:tabs>
        <w:rPr>
          <w:sz w:val="20"/>
          <w:szCs w:val="20"/>
          <w:color w:val="auto"/>
        </w:rPr>
      </w:pPr>
      <w:r>
        <w:rPr>
          <w:rFonts w:ascii="Courier New" w:cs="Courier New" w:eastAsia="Courier New" w:hAnsi="Courier New"/>
          <w:sz w:val="15"/>
          <w:szCs w:val="15"/>
          <w:color w:val="auto"/>
        </w:rPr>
        <w:t>Name:</w:t>
        <w:tab/>
        <w:t>David L. Dyckman</w:t>
      </w:r>
    </w:p>
    <w:p>
      <w:pPr>
        <w:ind w:left="272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Title:</w:t>
        <w:tab/>
        <w:t>Managing Director</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b w:val="1"/>
          <w:bCs w:val="1"/>
          <w:color w:val="auto"/>
        </w:rPr>
        <w:t>[Signatures Continued Next Page]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295275</wp:posOffset>
            </wp:positionV>
            <wp:extent cx="729551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0" w:right="3579" w:firstLine="1"/>
        <w:spacing w:after="0" w:line="234" w:lineRule="auto"/>
        <w:tabs>
          <w:tab w:leader="none" w:pos="24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EUROBALL IRELAND LIMITED, an Irish company</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R. Sams</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Name:</w:t>
        <w:tab/>
        <w:t>Robert R. Sams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Board Member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NN HOLDINGS, B.V., a Dutch company</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Name:</w:t>
        <w:tab/>
        <w:t>David L. Dyckman</w:t>
      </w: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Board Member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NN SLOVAKIA, s.r.o.</w:t>
      </w:r>
    </w:p>
    <w:p>
      <w:pPr>
        <w:spacing w:after="0" w:line="166"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Nicola Tramsoni</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Name:</w:t>
        <w:tab/>
        <w:t>Nicola Tramsoni</w:t>
      </w: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Director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b w:val="1"/>
          <w:bCs w:val="1"/>
          <w:color w:val="auto"/>
        </w:rPr>
        <w:t>LENDERS: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AMSOUTH BANK, as a Lender</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T. Page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Name:</w:t>
        <w:tab/>
        <w:t>Robert T. Page</w:t>
      </w: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FIRST TENNESSEE BANK NATIONAL</w:t>
      </w:r>
    </w:p>
    <w:p>
      <w:pPr>
        <w:ind w:left="2200"/>
        <w:spacing w:after="0" w:line="237" w:lineRule="auto"/>
        <w:rPr>
          <w:sz w:val="20"/>
          <w:szCs w:val="20"/>
          <w:color w:val="auto"/>
        </w:rPr>
      </w:pPr>
      <w:r>
        <w:rPr>
          <w:rFonts w:ascii="Courier New" w:cs="Courier New" w:eastAsia="Courier New" w:hAnsi="Courier New"/>
          <w:sz w:val="15"/>
          <w:szCs w:val="15"/>
          <w:color w:val="auto"/>
        </w:rPr>
        <w:t>ASSOCIATION, as a Lender</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Vincent K. Hickam</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Name:</w:t>
        <w:tab/>
        <w:t>Vincent K. Hickam</w:t>
      </w: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Executive Vice President</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b w:val="1"/>
          <w:bCs w:val="1"/>
          <w:color w:val="auto"/>
        </w:rPr>
        <w:t>[Signatures Continued Next Page]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295275</wp:posOffset>
            </wp:positionV>
            <wp:extent cx="729551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UNION PLANTERS BANK, NATIONAL</w:t>
      </w:r>
    </w:p>
    <w:p>
      <w:pPr>
        <w:ind w:left="2200"/>
        <w:spacing w:after="0" w:line="237" w:lineRule="auto"/>
        <w:rPr>
          <w:sz w:val="20"/>
          <w:szCs w:val="20"/>
          <w:color w:val="auto"/>
        </w:rPr>
      </w:pPr>
      <w:r>
        <w:rPr>
          <w:rFonts w:ascii="Courier New" w:cs="Courier New" w:eastAsia="Courier New" w:hAnsi="Courier New"/>
          <w:sz w:val="15"/>
          <w:szCs w:val="15"/>
          <w:color w:val="auto"/>
        </w:rPr>
        <w:t>ASSOCIATION, as a Lender</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Kathleen L. Nelson</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00"/>
        <w:spacing w:after="0"/>
        <w:tabs>
          <w:tab w:leader="none" w:pos="3580" w:val="left"/>
        </w:tabs>
        <w:rPr>
          <w:sz w:val="20"/>
          <w:szCs w:val="20"/>
          <w:color w:val="auto"/>
        </w:rPr>
      </w:pPr>
      <w:r>
        <w:rPr>
          <w:rFonts w:ascii="Courier New" w:cs="Courier New" w:eastAsia="Courier New" w:hAnsi="Courier New"/>
          <w:sz w:val="15"/>
          <w:szCs w:val="15"/>
          <w:color w:val="auto"/>
        </w:rPr>
        <w:t>Name:</w:t>
        <w:tab/>
        <w:t>Kathleen L. Nelson</w:t>
      </w:r>
    </w:p>
    <w:p>
      <w:pPr>
        <w:ind w:left="2900"/>
        <w:spacing w:after="0" w:line="237" w:lineRule="auto"/>
        <w:tabs>
          <w:tab w:leader="none" w:pos="3580" w:val="left"/>
        </w:tabs>
        <w:rPr>
          <w:sz w:val="20"/>
          <w:szCs w:val="20"/>
          <w:color w:val="auto"/>
        </w:rPr>
      </w:pPr>
      <w:r>
        <w:rPr>
          <w:rFonts w:ascii="Courier New" w:cs="Courier New" w:eastAsia="Courier New" w:hAnsi="Courier New"/>
          <w:sz w:val="15"/>
          <w:szCs w:val="15"/>
          <w:color w:val="auto"/>
        </w:rPr>
        <w:t>Title:</w:t>
        <w:tab/>
        <w:t>Senior Vice President</w:t>
      </w:r>
    </w:p>
    <w:p>
      <w:pPr>
        <w:sectPr>
          <w:pgSz w:w="11900" w:h="16838" w:orient="portrait"/>
          <w:cols w:equalWidth="0" w:num="1">
            <w:col w:w="9019"/>
          </w:cols>
          <w:pgMar w:left="1440" w:top="471" w:right="1440" w:bottom="0" w:gutter="0" w:footer="0" w:header="0"/>
        </w:sectPr>
      </w:pPr>
    </w:p>
    <w:bookmarkStart w:id="26" w:name="page27"/>
    <w:bookmarkEnd w:id="26"/>
    <w:p>
      <w:pPr>
        <w:ind w:left="2200"/>
        <w:spacing w:after="0"/>
        <w:rPr>
          <w:sz w:val="20"/>
          <w:szCs w:val="20"/>
          <w:color w:val="auto"/>
        </w:rPr>
      </w:pPr>
      <w:r>
        <w:rPr>
          <w:rFonts w:ascii="Courier New" w:cs="Courier New" w:eastAsia="Courier New" w:hAnsi="Courier New"/>
          <w:sz w:val="15"/>
          <w:szCs w:val="15"/>
          <w:color w:val="auto"/>
        </w:rPr>
        <w:t>INTEGRA BANK, N.A., as a Lender</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Jeffrey S. Nurkiewicz</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Name:</w:t>
        <w:tab/>
        <w:t>Jeffrey S. Nurkiewicz</w:t>
      </w: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SUNTRUST BANK, as a Lender and Euro Loan</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Agent</w:t>
      </w:r>
    </w:p>
    <w:p>
      <w:pPr>
        <w:spacing w:after="0" w:line="335" w:lineRule="exact"/>
        <w:rPr>
          <w:sz w:val="20"/>
          <w:szCs w:val="20"/>
          <w:color w:val="auto"/>
        </w:rPr>
      </w:pPr>
    </w:p>
    <w:p>
      <w:pPr>
        <w:ind w:left="220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Scott Folsom</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00"/>
        <w:spacing w:after="0"/>
        <w:tabs>
          <w:tab w:leader="none" w:pos="3580" w:val="left"/>
        </w:tabs>
        <w:rPr>
          <w:sz w:val="20"/>
          <w:szCs w:val="20"/>
          <w:color w:val="auto"/>
        </w:rPr>
      </w:pPr>
      <w:r>
        <w:rPr>
          <w:rFonts w:ascii="Courier New" w:cs="Courier New" w:eastAsia="Courier New" w:hAnsi="Courier New"/>
          <w:sz w:val="15"/>
          <w:szCs w:val="15"/>
          <w:color w:val="auto"/>
        </w:rPr>
        <w:t>Name:</w:t>
        <w:tab/>
        <w:t>Scott Folsom</w:t>
      </w:r>
    </w:p>
    <w:p>
      <w:pPr>
        <w:ind w:left="2900"/>
        <w:spacing w:after="0" w:line="237" w:lineRule="auto"/>
        <w:tabs>
          <w:tab w:leader="none" w:pos="35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471" w:right="1440" w:bottom="1440" w:gutter="0" w:footer="0" w:header="0"/>
        </w:sectPr>
      </w:pPr>
    </w:p>
    <w:bookmarkStart w:id="27" w:name="page28"/>
    <w:bookmarkEnd w:id="27"/>
    <w:p>
      <w:pPr>
        <w:ind w:left="5253"/>
        <w:spacing w:after="0"/>
        <w:rPr>
          <w:sz w:val="20"/>
          <w:szCs w:val="20"/>
          <w:color w:val="auto"/>
        </w:rPr>
      </w:pPr>
      <w:r>
        <w:rPr>
          <w:rFonts w:ascii="Courier New" w:cs="Courier New" w:eastAsia="Courier New" w:hAnsi="Courier New"/>
          <w:sz w:val="15"/>
          <w:szCs w:val="15"/>
          <w:color w:val="auto"/>
        </w:rPr>
        <w:t>Exhibit 31.1</w:t>
      </w:r>
    </w:p>
    <w:p>
      <w:pPr>
        <w:ind w:left="2453"/>
        <w:spacing w:after="0" w:line="237" w:lineRule="auto"/>
        <w:rPr>
          <w:sz w:val="20"/>
          <w:szCs w:val="20"/>
          <w:color w:val="auto"/>
        </w:rPr>
      </w:pPr>
      <w:r>
        <w:rPr>
          <w:rFonts w:ascii="Courier New" w:cs="Courier New" w:eastAsia="Courier New" w:hAnsi="Courier New"/>
          <w:sz w:val="15"/>
          <w:szCs w:val="15"/>
          <w:color w:val="auto"/>
        </w:rPr>
        <w:t>CERTIFICATIONS</w:t>
      </w:r>
    </w:p>
    <w:p>
      <w:pPr>
        <w:spacing w:after="0" w:line="167" w:lineRule="exact"/>
        <w:rPr>
          <w:sz w:val="20"/>
          <w:szCs w:val="20"/>
          <w:color w:val="auto"/>
        </w:rPr>
      </w:pPr>
    </w:p>
    <w:p>
      <w:pPr>
        <w:ind w:left="353"/>
        <w:spacing w:after="0"/>
        <w:rPr>
          <w:sz w:val="20"/>
          <w:szCs w:val="20"/>
          <w:color w:val="auto"/>
        </w:rPr>
      </w:pPr>
      <w:r>
        <w:rPr>
          <w:rFonts w:ascii="Courier New" w:cs="Courier New" w:eastAsia="Courier New" w:hAnsi="Courier New"/>
          <w:sz w:val="15"/>
          <w:szCs w:val="15"/>
          <w:color w:val="auto"/>
        </w:rPr>
        <w:t>I, Roderick R. Baty, certify that:</w:t>
      </w:r>
    </w:p>
    <w:p>
      <w:pPr>
        <w:spacing w:after="0" w:line="166" w:lineRule="exact"/>
        <w:rPr>
          <w:sz w:val="20"/>
          <w:szCs w:val="20"/>
          <w:color w:val="auto"/>
        </w:rPr>
      </w:pPr>
    </w:p>
    <w:p>
      <w:pPr>
        <w:ind w:left="433" w:hanging="433"/>
        <w:spacing w:after="0"/>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2"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433" w:right="3399" w:hanging="433"/>
        <w:spacing w:after="0" w:line="235" w:lineRule="auto"/>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Courier New" w:cs="Courier New" w:eastAsia="Courier New" w:hAnsi="Courier New"/>
          <w:sz w:val="15"/>
          <w:szCs w:val="15"/>
          <w:color w:val="auto"/>
        </w:rPr>
      </w:pPr>
    </w:p>
    <w:p>
      <w:pPr>
        <w:ind w:left="873" w:right="3319" w:hanging="436"/>
        <w:spacing w:after="0" w:line="236" w:lineRule="auto"/>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873" w:right="3499" w:hanging="436"/>
        <w:spacing w:after="0" w:line="236" w:lineRule="auto"/>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ind w:left="873" w:right="3319" w:hanging="436"/>
        <w:spacing w:after="0" w:line="236" w:lineRule="auto"/>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873" w:right="3319" w:hanging="436"/>
        <w:spacing w:after="0" w:line="236" w:lineRule="auto"/>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Courier New" w:cs="Courier New" w:eastAsia="Courier New" w:hAnsi="Courier New"/>
          <w:sz w:val="15"/>
          <w:szCs w:val="15"/>
          <w:color w:val="auto"/>
        </w:rPr>
      </w:pPr>
    </w:p>
    <w:p>
      <w:pPr>
        <w:jc w:val="both"/>
        <w:ind w:left="873" w:right="3399" w:hanging="436"/>
        <w:spacing w:after="0" w:line="235" w:lineRule="auto"/>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353"/>
        <w:spacing w:after="0"/>
        <w:tabs>
          <w:tab w:leader="none" w:pos="1113"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May 10, 2004</w:t>
      </w:r>
    </w:p>
    <w:p>
      <w:pPr>
        <w:ind w:left="873"/>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2793"/>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ind w:left="2793"/>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Roderick R. Baty</w:t>
      </w:r>
    </w:p>
    <w:p>
      <w:pPr>
        <w:spacing w:after="0" w:line="5" w:lineRule="exact"/>
        <w:rPr>
          <w:sz w:val="20"/>
          <w:szCs w:val="20"/>
          <w:color w:val="auto"/>
        </w:rPr>
      </w:pPr>
    </w:p>
    <w:p>
      <w:pPr>
        <w:ind w:left="2893"/>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9792"/>
          </w:cols>
          <w:pgMar w:left="667" w:top="471" w:right="1440" w:bottom="1440" w:gutter="0" w:footer="0" w:header="0"/>
        </w:sectPr>
      </w:pPr>
    </w:p>
    <w:bookmarkStart w:id="28" w:name="page29"/>
    <w:bookmarkEnd w:id="28"/>
    <w:p>
      <w:pPr>
        <w:ind w:left="5700"/>
        <w:spacing w:after="0"/>
        <w:rPr>
          <w:sz w:val="20"/>
          <w:szCs w:val="20"/>
          <w:color w:val="auto"/>
        </w:rPr>
      </w:pPr>
      <w:r>
        <w:rPr>
          <w:rFonts w:ascii="Courier New" w:cs="Courier New" w:eastAsia="Courier New" w:hAnsi="Courier New"/>
          <w:sz w:val="15"/>
          <w:szCs w:val="15"/>
          <w:color w:val="auto"/>
        </w:rPr>
        <w:t>Exhibit 31.2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David L. Dyckman, certify that:</w:t>
      </w:r>
    </w:p>
    <w:p>
      <w:pPr>
        <w:spacing w:after="0" w:line="166" w:lineRule="exact"/>
        <w:rPr>
          <w:sz w:val="20"/>
          <w:szCs w:val="20"/>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2"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1320" w:right="3499" w:hanging="436"/>
        <w:spacing w:after="0" w:line="236" w:lineRule="auto"/>
        <w:tabs>
          <w:tab w:leader="none" w:pos="13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sz w:val="20"/>
          <w:szCs w:val="20"/>
          <w:color w:val="auto"/>
        </w:rPr>
      </w:pPr>
    </w:p>
    <w:p>
      <w:pPr>
        <w:jc w:val="both"/>
        <w:ind w:left="1320" w:right="3399" w:hanging="436"/>
        <w:spacing w:after="0" w:line="235" w:lineRule="auto"/>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2004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L. Dyckman</w:t>
      </w:r>
    </w:p>
    <w:p>
      <w:pPr>
        <w:spacing w:after="0" w:line="237" w:lineRule="auto"/>
        <w:rPr>
          <w:sz w:val="20"/>
          <w:szCs w:val="20"/>
          <w:color w:val="auto"/>
        </w:rPr>
      </w:pPr>
      <w:r>
        <w:rPr>
          <w:rFonts w:ascii="Courier New" w:cs="Courier New" w:eastAsia="Courier New" w:hAnsi="Courier New"/>
          <w:sz w:val="15"/>
          <w:szCs w:val="15"/>
          <w:color w:val="auto"/>
        </w:rPr>
        <w:t>--------------------------</w:t>
      </w:r>
    </w:p>
    <w:p>
      <w:pPr>
        <w:ind w:left="340"/>
        <w:spacing w:after="0" w:line="238" w:lineRule="auto"/>
        <w:rPr>
          <w:sz w:val="20"/>
          <w:szCs w:val="20"/>
          <w:color w:val="auto"/>
        </w:rPr>
      </w:pPr>
      <w:r>
        <w:rPr>
          <w:rFonts w:ascii="Courier New" w:cs="Courier New" w:eastAsia="Courier New" w:hAnsi="Courier New"/>
          <w:sz w:val="15"/>
          <w:szCs w:val="15"/>
          <w:color w:val="auto"/>
        </w:rPr>
        <w:t>David L. Dyckman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3">
            <w:col w:w="440" w:space="180"/>
            <w:col w:w="3400" w:space="720"/>
            <w:col w:w="5499"/>
          </w:cols>
          <w:pgMar w:left="220" w:top="303" w:right="1440" w:bottom="1440" w:gutter="0" w:footer="0" w:header="0"/>
          <w:type w:val="continuous"/>
        </w:sectPr>
      </w:pPr>
    </w:p>
    <w:bookmarkStart w:id="29" w:name="page30"/>
    <w:bookmarkEnd w:id="29"/>
    <w:p>
      <w:pPr>
        <w:ind w:left="5600"/>
        <w:spacing w:after="0"/>
        <w:rPr>
          <w:sz w:val="20"/>
          <w:szCs w:val="20"/>
          <w:color w:val="auto"/>
        </w:rPr>
      </w:pPr>
      <w:r>
        <w:rPr>
          <w:rFonts w:ascii="Courier New" w:cs="Courier New" w:eastAsia="Courier New" w:hAnsi="Courier New"/>
          <w:sz w:val="15"/>
          <w:szCs w:val="15"/>
          <w:color w:val="auto"/>
        </w:rPr>
        <w:t>Exhibit 32.1</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EXECUTIVE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March 31, 2004, as filed with the Securities and Exchange Commission on the date hereof (the "Report"), the undersigned, in the capacity and date indicated below, hereby certifies pursuant to 18 U.S.C. ss.1350,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303"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2004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Roderick R. Baty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ectPr>
          <w:pgSz w:w="11900" w:h="16838" w:orient="portrait"/>
          <w:cols w:equalWidth="0" w:num="3">
            <w:col w:w="440" w:space="180"/>
            <w:col w:w="3220" w:space="720"/>
            <w:col w:w="5679"/>
          </w:cols>
          <w:pgMar w:left="220" w:top="303" w:right="1440" w:bottom="1440" w:gutter="0" w:footer="0" w:header="0"/>
          <w:type w:val="continuous"/>
        </w:sectPr>
      </w:pPr>
    </w:p>
    <w:p>
      <w:pPr>
        <w:spacing w:after="0" w:line="1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303" w:right="1440" w:bottom="1440" w:gutter="0" w:footer="0" w:header="0"/>
          <w:type w:val="continuous"/>
        </w:sectPr>
      </w:pPr>
    </w:p>
    <w:bookmarkStart w:id="30" w:name="page31"/>
    <w:bookmarkEnd w:id="30"/>
    <w:p>
      <w:pPr>
        <w:ind w:left="5860"/>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FINANCIAL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March 31, 2004, as filed with the Securities and Exchange Commission on the date hereof (the "Report"), the undersigned, in the capacity and date indicated below, hereby certifies pursuant to 18 U.S.C. ss.1350,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471"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2004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L. Dyckman</w:t>
      </w:r>
    </w:p>
    <w:p>
      <w:pPr>
        <w:spacing w:after="0" w:line="237" w:lineRule="auto"/>
        <w:rPr>
          <w:sz w:val="20"/>
          <w:szCs w:val="20"/>
          <w:color w:val="auto"/>
        </w:rPr>
      </w:pPr>
      <w:r>
        <w:rPr>
          <w:rFonts w:ascii="Courier New" w:cs="Courier New" w:eastAsia="Courier New" w:hAnsi="Courier New"/>
          <w:sz w:val="15"/>
          <w:szCs w:val="15"/>
          <w:color w:val="auto"/>
        </w:rPr>
        <w:t>--------------------------</w:t>
      </w:r>
    </w:p>
    <w:p>
      <w:pPr>
        <w:ind w:left="340"/>
        <w:spacing w:after="0" w:line="238" w:lineRule="auto"/>
        <w:rPr>
          <w:sz w:val="20"/>
          <w:szCs w:val="20"/>
          <w:color w:val="auto"/>
        </w:rPr>
      </w:pPr>
      <w:r>
        <w:rPr>
          <w:rFonts w:ascii="Courier New" w:cs="Courier New" w:eastAsia="Courier New" w:hAnsi="Courier New"/>
          <w:sz w:val="15"/>
          <w:szCs w:val="15"/>
          <w:color w:val="auto"/>
        </w:rPr>
        <w:t>David L. Dyckman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pacing w:after="0" w:line="178" w:lineRule="exact"/>
        <w:rPr>
          <w:sz w:val="20"/>
          <w:szCs w:val="20"/>
          <w:color w:val="auto"/>
        </w:rPr>
      </w:pPr>
    </w:p>
    <w:p>
      <w:pPr>
        <w:sectPr>
          <w:pgSz w:w="11900" w:h="16838" w:orient="portrait"/>
          <w:cols w:equalWidth="0" w:num="3">
            <w:col w:w="440" w:space="180"/>
            <w:col w:w="3400" w:space="720"/>
            <w:col w:w="5499"/>
          </w:cols>
          <w:pgMar w:left="220" w:top="471" w:right="1440" w:bottom="1440" w:gutter="0" w:footer="0" w:header="0"/>
          <w:type w:val="continuous"/>
        </w:sectPr>
      </w:pPr>
    </w:p>
    <w:p>
      <w:pPr>
        <w:ind w:right="349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47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o"/>
      <w:numFmt w:val="bullet"/>
      <w:start w:val="1"/>
    </w:lvl>
  </w:abstractNum>
  <w:abstractNum w:abstractNumId="6">
    <w:nsid w:val="2D1D5AE9"/>
    <w:multiLevelType w:val="hybridMultilevel"/>
    <w:lvl w:ilvl="0">
      <w:lvlJc w:val="left"/>
      <w:lvlText w:val="o"/>
      <w:numFmt w:val="bullet"/>
      <w:start w:val="1"/>
    </w:lvl>
  </w:abstractNum>
  <w:abstractNum w:abstractNumId="7">
    <w:nsid w:val="6763845E"/>
    <w:multiLevelType w:val="hybridMultilevel"/>
    <w:lvl w:ilvl="0">
      <w:lvlJc w:val="left"/>
      <w:lvlText w:val="o"/>
      <w:numFmt w:val="bullet"/>
      <w:start w:val="1"/>
    </w:lvl>
  </w:abstractNum>
  <w:abstractNum w:abstractNumId="8">
    <w:nsid w:val="75A2A8D4"/>
    <w:multiLevelType w:val="hybridMultilevel"/>
    <w:lvl w:ilvl="0">
      <w:lvlJc w:val="left"/>
      <w:lvlText w:val="o"/>
      <w:numFmt w:val="bullet"/>
      <w:start w:val="1"/>
    </w:lvl>
  </w:abstractNum>
  <w:abstractNum w:abstractNumId="9">
    <w:nsid w:val="8EDBDAB"/>
    <w:multiLevelType w:val="hybridMultilevel"/>
    <w:lvl w:ilvl="0">
      <w:lvlJc w:val="left"/>
      <w:lvlText w:val="%1"/>
      <w:numFmt w:val="upperLetter"/>
      <w:start w:val="40"/>
    </w:lvl>
  </w:abstractNum>
  <w:abstractNum w:abstractNumId="10">
    <w:nsid w:val="79838CB2"/>
    <w:multiLevelType w:val="hybridMultilevel"/>
    <w:lvl w:ilvl="0">
      <w:lvlJc w:val="left"/>
      <w:lvlText w:val="o"/>
      <w:numFmt w:val="bullet"/>
      <w:start w:val="1"/>
    </w:lvl>
  </w:abstractNum>
  <w:abstractNum w:abstractNumId="11">
    <w:nsid w:val="4353D0CD"/>
    <w:multiLevelType w:val="hybridMultilevel"/>
    <w:lvl w:ilvl="0">
      <w:lvlJc w:val="left"/>
      <w:lvlText w:val="o"/>
      <w:numFmt w:val="bullet"/>
      <w:start w:val="1"/>
    </w:lvl>
  </w:abstractNum>
  <w:abstractNum w:abstractNumId="12">
    <w:nsid w:val="B03E0C6"/>
    <w:multiLevelType w:val="hybridMultilevel"/>
    <w:lvl w:ilvl="0">
      <w:lvlJc w:val="left"/>
      <w:lvlText w:val="o"/>
      <w:numFmt w:val="bullet"/>
      <w:start w:val="1"/>
    </w:lvl>
  </w:abstractNum>
  <w:abstractNum w:abstractNumId="13">
    <w:nsid w:val="189A769B"/>
    <w:multiLevelType w:val="hybridMultilevel"/>
    <w:lvl w:ilvl="0">
      <w:lvlJc w:val="left"/>
      <w:lvlText w:val="%1"/>
      <w:numFmt w:val="upperLetter"/>
      <w:start w:val="40"/>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0"/>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4"/>
    </w:lvl>
    <w:lvl w:ilvl="1">
      <w:lvlJc w:val="left"/>
      <w:lvlText w:val="(%2)"/>
      <w:numFmt w:val="lowerLetter"/>
      <w:start w:val="4"/>
    </w:lvl>
  </w:abstractNum>
  <w:abstractNum w:abstractNumId="20">
    <w:nsid w:val="8138641"/>
    <w:multiLevelType w:val="hybridMultilevel"/>
    <w:lvl w:ilvl="0">
      <w:lvlJc w:val="left"/>
      <w:lvlText w:val="%1."/>
      <w:numFmt w:val="decimal"/>
      <w:start w:val="5"/>
    </w:lvl>
    <w:lvl w:ilvl="1">
      <w:lvlJc w:val="left"/>
      <w:lvlText w:val="(%2)"/>
      <w:numFmt w:val="lowerLetter"/>
      <w:start w:val="13"/>
    </w:lvl>
  </w:abstractNum>
  <w:abstractNum w:abstractNumId="21">
    <w:nsid w:val="1E7FF521"/>
    <w:multiLevelType w:val="hybridMultilevel"/>
    <w:lvl w:ilvl="0">
      <w:lvlJc w:val="left"/>
      <w:lvlText w:val="%1."/>
      <w:numFmt w:val="decimal"/>
      <w:start w:val="7"/>
    </w:lvl>
    <w:lvl w:ilvl="1">
      <w:lvlJc w:val="left"/>
      <w:lvlText w:val="(%2)"/>
      <w:numFmt w:val="lowerLetter"/>
      <w:start w:val="1"/>
    </w:lvl>
  </w:abstractNum>
  <w:abstractNum w:abstractNumId="22">
    <w:nsid w:val="7C3DBD3D"/>
    <w:multiLevelType w:val="hybridMultilevel"/>
    <w:lvl w:ilvl="0">
      <w:lvlJc w:val="left"/>
      <w:lvlText w:val="%1."/>
      <w:numFmt w:val="decimal"/>
      <w:start w:val="11"/>
    </w:lvl>
    <w:lvl w:ilvl="1">
      <w:lvlJc w:val="left"/>
      <w:lvlText w:val="(%2)"/>
      <w:numFmt w:val="lowerLetter"/>
      <w:start w:val="1"/>
    </w:lvl>
  </w:abstractNum>
  <w:abstractNum w:abstractNumId="23">
    <w:nsid w:val="737B8DDC"/>
    <w:multiLevelType w:val="hybridMultilevel"/>
    <w:lvl w:ilvl="0">
      <w:lvlJc w:val="left"/>
      <w:lvlText w:val="%1."/>
      <w:numFmt w:val="decimal"/>
      <w:start w:val="13"/>
    </w:lvl>
    <w:lvl w:ilvl="1">
      <w:lvlJc w:val="left"/>
      <w:lvlText w:val="(%2)"/>
      <w:numFmt w:val="lowerLetter"/>
      <w:start w:val="1"/>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lvl w:ilvl="1">
      <w:lvlJc w:val="left"/>
      <w:lvlText w:val="(%2)"/>
      <w:numFmt w:val="lowerLetter"/>
      <w:start w:val="9"/>
    </w:lvl>
  </w:abstractNum>
  <w:abstractNum w:abstractNumId="27">
    <w:nsid w:val="3006C83E"/>
    <w:multiLevelType w:val="hybridMultilevel"/>
    <w:lvl w:ilvl="0">
      <w:lvlJc w:val="left"/>
      <w:lvlText w:val="%1"/>
      <w:numFmt w:val="decimal"/>
      <w:start w:val="1"/>
    </w:lvl>
    <w:lvl w:ilvl="1">
      <w:lvlJc w:val="left"/>
      <w:lvlText w:val="(%2)"/>
      <w:numFmt w:val="lowerLetter"/>
      <w:start w:val="13"/>
    </w:lvl>
  </w:abstractNum>
  <w:abstractNum w:abstractNumId="28">
    <w:nsid w:val="614FD4A1"/>
    <w:multiLevelType w:val="hybridMultilevel"/>
    <w:lvl w:ilvl="0">
      <w:lvlJc w:val="left"/>
      <w:lvlText w:val="%1."/>
      <w:numFmt w:val="decimal"/>
      <w:start w:val="3"/>
    </w:lvl>
    <w:lvl w:ilvl="1">
      <w:lvlJc w:val="left"/>
      <w:lvlText w:val="(%2)"/>
      <w:numFmt w:val="lowerLetter"/>
      <w:start w:val="4"/>
    </w:lvl>
  </w:abstractNum>
  <w:abstractNum w:abstractNumId="29">
    <w:nsid w:val="419AC241"/>
    <w:multiLevelType w:val="hybridMultilevel"/>
    <w:lvl w:ilvl="0">
      <w:lvlJc w:val="left"/>
      <w:lvlText w:val="%1."/>
      <w:numFmt w:val="decimal"/>
      <w:start w:val="5"/>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7"/>
    </w:lvl>
    <w:lvl w:ilvl="1">
      <w:lvlJc w:val="left"/>
      <w:lvlText w:val="(%2)"/>
      <w:numFmt w:val="lowerLetter"/>
      <w:start w:val="1"/>
    </w:lvl>
  </w:abstractNum>
  <w:abstractNum w:abstractNumId="32">
    <w:nsid w:val="5072367"/>
    <w:multiLevelType w:val="hybridMultilevel"/>
    <w:lvl w:ilvl="0">
      <w:lvlJc w:val="left"/>
      <w:lvlText w:val="(%1)"/>
      <w:numFmt w:val="lowerLetter"/>
      <w:start w:val="4"/>
    </w:lvl>
  </w:abstractNum>
  <w:abstractNum w:abstractNumId="33">
    <w:nsid w:val="3804823E"/>
    <w:multiLevelType w:val="hybridMultilevel"/>
    <w:lvl w:ilvl="0">
      <w:lvlJc w:val="left"/>
      <w:lvlText w:val="%1"/>
      <w:numFmt w:val="upperLetter"/>
      <w:start w:val="40"/>
    </w:lvl>
  </w:abstractNum>
  <w:abstractNum w:abstractNumId="34">
    <w:nsid w:val="77465F01"/>
    <w:multiLevelType w:val="hybridMultilevel"/>
    <w:lvl w:ilvl="0">
      <w:lvlJc w:val="left"/>
      <w:lvlText w:val="%1"/>
      <w:numFmt w:val="upperLetter"/>
      <w:start w:val="40"/>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4"/>
    </w:lvl>
  </w:abstractNum>
  <w:abstractNum w:abstractNumId="38">
    <w:nsid w:val="5E884A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2019-12-12T11:25:37Z</dcterms:created>
  <dcterms:modified xsi:type="dcterms:W3CDTF">2019-12-12T11:25:37Z</dcterms:modified>
</cp:coreProperties>
</file>