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20" w:right="4700" w:firstLine="262"/>
        <w:spacing w:after="0" w:line="498" w:lineRule="auto"/>
        <w:tabs>
          <w:tab w:leader="none" w:pos="51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8)</w:t>
      </w:r>
      <w:r>
        <w:rPr>
          <w:rFonts w:ascii="Arial" w:cs="Arial" w:eastAsia="Arial" w:hAnsi="Arial"/>
          <w:sz w:val="10"/>
          <w:szCs w:val="10"/>
          <w:color w:val="auto"/>
        </w:rPr>
        <w:t>1</w:t>
      </w:r>
    </w:p>
    <w:p>
      <w:pPr>
        <w:jc w:val="center"/>
        <w:ind w:right="-19"/>
        <w:spacing w:after="0"/>
        <w:rPr>
          <w:sz w:val="20"/>
          <w:szCs w:val="20"/>
          <w:color w:val="auto"/>
        </w:rPr>
      </w:pPr>
      <w:r>
        <w:rPr>
          <w:rFonts w:ascii="Arial" w:cs="Arial" w:eastAsia="Arial" w:hAnsi="Arial"/>
          <w:sz w:val="18"/>
          <w:szCs w:val="18"/>
          <w:u w:val="single" w:color="auto"/>
          <w:color w:val="auto"/>
        </w:rPr>
        <w:t>NN,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629337106</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CHRISTOPHER S. KIPER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LEGION PARTNERS ASSET MANAGEMENT,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12121 Wilshire Blvd, Suite 1240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Los Angeles, CA 90025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(424) 253-1773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ELIZABETH GONZALEZ-SUSSMAN,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(212) 451-2300</w:t>
      </w:r>
    </w:p>
    <w:p>
      <w:pPr>
        <w:jc w:val="center"/>
        <w:ind w:right="-19"/>
        <w:spacing w:after="0" w:line="23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February 2, 2022</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both"/>
        <w:ind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629337106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3,181,582</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3,181,582</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3,181,582*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right="3940" w:hanging="5572"/>
        <w:spacing w:after="0" w:line="527" w:lineRule="auto"/>
        <w:tabs>
          <w:tab w:leader="none" w:pos="14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214,095 Shares underlying certain Warrants beneficially owned by Legion Partners, L.P. 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629337106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II</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248,392</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248,392</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248,392*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right="3960" w:hanging="5572"/>
        <w:spacing w:after="0" w:line="527" w:lineRule="auto"/>
        <w:tabs>
          <w:tab w:leader="none" w:pos="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10,905 Shares underlying certain Warrants beneficially owned by Legion Partners, L.P. II.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Special Opportunities, L.P. XI</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868,877</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868,877</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868,877</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2.01%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413"/>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4,298,851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4,298,851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870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Legion Partners Asset Management, LLC</w:t>
            </w:r>
          </w:p>
        </w:tc>
        <w:tc>
          <w:tcPr>
            <w:tcW w:w="1180" w:type="dxa"/>
            <w:vAlign w:val="bottom"/>
            <w:tcBorders>
              <w:bottom w:val="single" w:sz="8" w:color="auto"/>
            </w:tcBorders>
          </w:tcPr>
          <w:p>
            <w:pPr>
              <w:spacing w:after="0"/>
              <w:rPr>
                <w:sz w:val="24"/>
                <w:szCs w:val="24"/>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870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36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70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870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AF</w:t>
            </w:r>
          </w:p>
        </w:tc>
        <w:tc>
          <w:tcPr>
            <w:tcW w:w="11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8700" w:type="dxa"/>
            <w:vAlign w:val="bottom"/>
          </w:tcPr>
          <w:p>
            <w:pPr>
              <w:ind w:left="4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4,298,851</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4,298,851*</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1" w:lineRule="exact"/>
        <w:rPr>
          <w:rFonts w:ascii="Arial" w:cs="Arial" w:eastAsia="Arial" w:hAnsi="Arial"/>
          <w:sz w:val="18"/>
          <w:szCs w:val="18"/>
          <w:color w:val="auto"/>
        </w:rPr>
      </w:pPr>
    </w:p>
    <w:p>
      <w:pPr>
        <w:ind w:right="80"/>
        <w:spacing w:after="0" w:line="277" w:lineRule="auto"/>
        <w:rPr>
          <w:rFonts w:ascii="Arial" w:cs="Arial" w:eastAsia="Arial" w:hAnsi="Arial"/>
          <w:sz w:val="18"/>
          <w:szCs w:val="18"/>
          <w:color w:val="auto"/>
        </w:rPr>
      </w:pPr>
      <w:r>
        <w:rPr>
          <w:rFonts w:ascii="Arial" w:cs="Arial" w:eastAsia="Arial" w:hAnsi="Arial"/>
          <w:sz w:val="18"/>
          <w:szCs w:val="18"/>
          <w:color w:val="auto"/>
        </w:rPr>
        <w:t>* Includes (i) 214,095 Shares underlying certain Warrants beneficially owned by Legion Partners, L.P. I and (ii) 10,905 Shares underlying certain Warrants beneficially owned by Legion Partners, L.P.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889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-610870</wp:posOffset>
            </wp:positionV>
            <wp:extent cx="889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-610870</wp:posOffset>
            </wp:positionV>
            <wp:extent cx="889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-610870</wp:posOffset>
            </wp:positionV>
            <wp:extent cx="3511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8"/>
        <w:spacing w:after="0" w:line="277"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Christopher S. Kiper</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8"/>
        <w:spacing w:after="0" w:line="277" w:lineRule="auto"/>
        <w:tabs>
          <w:tab w:leader="none" w:pos="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629337106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2"/>
              </w:rPr>
              <w:t>Raymond White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4,299,151</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4,299,151*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8"/>
        <w:spacing w:after="0" w:line="277" w:lineRule="auto"/>
        <w:tabs>
          <w:tab w:leader="none" w:pos="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214,095 Shares underlying certain Warrants beneficially owned by Legion Partners, L.P. I and (ii) 10,905 Shares underlying certain Warrants beneficially owned by Legion Partners, L.P. 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constitutes Amendment No. 8 to the Schedule 13D filed by the undersigned (the “Amendment No. 8”). This Amendment No. 8 amends and restates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Legion Partners I has entered into certain cash-settled total return swap agreements with Normura Global Financial Products Inc. (“Nomura”) as the counterparty (the “Swap Agreements”). The swaps with Nomura constitute economic exposure to an aggregate of 1,125,326 notional Shares, representing approximately 2.60% of the outstanding Shares, which swaps have a maturity date of January 30, 2025 and a weighted average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reference price of $3.9599</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per Share. The Swap Agreements provide Legion Partners I with economic results that are comparable to the economic results of ownership but do not provide them with the power to vote or direct the voting or dispose of or direct the disposition of the Shares that are the subject of the Swap Agreements. The Reporting Persons disclaim beneficial ownership of the Shares that are the subject of the Swap Agreements.</w:t>
      </w:r>
    </w:p>
    <w:p>
      <w:pPr>
        <w:spacing w:after="0" w:line="19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Legion Partners II has entered into certain Swap Agreements with Nomura. The swaps with Nomura constitute economic exposure to an aggregate of 88,945 notional Shares, representing less than 1% of the outstanding Shares, which swaps have a maturity date of January 30, 2025 and a</w:t>
      </w:r>
    </w:p>
    <w:p>
      <w:pPr>
        <w:jc w:val="both"/>
        <w:spacing w:after="0" w:line="250" w:lineRule="auto"/>
        <w:rPr>
          <w:sz w:val="20"/>
          <w:szCs w:val="20"/>
          <w:color w:val="auto"/>
        </w:rPr>
      </w:pPr>
      <w:r>
        <w:rPr>
          <w:rFonts w:ascii="Arial" w:cs="Arial" w:eastAsia="Arial" w:hAnsi="Arial"/>
          <w:sz w:val="16"/>
          <w:szCs w:val="16"/>
          <w:color w:val="auto"/>
        </w:rPr>
        <w:t>weighted average reference price of $3.9517</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per Share. The Swap Agreements provide Legion Partners II with economic results that are comparable to the economic results of ownership but do not provide them with the power to vote or direct the voting or dispose of or direct the disposition of the Shares that are the subject of the Swap Agreements. The Reporting Persons disclaim beneficial ownership of the Shares that are the subject of the Swap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238696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18" w:lineRule="auto"/>
        <w:tabs>
          <w:tab w:leader="none" w:pos="135"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reference price reported for these swaps is a weighted average price. These swaps were entered into at reference prices ranging from $3.2390 to $4.2624 per Share. The Reporting Persons undertake to provide to the Issuer, any security holder of the Issuer or the Staff of the Securities and Exchange Commission, upon request, full information regarding the number of notional shares at each separate reference price for each swap within the range set forth in this footnote 1.</w:t>
      </w:r>
    </w:p>
    <w:p>
      <w:pPr>
        <w:spacing w:after="0" w:line="206" w:lineRule="exact"/>
        <w:rPr>
          <w:sz w:val="20"/>
          <w:szCs w:val="20"/>
          <w:color w:val="auto"/>
        </w:rPr>
      </w:pPr>
    </w:p>
    <w:p>
      <w:pPr>
        <w:jc w:val="both"/>
        <w:spacing w:after="0" w:line="230" w:lineRule="auto"/>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The reference price reported for these swaps is a weighted average price. These swaps were entered into at reference prices ranging from $3.2390 to $4.2624 per Share. The Reporting Persons undertake to provide to the Issuer, any security holder of the Issuer or the Staff of the Securities and Exchange Commission, upon request, full information regarding the number of notional shares at each separate reference price for each swap within the range set forth in this footnote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his knowledge and belief, each of the undersigned certifies that the information set forth in this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statement is true, complete and correct.</w:t>
            </w:r>
          </w:p>
        </w:tc>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8"/>
                <w:szCs w:val="18"/>
                <w:color w:val="auto"/>
              </w:rPr>
              <w:t>Dated: February 4, 2022</w:t>
            </w:r>
          </w:p>
        </w:tc>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3"/>
              </w:rPr>
              <w:t>Legion Partners, L.P. I</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1"/>
              </w:rPr>
              <w:t>Legion Partners, L.P. II</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Arial" w:cs="Arial" w:eastAsia="Arial" w:hAnsi="Arial"/>
                <w:sz w:val="18"/>
                <w:szCs w:val="18"/>
                <w:color w:val="auto"/>
              </w:rPr>
              <w:t>Legion Partners Special Opportunities, L.P. XI</w:t>
            </w: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540" w:type="dxa"/>
            <w:vAlign w:val="bottom"/>
            <w:gridSpan w:val="2"/>
          </w:tcPr>
          <w:p>
            <w:pPr>
              <w:ind w:left="5840"/>
              <w:spacing w:after="0"/>
              <w:rPr>
                <w:sz w:val="20"/>
                <w:szCs w:val="20"/>
                <w:color w:val="auto"/>
              </w:rPr>
            </w:pPr>
            <w:r>
              <w:rPr>
                <w:rFonts w:ascii="Arial" w:cs="Arial" w:eastAsia="Arial" w:hAnsi="Arial"/>
                <w:sz w:val="18"/>
                <w:szCs w:val="18"/>
                <w:color w:val="auto"/>
                <w:w w:val="98"/>
              </w:rPr>
              <w:t>Legion Partners, LLC</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c>
          <w:tcPr>
            <w:tcW w:w="100" w:type="dxa"/>
            <w:vAlign w:val="bottom"/>
          </w:tcPr>
          <w:p>
            <w:pPr>
              <w:spacing w:after="0"/>
              <w:rPr>
                <w:sz w:val="24"/>
                <w:szCs w:val="24"/>
                <w:color w:val="auto"/>
              </w:rPr>
            </w:pPr>
          </w:p>
        </w:tc>
      </w:tr>
      <w:tr>
        <w:trPr>
          <w:trHeight w:val="230"/>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520" w:type="dxa"/>
            <w:vAlign w:val="bottom"/>
          </w:tcPr>
          <w:p>
            <w:pPr>
              <w:ind w:left="584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5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324"/>
        </w:trPr>
        <w:tc>
          <w:tcPr>
            <w:tcW w:w="65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right"/>
        <w:ind w:right="3020"/>
        <w:spacing w:after="0"/>
        <w:rPr>
          <w:sz w:val="20"/>
          <w:szCs w:val="20"/>
          <w:color w:val="auto"/>
        </w:rPr>
      </w:pPr>
      <w:r>
        <w:rPr>
          <w:rFonts w:ascii="Arial" w:cs="Arial" w:eastAsia="Arial" w:hAnsi="Arial"/>
          <w:sz w:val="18"/>
          <w:szCs w:val="18"/>
          <w:color w:val="auto"/>
        </w:rPr>
        <w:t>Legion Partners Holdings,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Pr>
          <w:p>
            <w:pPr>
              <w:ind w:left="26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Christopher S. Kiper</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Raymond White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2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
      <w:numFmt w:val="bullet"/>
      <w:start w:val="1"/>
    </w:lvl>
    <w:lvl w:ilvl="1">
      <w:lvlJc w:val="left"/>
      <w:lvlText w:val="%2"/>
      <w:numFmt w:val="decimal"/>
      <w:start w:val="14"/>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2022-02-04T16:11:14Z</dcterms:created>
  <dcterms:modified xsi:type="dcterms:W3CDTF">2022-02-04T16:11:14Z</dcterms:modified>
</cp:coreProperties>
</file>