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152400</wp:posOffset>
            </wp:positionH>
            <wp:positionV relativeFrom="page">
              <wp:posOffset>406400</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Washington, DC 20549</w:t>
      </w:r>
    </w:p>
    <w:p>
      <w:pPr>
        <w:spacing w:after="0" w:line="185"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FORM 8-K</w:t>
      </w:r>
    </w:p>
    <w:p>
      <w:pPr>
        <w:spacing w:after="0" w:line="251"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CURRENT REPORT</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40"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Date of Report (Date of earliest event reported): March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3362325</wp:posOffset>
            </wp:positionH>
            <wp:positionV relativeFrom="paragraph">
              <wp:posOffset>158750</wp:posOffset>
            </wp:positionV>
            <wp:extent cx="541020" cy="532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02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79"/>
        <w:spacing w:after="0"/>
        <w:rPr>
          <w:sz w:val="20"/>
          <w:szCs w:val="20"/>
          <w:color w:val="auto"/>
        </w:rPr>
      </w:pPr>
      <w:r>
        <w:rPr>
          <w:rFonts w:ascii="Arial" w:cs="Arial" w:eastAsia="Arial" w:hAnsi="Arial"/>
          <w:sz w:val="41"/>
          <w:szCs w:val="41"/>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268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845" cy="8255"/>
                    </a:xfrm>
                    <a:prstGeom prst="rect">
                      <a:avLst/>
                    </a:prstGeom>
                    <a:noFill/>
                  </pic:spPr>
                </pic:pic>
              </a:graphicData>
            </a:graphic>
          </wp:anchor>
        </w:drawing>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1"/>
          <w:szCs w:val="21"/>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400" w:type="dxa"/>
        <w:tblCellMar>
          <w:top w:w="0" w:type="dxa"/>
          <w:left w:w="0" w:type="dxa"/>
          <w:bottom w:w="0" w:type="dxa"/>
          <w:right w:w="0" w:type="dxa"/>
        </w:tblCellMar>
      </w:tblPr>
      <w:tr>
        <w:trPr>
          <w:trHeight w:val="212"/>
        </w:trPr>
        <w:tc>
          <w:tcPr>
            <w:tcW w:w="3700" w:type="dxa"/>
            <w:vAlign w:val="bottom"/>
          </w:tcPr>
          <w:p>
            <w:pPr>
              <w:jc w:val="center"/>
              <w:ind w:right="554"/>
              <w:spacing w:after="0"/>
              <w:rPr>
                <w:sz w:val="20"/>
                <w:szCs w:val="20"/>
                <w:color w:val="auto"/>
              </w:rPr>
            </w:pPr>
            <w:r>
              <w:rPr>
                <w:rFonts w:ascii="Arial" w:cs="Arial" w:eastAsia="Arial" w:hAnsi="Arial"/>
                <w:sz w:val="17"/>
                <w:szCs w:val="17"/>
                <w:b w:val="1"/>
                <w:bCs w:val="1"/>
                <w:color w:val="auto"/>
                <w:w w:val="93"/>
              </w:rPr>
              <w:t>Delaware</w:t>
            </w:r>
          </w:p>
        </w:tc>
        <w:tc>
          <w:tcPr>
            <w:tcW w:w="3420" w:type="dxa"/>
            <w:vAlign w:val="bottom"/>
          </w:tcPr>
          <w:p>
            <w:pPr>
              <w:jc w:val="right"/>
              <w:ind w:right="1414"/>
              <w:spacing w:after="0"/>
              <w:rPr>
                <w:sz w:val="20"/>
                <w:szCs w:val="20"/>
                <w:color w:val="auto"/>
              </w:rPr>
            </w:pPr>
            <w:r>
              <w:rPr>
                <w:rFonts w:ascii="Arial" w:cs="Arial" w:eastAsia="Arial" w:hAnsi="Arial"/>
                <w:sz w:val="17"/>
                <w:szCs w:val="17"/>
                <w:b w:val="1"/>
                <w:bCs w:val="1"/>
                <w:color w:val="auto"/>
              </w:rPr>
              <w:t>0-23486</w:t>
            </w:r>
          </w:p>
        </w:tc>
        <w:tc>
          <w:tcPr>
            <w:tcW w:w="3200" w:type="dxa"/>
            <w:vAlign w:val="bottom"/>
          </w:tcPr>
          <w:p>
            <w:pPr>
              <w:jc w:val="right"/>
              <w:ind w:right="674"/>
              <w:spacing w:after="0"/>
              <w:rPr>
                <w:sz w:val="20"/>
                <w:szCs w:val="20"/>
                <w:color w:val="auto"/>
              </w:rPr>
            </w:pPr>
            <w:r>
              <w:rPr>
                <w:rFonts w:ascii="Arial" w:cs="Arial" w:eastAsia="Arial" w:hAnsi="Arial"/>
                <w:sz w:val="17"/>
                <w:szCs w:val="17"/>
                <w:b w:val="1"/>
                <w:bCs w:val="1"/>
                <w:color w:val="auto"/>
              </w:rPr>
              <w:t>62-1096725</w:t>
            </w:r>
          </w:p>
        </w:tc>
        <w:tc>
          <w:tcPr>
            <w:tcW w:w="0" w:type="dxa"/>
            <w:vAlign w:val="bottom"/>
          </w:tcPr>
          <w:p>
            <w:pPr>
              <w:spacing w:after="0"/>
              <w:rPr>
                <w:sz w:val="1"/>
                <w:szCs w:val="1"/>
                <w:color w:val="auto"/>
              </w:rPr>
            </w:pPr>
          </w:p>
        </w:tc>
      </w:tr>
      <w:tr>
        <w:trPr>
          <w:trHeight w:val="217"/>
        </w:trPr>
        <w:tc>
          <w:tcPr>
            <w:tcW w:w="3700" w:type="dxa"/>
            <w:vAlign w:val="bottom"/>
          </w:tcPr>
          <w:p>
            <w:pPr>
              <w:jc w:val="center"/>
              <w:ind w:right="594"/>
              <w:spacing w:after="0"/>
              <w:rPr>
                <w:sz w:val="20"/>
                <w:szCs w:val="20"/>
                <w:color w:val="auto"/>
              </w:rPr>
            </w:pPr>
            <w:r>
              <w:rPr>
                <w:rFonts w:ascii="Arial" w:cs="Arial" w:eastAsia="Arial" w:hAnsi="Arial"/>
                <w:sz w:val="17"/>
                <w:szCs w:val="17"/>
                <w:color w:val="auto"/>
                <w:w w:val="93"/>
              </w:rPr>
              <w:t>(State or other jurisdiction of incorporation)</w:t>
            </w:r>
          </w:p>
        </w:tc>
        <w:tc>
          <w:tcPr>
            <w:tcW w:w="3420" w:type="dxa"/>
            <w:vAlign w:val="bottom"/>
          </w:tcPr>
          <w:p>
            <w:pPr>
              <w:jc w:val="center"/>
              <w:ind w:right="74"/>
              <w:spacing w:after="0"/>
              <w:rPr>
                <w:sz w:val="20"/>
                <w:szCs w:val="20"/>
                <w:color w:val="auto"/>
              </w:rPr>
            </w:pPr>
            <w:r>
              <w:rPr>
                <w:rFonts w:ascii="Arial" w:cs="Arial" w:eastAsia="Arial" w:hAnsi="Arial"/>
                <w:sz w:val="17"/>
                <w:szCs w:val="17"/>
                <w:color w:val="auto"/>
                <w:w w:val="93"/>
              </w:rPr>
              <w:t>(Commission File Number)</w:t>
            </w:r>
          </w:p>
        </w:tc>
        <w:tc>
          <w:tcPr>
            <w:tcW w:w="3200" w:type="dxa"/>
            <w:vAlign w:val="bottom"/>
          </w:tcPr>
          <w:p>
            <w:pPr>
              <w:jc w:val="center"/>
              <w:ind w:left="754"/>
              <w:spacing w:after="0"/>
              <w:rPr>
                <w:sz w:val="20"/>
                <w:szCs w:val="20"/>
                <w:color w:val="auto"/>
              </w:rPr>
            </w:pPr>
            <w:r>
              <w:rPr>
                <w:rFonts w:ascii="Arial" w:cs="Arial" w:eastAsia="Arial" w:hAnsi="Arial"/>
                <w:sz w:val="17"/>
                <w:szCs w:val="17"/>
                <w:color w:val="auto"/>
                <w:w w:val="95"/>
              </w:rPr>
              <w:t>(IRS Employer Identification No.)</w:t>
            </w:r>
          </w:p>
        </w:tc>
        <w:tc>
          <w:tcPr>
            <w:tcW w:w="0" w:type="dxa"/>
            <w:vAlign w:val="bottom"/>
          </w:tcPr>
          <w:p>
            <w:pPr>
              <w:spacing w:after="0"/>
              <w:rPr>
                <w:sz w:val="1"/>
                <w:szCs w:val="1"/>
                <w:color w:val="auto"/>
              </w:rPr>
            </w:pPr>
          </w:p>
        </w:tc>
      </w:tr>
      <w:tr>
        <w:trPr>
          <w:trHeight w:val="402"/>
        </w:trPr>
        <w:tc>
          <w:tcPr>
            <w:tcW w:w="3700" w:type="dxa"/>
            <w:vAlign w:val="bottom"/>
          </w:tcPr>
          <w:p>
            <w:pPr>
              <w:jc w:val="center"/>
              <w:ind w:right="554"/>
              <w:spacing w:after="0"/>
              <w:rPr>
                <w:sz w:val="20"/>
                <w:szCs w:val="20"/>
                <w:color w:val="auto"/>
              </w:rPr>
            </w:pPr>
            <w:r>
              <w:rPr>
                <w:rFonts w:ascii="Arial" w:cs="Arial" w:eastAsia="Arial" w:hAnsi="Arial"/>
                <w:sz w:val="17"/>
                <w:szCs w:val="17"/>
                <w:b w:val="1"/>
                <w:bCs w:val="1"/>
                <w:color w:val="auto"/>
                <w:w w:val="92"/>
              </w:rPr>
              <w:t>2000 Waters Edge Drive</w:t>
            </w:r>
          </w:p>
        </w:tc>
        <w:tc>
          <w:tcPr>
            <w:tcW w:w="3420" w:type="dxa"/>
            <w:vAlign w:val="bottom"/>
          </w:tcPr>
          <w:p>
            <w:pPr>
              <w:spacing w:after="0"/>
              <w:rPr>
                <w:sz w:val="24"/>
                <w:szCs w:val="24"/>
                <w:color w:val="auto"/>
              </w:rPr>
            </w:pPr>
          </w:p>
        </w:tc>
        <w:tc>
          <w:tcPr>
            <w:tcW w:w="3200" w:type="dxa"/>
            <w:vAlign w:val="bottom"/>
            <w:vMerge w:val="restart"/>
          </w:tcPr>
          <w:p>
            <w:pPr>
              <w:jc w:val="right"/>
              <w:ind w:right="874"/>
              <w:spacing w:after="0"/>
              <w:rPr>
                <w:sz w:val="20"/>
                <w:szCs w:val="20"/>
                <w:color w:val="auto"/>
              </w:rPr>
            </w:pPr>
            <w:r>
              <w:rPr>
                <w:rFonts w:ascii="Arial" w:cs="Arial" w:eastAsia="Arial" w:hAnsi="Arial"/>
                <w:sz w:val="17"/>
                <w:szCs w:val="17"/>
                <w:b w:val="1"/>
                <w:bCs w:val="1"/>
                <w:color w:val="auto"/>
              </w:rPr>
              <w:t>37604</w:t>
            </w:r>
          </w:p>
        </w:tc>
        <w:tc>
          <w:tcPr>
            <w:tcW w:w="0" w:type="dxa"/>
            <w:vAlign w:val="bottom"/>
          </w:tcPr>
          <w:p>
            <w:pPr>
              <w:spacing w:after="0"/>
              <w:rPr>
                <w:sz w:val="1"/>
                <w:szCs w:val="1"/>
                <w:color w:val="auto"/>
              </w:rPr>
            </w:pPr>
          </w:p>
        </w:tc>
      </w:tr>
      <w:tr>
        <w:trPr>
          <w:trHeight w:val="207"/>
        </w:trPr>
        <w:tc>
          <w:tcPr>
            <w:tcW w:w="3700" w:type="dxa"/>
            <w:vAlign w:val="bottom"/>
          </w:tcPr>
          <w:p>
            <w:pPr>
              <w:jc w:val="center"/>
              <w:ind w:right="594"/>
              <w:spacing w:after="0"/>
              <w:rPr>
                <w:sz w:val="20"/>
                <w:szCs w:val="20"/>
                <w:color w:val="auto"/>
              </w:rPr>
            </w:pPr>
            <w:r>
              <w:rPr>
                <w:rFonts w:ascii="Arial" w:cs="Arial" w:eastAsia="Arial" w:hAnsi="Arial"/>
                <w:sz w:val="17"/>
                <w:szCs w:val="17"/>
                <w:b w:val="1"/>
                <w:bCs w:val="1"/>
                <w:color w:val="auto"/>
                <w:w w:val="84"/>
              </w:rPr>
              <w:t>Johnson City, Tennessee</w:t>
            </w:r>
          </w:p>
        </w:tc>
        <w:tc>
          <w:tcPr>
            <w:tcW w:w="3420" w:type="dxa"/>
            <w:vAlign w:val="bottom"/>
          </w:tcPr>
          <w:p>
            <w:pPr>
              <w:spacing w:after="0"/>
              <w:rPr>
                <w:sz w:val="17"/>
                <w:szCs w:val="17"/>
                <w:color w:val="auto"/>
              </w:rPr>
            </w:pPr>
          </w:p>
        </w:tc>
        <w:tc>
          <w:tcPr>
            <w:tcW w:w="3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00" w:type="dxa"/>
            <w:vAlign w:val="bottom"/>
          </w:tcPr>
          <w:p>
            <w:pPr>
              <w:jc w:val="center"/>
              <w:ind w:right="554"/>
              <w:spacing w:after="0"/>
              <w:rPr>
                <w:sz w:val="20"/>
                <w:szCs w:val="20"/>
                <w:color w:val="auto"/>
              </w:rPr>
            </w:pPr>
            <w:r>
              <w:rPr>
                <w:rFonts w:ascii="Arial" w:cs="Arial" w:eastAsia="Arial" w:hAnsi="Arial"/>
                <w:sz w:val="17"/>
                <w:szCs w:val="17"/>
                <w:color w:val="auto"/>
                <w:w w:val="94"/>
              </w:rPr>
              <w:t>(Address of principal executive offices)</w:t>
            </w:r>
          </w:p>
        </w:tc>
        <w:tc>
          <w:tcPr>
            <w:tcW w:w="3420" w:type="dxa"/>
            <w:vAlign w:val="bottom"/>
          </w:tcPr>
          <w:p>
            <w:pPr>
              <w:spacing w:after="0"/>
              <w:rPr>
                <w:sz w:val="18"/>
                <w:szCs w:val="18"/>
                <w:color w:val="auto"/>
              </w:rPr>
            </w:pPr>
          </w:p>
        </w:tc>
        <w:tc>
          <w:tcPr>
            <w:tcW w:w="3200" w:type="dxa"/>
            <w:vAlign w:val="bottom"/>
          </w:tcPr>
          <w:p>
            <w:pPr>
              <w:jc w:val="center"/>
              <w:ind w:left="754"/>
              <w:spacing w:after="0"/>
              <w:rPr>
                <w:sz w:val="20"/>
                <w:szCs w:val="20"/>
                <w:color w:val="auto"/>
              </w:rPr>
            </w:pPr>
            <w:r>
              <w:rPr>
                <w:rFonts w:ascii="Arial" w:cs="Arial" w:eastAsia="Arial" w:hAnsi="Arial"/>
                <w:sz w:val="17"/>
                <w:szCs w:val="17"/>
                <w:color w:val="auto"/>
                <w:w w:val="94"/>
              </w:rPr>
              <w:t>(Zip Code)</w:t>
            </w:r>
          </w:p>
        </w:tc>
        <w:tc>
          <w:tcPr>
            <w:tcW w:w="0" w:type="dxa"/>
            <w:vAlign w:val="bottom"/>
          </w:tcPr>
          <w:p>
            <w:pPr>
              <w:spacing w:after="0"/>
              <w:rPr>
                <w:sz w:val="1"/>
                <w:szCs w:val="1"/>
                <w:color w:val="auto"/>
              </w:rPr>
            </w:pPr>
          </w:p>
        </w:tc>
      </w:tr>
    </w:tbl>
    <w:p>
      <w:pPr>
        <w:spacing w:after="0" w:line="20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Registrant's telephone number, including area code: (423)743-9151</w:t>
      </w:r>
    </w:p>
    <w:p>
      <w:pPr>
        <w:spacing w:after="0" w:line="229" w:lineRule="exact"/>
        <w:rPr>
          <w:sz w:val="24"/>
          <w:szCs w:val="24"/>
          <w:color w:val="auto"/>
        </w:rPr>
      </w:pPr>
    </w:p>
    <w:p>
      <w:pPr>
        <w:spacing w:after="0" w:line="253" w:lineRule="auto"/>
        <w:rPr>
          <w:sz w:val="20"/>
          <w:szCs w:val="20"/>
          <w:color w:val="auto"/>
        </w:rPr>
      </w:pPr>
      <w:r>
        <w:rPr>
          <w:rFonts w:ascii="Arial" w:cs="Arial" w:eastAsia="Arial" w:hAnsi="Arial"/>
          <w:sz w:val="21"/>
          <w:szCs w:val="21"/>
          <w:color w:val="auto"/>
        </w:rPr>
        <w:t>Check the appropriate box below if the Form 8-K filing is intended to simultaneously satisfy the obligation of the registrant under any of the following provisions:</w:t>
      </w:r>
    </w:p>
    <w:p>
      <w:pPr>
        <w:spacing w:after="0" w:line="188" w:lineRule="exact"/>
        <w:rPr>
          <w:sz w:val="24"/>
          <w:szCs w:val="24"/>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Written communications pursuant to Rule 425 under the Securities Act (17CFT 230.425)</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Soliciting material pursuant to Rule 14a-12 under the Exchange Act (17CFT 240.14a-12)</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(17CFT 240.14d-2(b))</w:t>
      </w:r>
    </w:p>
    <w:p>
      <w:pPr>
        <w:spacing w:after="0" w:line="223" w:lineRule="exact"/>
        <w:rPr>
          <w:rFonts w:ascii="Arial" w:cs="Arial" w:eastAsia="Arial" w:hAnsi="Arial"/>
          <w:sz w:val="21"/>
          <w:szCs w:val="21"/>
          <w:color w:val="auto"/>
        </w:rPr>
      </w:pPr>
    </w:p>
    <w:p>
      <w:pPr>
        <w:ind w:left="200" w:hanging="197"/>
        <w:spacing w:after="0"/>
        <w:tabs>
          <w:tab w:leader="none" w:pos="2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226695</wp:posOffset>
            </wp:positionV>
            <wp:extent cx="7257415"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685800</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759" w:right="35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2.02 RESULTS OF OPERATIONS AND FINANCIAL CONDITIONS</w:t>
      </w:r>
    </w:p>
    <w:p>
      <w:pPr>
        <w:spacing w:after="0" w:line="229" w:lineRule="exact"/>
        <w:rPr>
          <w:sz w:val="20"/>
          <w:szCs w:val="20"/>
          <w:color w:val="auto"/>
        </w:rPr>
      </w:pPr>
    </w:p>
    <w:p>
      <w:pPr>
        <w:ind w:right="460"/>
        <w:spacing w:after="0" w:line="253" w:lineRule="auto"/>
        <w:rPr>
          <w:sz w:val="20"/>
          <w:szCs w:val="20"/>
          <w:color w:val="auto"/>
        </w:rPr>
      </w:pPr>
      <w:r>
        <w:rPr>
          <w:rFonts w:ascii="Arial" w:cs="Arial" w:eastAsia="Arial" w:hAnsi="Arial"/>
          <w:sz w:val="21"/>
          <w:szCs w:val="21"/>
          <w:color w:val="auto"/>
        </w:rPr>
        <w:t>Published as Exhibit 99.1 is NN Inc.'s press release dated March 31, 2009 regarding the results for fourth quarter and full year ended December 31, 2008.</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29" w:lineRule="exact"/>
        <w:rPr>
          <w:sz w:val="20"/>
          <w:szCs w:val="20"/>
          <w:color w:val="auto"/>
        </w:rPr>
      </w:pPr>
    </w:p>
    <w:p>
      <w:pPr>
        <w:ind w:right="480"/>
        <w:spacing w:after="0" w:line="242" w:lineRule="auto"/>
        <w:rPr>
          <w:sz w:val="20"/>
          <w:szCs w:val="20"/>
          <w:color w:val="auto"/>
        </w:rPr>
      </w:pPr>
      <w:r>
        <w:rPr>
          <w:rFonts w:ascii="Arial" w:cs="Arial" w:eastAsia="Arial" w:hAnsi="Arial"/>
          <w:sz w:val="21"/>
          <w:szCs w:val="21"/>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460" w:type="dxa"/>
            <w:vAlign w:val="bottom"/>
            <w:gridSpan w:val="2"/>
          </w:tcPr>
          <w:p>
            <w:pPr>
              <w:spacing w:after="0"/>
              <w:rPr>
                <w:sz w:val="20"/>
                <w:szCs w:val="20"/>
                <w:color w:val="auto"/>
              </w:rPr>
            </w:pPr>
            <w:r>
              <w:rPr>
                <w:rFonts w:ascii="Arial" w:cs="Arial" w:eastAsia="Arial" w:hAnsi="Arial"/>
                <w:sz w:val="21"/>
                <w:szCs w:val="21"/>
                <w:color w:val="auto"/>
              </w:rPr>
              <w:t>Exhibit:</w:t>
            </w: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7980" w:type="dxa"/>
            <w:vAlign w:val="bottom"/>
          </w:tcPr>
          <w:p>
            <w:pPr>
              <w:spacing w:after="0"/>
              <w:rPr>
                <w:sz w:val="22"/>
                <w:szCs w:val="22"/>
                <w:color w:val="auto"/>
              </w:rPr>
            </w:pPr>
          </w:p>
        </w:tc>
      </w:tr>
      <w:tr>
        <w:trPr>
          <w:trHeight w:val="416"/>
        </w:trPr>
        <w:tc>
          <w:tcPr>
            <w:tcW w:w="1340" w:type="dxa"/>
            <w:vAlign w:val="bottom"/>
          </w:tcPr>
          <w:p>
            <w:pPr>
              <w:spacing w:after="0"/>
              <w:rPr>
                <w:sz w:val="20"/>
                <w:szCs w:val="20"/>
                <w:color w:val="auto"/>
              </w:rPr>
            </w:pPr>
            <w:r>
              <w:rPr>
                <w:rFonts w:ascii="Arial" w:cs="Arial" w:eastAsia="Arial" w:hAnsi="Arial"/>
                <w:sz w:val="21"/>
                <w:szCs w:val="21"/>
                <w:color w:val="auto"/>
                <w:w w:val="91"/>
              </w:rPr>
              <w:t>Exhibit Number</w:t>
            </w:r>
          </w:p>
        </w:tc>
        <w:tc>
          <w:tcPr>
            <w:tcW w:w="120" w:type="dxa"/>
            <w:vAlign w:val="bottom"/>
          </w:tcPr>
          <w:p>
            <w:pPr>
              <w:spacing w:after="0"/>
              <w:rPr>
                <w:sz w:val="24"/>
                <w:szCs w:val="24"/>
                <w:color w:val="auto"/>
              </w:rPr>
            </w:pPr>
          </w:p>
        </w:tc>
        <w:tc>
          <w:tcPr>
            <w:tcW w:w="9960" w:type="dxa"/>
            <w:vAlign w:val="bottom"/>
            <w:gridSpan w:val="3"/>
          </w:tcPr>
          <w:p>
            <w:pPr>
              <w:ind w:left="140"/>
              <w:spacing w:after="0"/>
              <w:rPr>
                <w:sz w:val="20"/>
                <w:szCs w:val="20"/>
                <w:color w:val="auto"/>
              </w:rPr>
            </w:pPr>
            <w:r>
              <w:rPr>
                <w:rFonts w:ascii="Arial" w:cs="Arial" w:eastAsia="Arial" w:hAnsi="Arial"/>
                <w:sz w:val="21"/>
                <w:szCs w:val="21"/>
                <w:color w:val="auto"/>
              </w:rPr>
              <w:t>Description of Exhibit</w:t>
            </w:r>
          </w:p>
        </w:tc>
      </w:tr>
      <w:tr>
        <w:trPr>
          <w:trHeight w:val="20"/>
        </w:trPr>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61"/>
        </w:trPr>
        <w:tc>
          <w:tcPr>
            <w:tcW w:w="1340" w:type="dxa"/>
            <w:vAlign w:val="bottom"/>
          </w:tcPr>
          <w:p>
            <w:pPr>
              <w:spacing w:after="0"/>
              <w:rPr>
                <w:sz w:val="20"/>
                <w:szCs w:val="20"/>
                <w:color w:val="auto"/>
              </w:rPr>
            </w:pPr>
            <w:r>
              <w:rPr>
                <w:rFonts w:ascii="Arial" w:cs="Arial" w:eastAsia="Arial" w:hAnsi="Arial"/>
                <w:sz w:val="21"/>
                <w:szCs w:val="21"/>
                <w:color w:val="auto"/>
              </w:rPr>
              <w:t>99.1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20" w:type="dxa"/>
            <w:vAlign w:val="bottom"/>
            <w:gridSpan w:val="2"/>
          </w:tcPr>
          <w:p>
            <w:pPr>
              <w:ind w:left="60"/>
              <w:spacing w:after="0"/>
              <w:rPr>
                <w:sz w:val="20"/>
                <w:szCs w:val="20"/>
                <w:color w:val="auto"/>
              </w:rPr>
            </w:pPr>
            <w:r>
              <w:rPr>
                <w:rFonts w:ascii="Arial" w:cs="Arial" w:eastAsia="Arial" w:hAnsi="Arial"/>
                <w:sz w:val="21"/>
                <w:szCs w:val="21"/>
                <w:color w:val="auto"/>
              </w:rPr>
              <w:t>Press Release of NN, Inc. dated March 31, 2009.</w:t>
            </w:r>
          </w:p>
        </w:tc>
      </w:tr>
      <w:tr>
        <w:trPr>
          <w:trHeight w:val="1496"/>
        </w:trPr>
        <w:tc>
          <w:tcPr>
            <w:tcW w:w="13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7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1"/>
          <w:szCs w:val="21"/>
          <w:color w:val="auto"/>
        </w:rPr>
        <w:t>SIGNATURES</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NN, INC.</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7"/>
          <w:szCs w:val="17"/>
          <w:color w:val="auto"/>
        </w:rPr>
        <w:t>Date: March 31, 2009</w:t>
      </w:r>
      <w:r>
        <w:rPr>
          <w:sz w:val="20"/>
          <w:szCs w:val="20"/>
          <w:color w:val="auto"/>
        </w:rPr>
        <w:tab/>
      </w:r>
      <w:r>
        <w:rPr>
          <w:rFonts w:ascii="Arial" w:cs="Arial" w:eastAsia="Arial" w:hAnsi="Arial"/>
          <w:sz w:val="16"/>
          <w:szCs w:val="16"/>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22860</wp:posOffset>
            </wp:positionV>
            <wp:extent cx="253238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32380" cy="1651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Name : William C. Kelly, Jr.</w:t>
      </w:r>
    </w:p>
    <w:p>
      <w:pPr>
        <w:spacing w:after="0" w:line="2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Title : Vice President and Chief Administrative Officer</w:t>
      </w:r>
    </w:p>
    <w:p>
      <w:pPr>
        <w:sectPr>
          <w:pgSz w:w="11900" w:h="16838" w:orient="portrait"/>
          <w:cols w:equalWidth="0" w:num="1">
            <w:col w:w="11240"/>
          </w:cols>
          <w:pgMar w:left="240" w:top="350"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236220</wp:posOffset>
            </wp:positionV>
            <wp:extent cx="2098040" cy="5816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98040" cy="581660"/>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1146175</wp:posOffset>
            </wp:positionV>
            <wp:extent cx="1991360" cy="557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991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300"/>
        <w:spacing w:after="0"/>
        <w:rPr>
          <w:sz w:val="20"/>
          <w:szCs w:val="20"/>
          <w:color w:val="auto"/>
        </w:rPr>
      </w:pPr>
      <w:r>
        <w:rPr>
          <w:rFonts w:ascii="Arial" w:cs="Arial" w:eastAsia="Arial" w:hAnsi="Arial"/>
          <w:sz w:val="17"/>
          <w:szCs w:val="17"/>
          <w:color w:val="auto"/>
        </w:rPr>
        <w:t>RE: NN,</w:t>
      </w:r>
    </w:p>
    <w:p>
      <w:pPr>
        <w:spacing w:after="0" w:line="22"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Inc.</w:t>
      </w:r>
    </w:p>
    <w:p>
      <w:pPr>
        <w:spacing w:after="0" w:line="1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2000 Waters Edge Drive</w:t>
      </w:r>
    </w:p>
    <w:p>
      <w:pPr>
        <w:spacing w:after="0" w:line="11"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Johnson City, TN 37604</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AT THE COMPANY</w:t>
            </w:r>
          </w:p>
        </w:tc>
        <w:tc>
          <w:tcPr>
            <w:tcW w:w="2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AT FINANCIAL RELATIONS BOARD</w:t>
            </w:r>
          </w:p>
        </w:tc>
      </w:tr>
      <w:tr>
        <w:trPr>
          <w:trHeight w:val="213"/>
        </w:trPr>
        <w:tc>
          <w:tcPr>
            <w:tcW w:w="4520" w:type="dxa"/>
            <w:vAlign w:val="bottom"/>
            <w:gridSpan w:val="2"/>
          </w:tcPr>
          <w:p>
            <w:pPr>
              <w:spacing w:after="0"/>
              <w:rPr>
                <w:sz w:val="20"/>
                <w:szCs w:val="20"/>
                <w:color w:val="auto"/>
              </w:rPr>
            </w:pPr>
            <w:r>
              <w:rPr>
                <w:rFonts w:ascii="Arial" w:cs="Arial" w:eastAsia="Arial" w:hAnsi="Arial"/>
                <w:sz w:val="17"/>
                <w:szCs w:val="17"/>
                <w:color w:val="auto"/>
              </w:rPr>
              <w:t>Will Kelly</w:t>
            </w:r>
          </w:p>
        </w:tc>
        <w:tc>
          <w:tcPr>
            <w:tcW w:w="1200" w:type="dxa"/>
            <w:vAlign w:val="bottom"/>
          </w:tcPr>
          <w:p>
            <w:pPr>
              <w:spacing w:after="0"/>
              <w:rPr>
                <w:sz w:val="18"/>
                <w:szCs w:val="18"/>
                <w:color w:val="auto"/>
              </w:rPr>
            </w:pPr>
          </w:p>
        </w:tc>
        <w:tc>
          <w:tcPr>
            <w:tcW w:w="2960" w:type="dxa"/>
            <w:vAlign w:val="bottom"/>
          </w:tcPr>
          <w:p>
            <w:pPr>
              <w:ind w:left="40"/>
              <w:spacing w:after="0"/>
              <w:rPr>
                <w:sz w:val="20"/>
                <w:szCs w:val="20"/>
                <w:color w:val="auto"/>
              </w:rPr>
            </w:pPr>
            <w:r>
              <w:rPr>
                <w:rFonts w:ascii="Arial" w:cs="Arial" w:eastAsia="Arial" w:hAnsi="Arial"/>
                <w:sz w:val="17"/>
                <w:szCs w:val="17"/>
                <w:color w:val="auto"/>
              </w:rPr>
              <w:t>Marilynn Meek</w:t>
            </w:r>
          </w:p>
        </w:tc>
      </w:tr>
      <w:tr>
        <w:trPr>
          <w:trHeight w:val="206"/>
        </w:trPr>
        <w:tc>
          <w:tcPr>
            <w:tcW w:w="4520" w:type="dxa"/>
            <w:vAlign w:val="bottom"/>
            <w:gridSpan w:val="2"/>
          </w:tcPr>
          <w:p>
            <w:pPr>
              <w:spacing w:after="0"/>
              <w:rPr>
                <w:sz w:val="20"/>
                <w:szCs w:val="20"/>
                <w:color w:val="auto"/>
              </w:rPr>
            </w:pPr>
            <w:r>
              <w:rPr>
                <w:rFonts w:ascii="Arial" w:cs="Arial" w:eastAsia="Arial" w:hAnsi="Arial"/>
                <w:sz w:val="17"/>
                <w:szCs w:val="17"/>
                <w:color w:val="auto"/>
              </w:rPr>
              <w:t>Vice President and Chief Administrative Officer</w:t>
            </w:r>
          </w:p>
        </w:tc>
        <w:tc>
          <w:tcPr>
            <w:tcW w:w="4160" w:type="dxa"/>
            <w:vAlign w:val="bottom"/>
            <w:gridSpan w:val="2"/>
          </w:tcPr>
          <w:p>
            <w:pPr>
              <w:ind w:left="1200"/>
              <w:spacing w:after="0"/>
              <w:rPr>
                <w:sz w:val="20"/>
                <w:szCs w:val="20"/>
                <w:color w:val="auto"/>
              </w:rPr>
            </w:pPr>
            <w:r>
              <w:rPr>
                <w:rFonts w:ascii="Arial" w:cs="Arial" w:eastAsia="Arial" w:hAnsi="Arial"/>
                <w:sz w:val="17"/>
                <w:szCs w:val="17"/>
                <w:color w:val="auto"/>
              </w:rPr>
              <w:t>(General info)</w:t>
            </w:r>
          </w:p>
        </w:tc>
      </w:tr>
      <w:tr>
        <w:trPr>
          <w:trHeight w:val="217"/>
        </w:trPr>
        <w:tc>
          <w:tcPr>
            <w:tcW w:w="1600" w:type="dxa"/>
            <w:vAlign w:val="bottom"/>
          </w:tcPr>
          <w:p>
            <w:pPr>
              <w:jc w:val="right"/>
              <w:ind w:right="394"/>
              <w:spacing w:after="0"/>
              <w:rPr>
                <w:sz w:val="20"/>
                <w:szCs w:val="20"/>
                <w:color w:val="auto"/>
              </w:rPr>
            </w:pPr>
            <w:r>
              <w:rPr>
                <w:rFonts w:ascii="Arial" w:cs="Arial" w:eastAsia="Arial" w:hAnsi="Arial"/>
                <w:sz w:val="17"/>
                <w:szCs w:val="17"/>
                <w:color w:val="auto"/>
                <w:w w:val="94"/>
              </w:rPr>
              <w:t>(423) 743-9151</w:t>
            </w:r>
          </w:p>
        </w:tc>
        <w:tc>
          <w:tcPr>
            <w:tcW w:w="2920" w:type="dxa"/>
            <w:vAlign w:val="bottom"/>
          </w:tcPr>
          <w:p>
            <w:pPr>
              <w:spacing w:after="0"/>
              <w:rPr>
                <w:sz w:val="18"/>
                <w:szCs w:val="18"/>
                <w:color w:val="auto"/>
              </w:rPr>
            </w:pPr>
          </w:p>
        </w:tc>
        <w:tc>
          <w:tcPr>
            <w:tcW w:w="4160" w:type="dxa"/>
            <w:vAlign w:val="bottom"/>
            <w:gridSpan w:val="2"/>
          </w:tcPr>
          <w:p>
            <w:pPr>
              <w:ind w:left="1200"/>
              <w:spacing w:after="0"/>
              <w:rPr>
                <w:sz w:val="20"/>
                <w:szCs w:val="20"/>
                <w:color w:val="auto"/>
              </w:rPr>
            </w:pPr>
            <w:r>
              <w:rPr>
                <w:rFonts w:ascii="Arial" w:cs="Arial" w:eastAsia="Arial" w:hAnsi="Arial"/>
                <w:sz w:val="17"/>
                <w:szCs w:val="17"/>
                <w:color w:val="auto"/>
              </w:rPr>
              <w:t>(212) 827-3773</w:t>
            </w: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IMMEDIATE RELEASE</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March 31, 2009</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NN, INC. REPORTS 2008 FOURTH QUARTER AND FULL YEAR RESULTS;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AMENDS AND REVISES CREDIT FACILITY</w:t>
      </w:r>
    </w:p>
    <w:p>
      <w:pPr>
        <w:spacing w:after="0" w:line="227" w:lineRule="exact"/>
        <w:rPr>
          <w:sz w:val="20"/>
          <w:szCs w:val="20"/>
          <w:color w:val="auto"/>
        </w:rPr>
      </w:pPr>
    </w:p>
    <w:p>
      <w:pPr>
        <w:jc w:val="center"/>
        <w:spacing w:after="0" w:line="287" w:lineRule="auto"/>
        <w:rPr>
          <w:sz w:val="20"/>
          <w:szCs w:val="20"/>
          <w:color w:val="auto"/>
        </w:rPr>
      </w:pPr>
      <w:r>
        <w:rPr>
          <w:rFonts w:ascii="Arial" w:cs="Arial" w:eastAsia="Arial" w:hAnsi="Arial"/>
          <w:sz w:val="17"/>
          <w:szCs w:val="17"/>
          <w:b w:val="1"/>
          <w:bCs w:val="1"/>
          <w:color w:val="auto"/>
        </w:rPr>
        <w:t>2008 FOURTH QUARTER AND FULL YEAR RESULTS INCLUDE $45.6 MILLION IN PRE-TAX, $32.2 MILLION IN AFTER-TAX WRITE-OFFS OF GOODWILL AND OTHER INTANGIBLE ASSETS, OTHER TANGIBLE ASSETS, AND RESTRUCTURING COSTS</w:t>
      </w:r>
    </w:p>
    <w:p>
      <w:pPr>
        <w:spacing w:after="0" w:line="200" w:lineRule="exact"/>
        <w:rPr>
          <w:sz w:val="20"/>
          <w:szCs w:val="20"/>
          <w:color w:val="auto"/>
        </w:rPr>
      </w:pP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b w:val="1"/>
          <w:bCs w:val="1"/>
          <w:color w:val="auto"/>
        </w:rPr>
        <w:t xml:space="preserve">Johnson City, Tenn, March 31, 2009 </w:t>
      </w:r>
      <w:r>
        <w:rPr>
          <w:rFonts w:ascii="Arial" w:cs="Arial" w:eastAsia="Arial" w:hAnsi="Arial"/>
          <w:sz w:val="17"/>
          <w:szCs w:val="17"/>
          <w:color w:val="auto"/>
        </w:rPr>
        <w:t>– NN, Inc. (Nasdaq: NNBR) today reported its financial results for the fourth quarter and year ended December 31, 2008. Net</w:t>
      </w:r>
      <w:r>
        <w:rPr>
          <w:rFonts w:ascii="Arial" w:cs="Arial" w:eastAsia="Arial" w:hAnsi="Arial"/>
          <w:sz w:val="17"/>
          <w:szCs w:val="17"/>
          <w:b w:val="1"/>
          <w:bCs w:val="1"/>
          <w:color w:val="auto"/>
        </w:rPr>
        <w:t xml:space="preserve"> </w:t>
      </w:r>
      <w:r>
        <w:rPr>
          <w:rFonts w:ascii="Arial" w:cs="Arial" w:eastAsia="Arial" w:hAnsi="Arial"/>
          <w:sz w:val="17"/>
          <w:szCs w:val="17"/>
          <w:color w:val="auto"/>
        </w:rPr>
        <w:t>sales for the fourth quarter of 2008 were $76.2 million, down $30.8 million or 28.8% from $107.0 million for the same period of 2007. Approximately $30.0 million of the decrease was attributed to the reduced demand for the Company’s products caused by a continued deterioration in global economies and automotive and industrial end markets. Foreign currency translations had an additional negative impact of $5.4 million. These decreases were partially offset by positive pricing, principally as a result of a raw material pass through of $4.6 million.</w:t>
      </w:r>
    </w:p>
    <w:p>
      <w:pPr>
        <w:spacing w:after="0" w:line="204"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During the fourth quarter, the Company recorded non-operating charges of $45.6 million pre-tax, $32.2 million after-tax, or $1.98 per diluted share. These charges are composed of restructuring and impairment charges of $42.1 million pre-tax, $28.1 million after-tax, or $1.73 per diluted share, accelerated depreciation for assets no longer in use (included in depreciation and amortization) of $3.5 million pre-tax, $2.5 million after-tax, or $0.15 per diluted share and an adjustment to deferred tax assets resulting in a negative after-tax impact of $1.7 million or $0.10 per diluted share. The restructuring and impairment charges are as follows:</w:t>
      </w:r>
    </w:p>
    <w:p>
      <w:pPr>
        <w:spacing w:after="0" w:line="173" w:lineRule="exact"/>
        <w:rPr>
          <w:sz w:val="20"/>
          <w:szCs w:val="20"/>
          <w:color w:val="auto"/>
        </w:rPr>
      </w:pPr>
    </w:p>
    <w:p>
      <w:pPr>
        <w:ind w:left="620" w:hanging="126"/>
        <w:spacing w:after="0" w:line="260"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non-cash charge of $30.0 million pre-tax, $19.3 million after-tax, or $1.18 per diluted share, for impairment of goodwill of acquisitions from earlier periods.</w:t>
      </w:r>
    </w:p>
    <w:p>
      <w:pPr>
        <w:ind w:left="620" w:hanging="126"/>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impairment of intangible assets of $5.6 million pre-tax, $3.4 million after-tax, or $0.21 per diluted share.</w:t>
      </w:r>
    </w:p>
    <w:p>
      <w:pPr>
        <w:spacing w:after="0" w:line="11" w:lineRule="exact"/>
        <w:rPr>
          <w:rFonts w:ascii="Arial" w:cs="Arial" w:eastAsia="Arial" w:hAnsi="Arial"/>
          <w:sz w:val="17"/>
          <w:szCs w:val="17"/>
          <w:color w:val="auto"/>
        </w:rPr>
      </w:pPr>
    </w:p>
    <w:p>
      <w:pPr>
        <w:ind w:left="620" w:hanging="126"/>
        <w:spacing w:after="0"/>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impairment of certain fixed assets of $2.8 million pre-tax, $1.7 million after-tax, or $0.11 per diluted share.</w:t>
      </w:r>
    </w:p>
    <w:p>
      <w:pPr>
        <w:spacing w:after="0" w:line="11" w:lineRule="exact"/>
        <w:rPr>
          <w:rFonts w:ascii="Arial" w:cs="Arial" w:eastAsia="Arial" w:hAnsi="Arial"/>
          <w:sz w:val="17"/>
          <w:szCs w:val="17"/>
          <w:color w:val="auto"/>
        </w:rPr>
      </w:pPr>
    </w:p>
    <w:p>
      <w:pPr>
        <w:ind w:left="620" w:hanging="126"/>
        <w:spacing w:after="0" w:line="298"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Cash restructuring charges of $2.2 million pre-tax, $2.2 million after-tax or $0.14 per diluted share related to the previously announced closure of the Kilkenny, Ireland plant and non-cash impairment of the Kilkenny plant assets of $1.4 million pre-tax, $1.4 million after-tax, or $0.09 per diluted share.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p>
      <w:pPr>
        <w:ind w:right="60"/>
        <w:spacing w:after="0" w:line="256" w:lineRule="auto"/>
        <w:rPr>
          <w:sz w:val="20"/>
          <w:szCs w:val="20"/>
          <w:color w:val="auto"/>
        </w:rPr>
      </w:pPr>
      <w:r>
        <w:rPr>
          <w:rFonts w:ascii="Arial" w:cs="Arial" w:eastAsia="Arial" w:hAnsi="Arial"/>
          <w:sz w:val="17"/>
          <w:szCs w:val="17"/>
          <w:color w:val="auto"/>
        </w:rPr>
        <w:t>Including all of the non-operating charges mentioned above, the net loss for the fourth quarter of 2008 was $34.9 million, or $2.14 per diluted share as compared to net income of $5.0 million, or $0.31 per diluted share for the same period in 2007. Excluding the non-operating items, the net loss for the fourth quarter was $2.6 million, or $0.16 per diluted share as compared to net income of $4.0 million, or $0.24 per diluted share for the fourth quarter of 2007 which excludes the reversal of restructuring costs of $1.1 million pre-tax, $1.1 million after-tax or $0.07 per diluted share.</w:t>
      </w:r>
    </w:p>
    <w:p>
      <w:pPr>
        <w:spacing w:after="0" w:line="3" w:lineRule="exact"/>
        <w:rPr>
          <w:sz w:val="20"/>
          <w:szCs w:val="20"/>
          <w:color w:val="auto"/>
        </w:rPr>
      </w:pPr>
    </w:p>
    <w:p>
      <w:pPr>
        <w:jc w:val="both"/>
        <w:ind w:right="320"/>
        <w:spacing w:after="0" w:line="260" w:lineRule="auto"/>
        <w:rPr>
          <w:sz w:val="20"/>
          <w:szCs w:val="20"/>
          <w:color w:val="auto"/>
        </w:rPr>
      </w:pPr>
      <w:r>
        <w:rPr>
          <w:rFonts w:ascii="Arial" w:cs="Arial" w:eastAsia="Arial" w:hAnsi="Arial"/>
          <w:sz w:val="17"/>
          <w:szCs w:val="17"/>
          <w:color w:val="auto"/>
        </w:rPr>
        <w:t>Net sales for the full year 2008 were $424.8 million, up $3.5 million or 0.8% compared to $421.3 million for 2007. Favorable currency translation accounted for $17.5 million and raw material pass through and price increases accounted for $8.5 million of the increase. Offsetting these positive factors was the net negative impact of reduced demand for the Company’s products in the fourth quarter.</w:t>
      </w:r>
    </w:p>
    <w:p>
      <w:pPr>
        <w:spacing w:after="0" w:line="20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Net loss for the full year of 2008 was $17.6 million, or $1.11 per diluted share as compared to a net loss of $1.2 million, or $0.07 per diluted share for the full year of 2007. Net income for the full year 2008, excluding non-operating items, was $10.5 million, or $0.66 per diluted share. The non-operating items for 2008 include the above items and other non-operating items from the second quarter of 2008 which include the after-tax gain on the sale of surplus land in the Netherlands of $3.0 million or $.19 per diluted share and a one-time positive tax adjustment of $1.1 million, or $0.07 per diluted share related to a change in Italian tax law. This compares to net income, excluding non-operating items for the full year of 2007 of $12.4 million, or $0.74 per diluted share which excludes $13.6 million, or $0.81 per diluted share of impairment charges due mainly to the restructuring of our European operations discussed above.</w:t>
      </w:r>
    </w:p>
    <w:p>
      <w:pPr>
        <w:spacing w:after="0" w:line="193"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As a percentage of net sales, cost of products sold was 88.1% in the fourth quarter of 2008 compared to 80.1% in the fourth quarter of 2007, reflecting the de-leveraging impact of the sudden reduction in revenue experienced in the fourth quarter of 2008. For the full year 2008 and 2007, cost of products sold as a percentage of net sales was 81.1% and 80.0%, respectively.</w:t>
      </w:r>
    </w:p>
    <w:p>
      <w:pPr>
        <w:spacing w:after="0" w:line="202"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Selling, general and administrative expenses for the fourth quarter of 2008 were $6.1 million, or 8.0% of net sales as compared to $9.1 million, or 8.5% for the same period in 2007. The decrease was mainly due to a reduction in salaries and the elimination of discretionary spending. For the full year 2008, selling, general and administrative expenses were $36.1 million or 8.5% of net sales as compared to $36.5 million, or 8.7% of net sales in 2007.</w:t>
      </w:r>
    </w:p>
    <w:p>
      <w:pPr>
        <w:spacing w:after="0" w:line="202"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James H. Dorton, Vice President and Chief Financial Officer, commented, “Since we reported record revenues and earnings for the first nine months of 2008, the global business environment has deteriorated significantly. In response, we immediately began to take action and announced the following initiatives to protect our liquidity position and enhance our cash flow:</w:t>
      </w:r>
    </w:p>
    <w:p>
      <w:pPr>
        <w:spacing w:after="0" w:line="202" w:lineRule="exact"/>
        <w:rPr>
          <w:sz w:val="20"/>
          <w:szCs w:val="20"/>
          <w:color w:val="auto"/>
        </w:rPr>
      </w:pPr>
    </w:p>
    <w:p>
      <w:pPr>
        <w:ind w:left="620" w:hanging="126"/>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closing of our Kilkenny Ireland operating facility;</w:t>
      </w:r>
    </w:p>
    <w:p>
      <w:pPr>
        <w:spacing w:after="0" w:line="21" w:lineRule="exact"/>
        <w:rPr>
          <w:rFonts w:ascii="Arial" w:cs="Arial" w:eastAsia="Arial" w:hAnsi="Arial"/>
          <w:sz w:val="17"/>
          <w:szCs w:val="17"/>
          <w:color w:val="auto"/>
        </w:rPr>
      </w:pPr>
    </w:p>
    <w:p>
      <w:pPr>
        <w:ind w:left="620" w:hanging="126"/>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closing of our Hamilton Ohio operating facility;</w:t>
      </w:r>
    </w:p>
    <w:p>
      <w:pPr>
        <w:spacing w:after="0" w:line="11" w:lineRule="exact"/>
        <w:rPr>
          <w:rFonts w:ascii="Arial" w:cs="Arial" w:eastAsia="Arial" w:hAnsi="Arial"/>
          <w:sz w:val="17"/>
          <w:szCs w:val="17"/>
          <w:color w:val="auto"/>
        </w:rPr>
      </w:pPr>
    </w:p>
    <w:p>
      <w:pPr>
        <w:ind w:left="620" w:hanging="126"/>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temporary suspension of our regular quarterly dividend;</w:t>
      </w:r>
    </w:p>
    <w:p>
      <w:pPr>
        <w:spacing w:after="0" w:line="11" w:lineRule="exact"/>
        <w:rPr>
          <w:rFonts w:ascii="Arial" w:cs="Arial" w:eastAsia="Arial" w:hAnsi="Arial"/>
          <w:sz w:val="17"/>
          <w:szCs w:val="17"/>
          <w:color w:val="auto"/>
        </w:rPr>
      </w:pPr>
    </w:p>
    <w:p>
      <w:pPr>
        <w:ind w:left="620" w:hanging="126"/>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reduction of more than 25% of our global employment;</w:t>
      </w:r>
    </w:p>
    <w:p>
      <w:pPr>
        <w:spacing w:after="0" w:line="11" w:lineRule="exact"/>
        <w:rPr>
          <w:rFonts w:ascii="Arial" w:cs="Arial" w:eastAsia="Arial" w:hAnsi="Arial"/>
          <w:sz w:val="17"/>
          <w:szCs w:val="17"/>
          <w:color w:val="auto"/>
        </w:rPr>
      </w:pPr>
    </w:p>
    <w:p>
      <w:pPr>
        <w:ind w:left="620" w:hanging="126"/>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reduction of capital expenditures;</w:t>
      </w:r>
    </w:p>
    <w:p>
      <w:pPr>
        <w:spacing w:after="0" w:line="11" w:lineRule="exact"/>
        <w:rPr>
          <w:rFonts w:ascii="Arial" w:cs="Arial" w:eastAsia="Arial" w:hAnsi="Arial"/>
          <w:sz w:val="17"/>
          <w:szCs w:val="17"/>
          <w:color w:val="auto"/>
        </w:rPr>
      </w:pPr>
    </w:p>
    <w:p>
      <w:pPr>
        <w:ind w:left="620" w:hanging="126"/>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elimination of all discretionary spending and</w:t>
      </w:r>
    </w:p>
    <w:p>
      <w:pPr>
        <w:spacing w:after="0" w:line="11" w:lineRule="exact"/>
        <w:rPr>
          <w:rFonts w:ascii="Arial" w:cs="Arial" w:eastAsia="Arial" w:hAnsi="Arial"/>
          <w:sz w:val="17"/>
          <w:szCs w:val="17"/>
          <w:color w:val="auto"/>
        </w:rPr>
      </w:pPr>
    </w:p>
    <w:p>
      <w:pPr>
        <w:ind w:left="620" w:hanging="126"/>
        <w:spacing w:after="0" w:line="267"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reductions in salaries and fees of between 10% and 20% for our board of directors, executive officers and all salaried employees throughout the organization.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spacing w:after="0" w:line="280" w:lineRule="auto"/>
        <w:rPr>
          <w:sz w:val="20"/>
          <w:szCs w:val="20"/>
          <w:color w:val="auto"/>
        </w:rPr>
      </w:pPr>
      <w:r>
        <w:rPr>
          <w:rFonts w:ascii="Arial" w:cs="Arial" w:eastAsia="Arial" w:hAnsi="Arial"/>
          <w:sz w:val="17"/>
          <w:szCs w:val="17"/>
          <w:color w:val="auto"/>
        </w:rPr>
        <w:t>These measures allowed us to remain cash flow positive for the fourth quarter and to pay down approximately $13.2 million in debt for the quarter and approximately $13.7 million in debt for the year.”</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Mr. Dorton continued, “On March 13, 2009, we revised and amended our current revolving credit facility with Key Bank as the administrative agent. At that time, we also amended the terms of the agreement of our $40.0 million private placement notes. These facilities were amended to change certain financial covenants to reflect the current economic and business conditions and to assure the availability of credit for NN. The $90 million revised syndicated credit agreement which expires in September 2011 provides for the borrowing of available funds by the Company’s domestic and European subsidiaries and is collateralized by assets of the Company in addition to pledges of stock and guarantees of our domestic and foreign subsidiaries. The loan agreements contain customary covenants including restrictions on payments for dividends, capital expenditures and stock repurchases. The revolving loan agreement carries an interest rate of LIBOR plus 4% and the private placement notes carry an interest rate of 8.5%. ”</w:t>
      </w: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Mr. Roderick Baty, Chairman and Chief Executive Officer</w:t>
      </w:r>
      <w:r>
        <w:rPr>
          <w:rFonts w:ascii="Arial" w:cs="Arial" w:eastAsia="Arial" w:hAnsi="Arial"/>
          <w:sz w:val="17"/>
          <w:szCs w:val="17"/>
          <w:b w:val="1"/>
          <w:bCs w:val="1"/>
          <w:color w:val="auto"/>
        </w:rPr>
        <w:t>,</w:t>
      </w:r>
      <w:r>
        <w:rPr>
          <w:rFonts w:ascii="Arial" w:cs="Arial" w:eastAsia="Arial" w:hAnsi="Arial"/>
          <w:sz w:val="17"/>
          <w:szCs w:val="17"/>
          <w:color w:val="auto"/>
        </w:rPr>
        <w:t xml:space="preserve"> commented, “For the first nine months of 2008, we experienced strong customer demand in industrial end markets in both North America and Europe. Improved operating performance at our Whirlaway Ohio, Slovakia and China facilities began to positively affect financial results. During the same time, our Level 3 program continued to deliver excellent cost reduction results to the bottom line. As a result, our core Metal Bearing Components operations in both the U.S. and Europe recorded excellent results for the nine month period which exceeded our beginning of the year forecast for both revenue and earnings. In September we experienced an abrupt and major reduction in customer demand in Europe as the result of a continued deterioration in global economies and automotive and industrial end markets. As a result, the fourth quarter proved to be very challenging for both us and our industry. We expect these conditions to continue well into 2009 and we will continue to take the necessary steps to manage through this difficult period. We are focusing our efforts on cash flow management and maximization which will insure we protect the strength of our balance sheet and the financial flexibility to operate effectively with an expected lower level of business.”</w:t>
      </w:r>
    </w:p>
    <w:p>
      <w:pPr>
        <w:spacing w:after="0" w:line="213"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Mr. Baty, concluded, “Given the current uncertainty of the global economy and the resulting lack of visibility regarding the future demand outlook, it is extremely difficult to provide meaningful earnings guidance. Therefore, we are currently unable to provide revenue or earnings guidance for 2009. We can say that that during the first quarter of 2009 we have experienced a dramatic reduction in demand compared to the first quarter of 2008. Revenue in the first quarter of 2009 is also expected to be significantly lower than the level of revenue we reported in the fourth quarter of 2008.”</w:t>
      </w:r>
    </w:p>
    <w:p>
      <w:pPr>
        <w:spacing w:after="0" w:line="200" w:lineRule="exact"/>
        <w:rPr>
          <w:sz w:val="20"/>
          <w:szCs w:val="20"/>
          <w:color w:val="auto"/>
        </w:rPr>
      </w:pPr>
    </w:p>
    <w:p>
      <w:pPr>
        <w:spacing w:after="0" w:line="23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NN, Inc. manufacturers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and China. NN, Inc. had sales of US $421 million in 2007.</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diluted share amounts)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00" w:type="dxa"/>
            <w:vAlign w:val="bottom"/>
          </w:tcPr>
          <w:p>
            <w:pPr>
              <w:jc w:val="right"/>
              <w:ind w:right="154"/>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gridSpan w:val="8"/>
          </w:tcPr>
          <w:p>
            <w:pPr>
              <w:jc w:val="right"/>
              <w:ind w:right="20"/>
              <w:spacing w:after="0"/>
              <w:rPr>
                <w:sz w:val="20"/>
                <w:szCs w:val="20"/>
                <w:color w:val="auto"/>
              </w:rPr>
            </w:pPr>
            <w:r>
              <w:rPr>
                <w:rFonts w:ascii="Arial" w:cs="Arial" w:eastAsia="Arial" w:hAnsi="Arial"/>
                <w:sz w:val="17"/>
                <w:szCs w:val="17"/>
                <w:b w:val="1"/>
                <w:bCs w:val="1"/>
                <w:color w:val="auto"/>
              </w:rPr>
              <w:t>Three Months Ended</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ind w:left="20"/>
              <w:spacing w:after="0"/>
              <w:rPr>
                <w:sz w:val="20"/>
                <w:szCs w:val="20"/>
                <w:color w:val="auto"/>
              </w:rPr>
            </w:pPr>
            <w:r>
              <w:rPr>
                <w:rFonts w:ascii="Arial" w:cs="Arial" w:eastAsia="Arial" w:hAnsi="Arial"/>
                <w:sz w:val="17"/>
                <w:szCs w:val="17"/>
                <w:b w:val="1"/>
                <w:bCs w:val="1"/>
                <w:color w:val="auto"/>
                <w:w w:val="90"/>
              </w:rPr>
              <w:t>Twelve Months</w:t>
            </w:r>
          </w:p>
        </w:tc>
        <w:tc>
          <w:tcPr>
            <w:tcW w:w="0" w:type="dxa"/>
            <w:vAlign w:val="bottom"/>
          </w:tcPr>
          <w:p>
            <w:pPr>
              <w:spacing w:after="0"/>
              <w:rPr>
                <w:sz w:val="1"/>
                <w:szCs w:val="1"/>
                <w:color w:val="auto"/>
              </w:rPr>
            </w:pPr>
          </w:p>
        </w:tc>
      </w:tr>
      <w:tr>
        <w:trPr>
          <w:trHeight w:val="223"/>
        </w:trPr>
        <w:tc>
          <w:tcPr>
            <w:tcW w:w="68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w w:val="84"/>
              </w:rPr>
              <w:t>31,</w:t>
            </w:r>
          </w:p>
        </w:tc>
        <w:tc>
          <w:tcPr>
            <w:tcW w:w="480" w:type="dxa"/>
            <w:vAlign w:val="bottom"/>
          </w:tcPr>
          <w:p>
            <w:pPr>
              <w:spacing w:after="0"/>
              <w:rPr>
                <w:sz w:val="19"/>
                <w:szCs w:val="19"/>
                <w:color w:val="auto"/>
              </w:rPr>
            </w:pPr>
          </w:p>
        </w:tc>
        <w:tc>
          <w:tcPr>
            <w:tcW w:w="3960" w:type="dxa"/>
            <w:vAlign w:val="bottom"/>
            <w:vMerge w:val="restart"/>
          </w:tcPr>
          <w:p>
            <w:pPr>
              <w:ind w:left="700"/>
              <w:spacing w:after="0"/>
              <w:rPr>
                <w:sz w:val="20"/>
                <w:szCs w:val="20"/>
                <w:color w:val="auto"/>
              </w:rPr>
            </w:pPr>
            <w:r>
              <w:rPr>
                <w:rFonts w:ascii="Arial" w:cs="Arial" w:eastAsia="Arial" w:hAnsi="Arial"/>
                <w:sz w:val="17"/>
                <w:szCs w:val="17"/>
                <w:b w:val="1"/>
                <w:bCs w:val="1"/>
                <w:color w:val="auto"/>
              </w:rPr>
              <w:t>December 31,</w:t>
            </w:r>
          </w:p>
        </w:tc>
        <w:tc>
          <w:tcPr>
            <w:tcW w:w="1820" w:type="dxa"/>
            <w:vAlign w:val="bottom"/>
            <w:gridSpan w:val="3"/>
          </w:tcPr>
          <w:p>
            <w:pPr>
              <w:jc w:val="right"/>
              <w:ind w:right="374"/>
              <w:spacing w:after="0"/>
              <w:rPr>
                <w:sz w:val="20"/>
                <w:szCs w:val="20"/>
                <w:color w:val="auto"/>
              </w:rPr>
            </w:pPr>
            <w:r>
              <w:rPr>
                <w:rFonts w:ascii="Arial" w:cs="Arial" w:eastAsia="Arial" w:hAnsi="Arial"/>
                <w:sz w:val="17"/>
                <w:szCs w:val="17"/>
                <w:b w:val="1"/>
                <w:bCs w:val="1"/>
                <w:color w:val="auto"/>
              </w:rPr>
              <w:t>&amp; #160;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4"/>
          </w:tcPr>
          <w:p>
            <w:pPr>
              <w:jc w:val="right"/>
              <w:ind w:right="180"/>
              <w:spacing w:after="0"/>
              <w:rPr>
                <w:sz w:val="20"/>
                <w:szCs w:val="20"/>
                <w:color w:val="auto"/>
              </w:rPr>
            </w:pPr>
            <w:r>
              <w:rPr>
                <w:rFonts w:ascii="Arial" w:cs="Arial" w:eastAsia="Arial" w:hAnsi="Arial"/>
                <w:sz w:val="17"/>
                <w:szCs w:val="17"/>
                <w:b w:val="1"/>
                <w:bCs w:val="1"/>
                <w:color w:val="auto"/>
              </w:rPr>
              <w:t>December</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7"/>
                <w:szCs w:val="17"/>
                <w:color w:val="auto"/>
              </w:rPr>
              <w:t>2008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vMerge w:val="restart"/>
          </w:tcPr>
          <w:p>
            <w:pPr>
              <w:jc w:val="right"/>
              <w:ind w:right="194"/>
              <w:spacing w:after="0"/>
              <w:rPr>
                <w:sz w:val="20"/>
                <w:szCs w:val="20"/>
                <w:color w:val="auto"/>
              </w:rPr>
            </w:pPr>
            <w:r>
              <w:rPr>
                <w:rFonts w:ascii="Arial" w:cs="Arial" w:eastAsia="Arial" w:hAnsi="Arial"/>
                <w:sz w:val="17"/>
                <w:szCs w:val="17"/>
                <w:color w:val="auto"/>
              </w:rPr>
              <w:t>2007</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480" w:type="dxa"/>
            <w:vAlign w:val="bottom"/>
            <w:vMerge w:val="restart"/>
          </w:tcPr>
          <w:p>
            <w:pPr>
              <w:spacing w:after="0"/>
              <w:rPr>
                <w:sz w:val="17"/>
                <w:szCs w:val="17"/>
                <w:color w:val="auto"/>
              </w:rPr>
            </w:pPr>
          </w:p>
        </w:tc>
        <w:tc>
          <w:tcPr>
            <w:tcW w:w="3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76,189</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107,027</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424,837</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421,294</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960" w:type="dxa"/>
            <w:vAlign w:val="bottom"/>
          </w:tcPr>
          <w:p>
            <w:pPr>
              <w:spacing w:after="0" w:line="194" w:lineRule="exact"/>
              <w:rPr>
                <w:sz w:val="20"/>
                <w:szCs w:val="20"/>
                <w:color w:val="auto"/>
              </w:rPr>
            </w:pPr>
            <w:r>
              <w:rPr>
                <w:rFonts w:ascii="Arial" w:cs="Arial" w:eastAsia="Arial" w:hAnsi="Arial"/>
                <w:sz w:val="17"/>
                <w:szCs w:val="17"/>
                <w:color w:val="auto"/>
              </w:rPr>
              <w:t>Cost of products sold (exclusive of</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7"/>
                <w:szCs w:val="17"/>
                <w:color w:val="auto"/>
              </w:rPr>
              <w:t>depreciation shown separately below)</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67,159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85,748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344,685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337,024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6,116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36,473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9,097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6,045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27,981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22,996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(Gain)Loss on disposal of assets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(4,138)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Arial" w:cs="Arial" w:eastAsia="Arial" w:hAnsi="Arial"/>
                <w:sz w:val="17"/>
                <w:szCs w:val="17"/>
                <w:color w:val="auto"/>
              </w:rPr>
              <w:t>Restructuring and impairment costs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42,065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(1,062)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42,065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13,636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(48,263)</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(21,824)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11,236</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(850)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(386)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Arial" w:cs="Arial" w:eastAsia="Arial" w:hAnsi="Arial"/>
                <w:sz w:val="17"/>
                <w:szCs w:val="17"/>
                <w:color w:val="auto"/>
              </w:rPr>
              <w:t>Income (Loss) before provision for income taxes</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(49,358)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5,961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(26,177)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5,249</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(14,494)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(8,535)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(34,864)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5,039</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(17,642)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(1,173)</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income(Loss) per common share</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(0.07)</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diluted shares</w:t>
            </w: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16,268</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16,280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15,895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16,749</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3"/>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900" w:type="dxa"/>
            <w:vAlign w:val="bottom"/>
          </w:tcPr>
          <w:p>
            <w:pPr>
              <w:jc w:val="right"/>
              <w:ind w:right="174"/>
              <w:spacing w:after="0"/>
              <w:rPr>
                <w:sz w:val="20"/>
                <w:szCs w:val="20"/>
                <w:color w:val="auto"/>
              </w:rPr>
            </w:pPr>
            <w:r>
              <w:rPr>
                <w:rFonts w:ascii="Arial" w:cs="Arial" w:eastAsia="Arial" w:hAnsi="Arial"/>
                <w:sz w:val="17"/>
                <w:szCs w:val="17"/>
                <w:color w:val="auto"/>
              </w:rPr>
              <w:t>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 w:name="page8"/>
    <w:bookmarkEnd w:id="7"/>
    <w:p>
      <w:pPr>
        <w:ind w:left="4260"/>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Condensed Balance Sheets</w:t>
      </w:r>
    </w:p>
    <w:p>
      <w:pPr>
        <w:spacing w:after="0" w:line="11"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00" w:type="dxa"/>
            <w:vAlign w:val="bottom"/>
            <w:gridSpan w:val="2"/>
          </w:tcPr>
          <w:p>
            <w:pPr>
              <w:jc w:val="right"/>
              <w:ind w:right="14"/>
              <w:spacing w:after="0"/>
              <w:rPr>
                <w:sz w:val="20"/>
                <w:szCs w:val="20"/>
                <w:color w:val="auto"/>
              </w:rPr>
            </w:pPr>
            <w:r>
              <w:rPr>
                <w:rFonts w:ascii="Arial" w:cs="Arial" w:eastAsia="Arial" w:hAnsi="Arial"/>
                <w:sz w:val="17"/>
                <w:szCs w:val="17"/>
                <w:b w:val="1"/>
                <w:bCs w:val="1"/>
                <w:color w:val="auto"/>
                <w:w w:val="94"/>
              </w:rPr>
              <w:t>December</w:t>
            </w:r>
          </w:p>
        </w:tc>
        <w:tc>
          <w:tcPr>
            <w:tcW w:w="18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274"/>
              <w:spacing w:after="0"/>
              <w:rPr>
                <w:sz w:val="20"/>
                <w:szCs w:val="20"/>
                <w:color w:val="auto"/>
              </w:rPr>
            </w:pPr>
            <w:r>
              <w:rPr>
                <w:rFonts w:ascii="Arial" w:cs="Arial" w:eastAsia="Arial" w:hAnsi="Arial"/>
                <w:sz w:val="17"/>
                <w:szCs w:val="17"/>
                <w:b w:val="1"/>
                <w:bCs w:val="1"/>
                <w:color w:val="auto"/>
              </w:rPr>
              <w:t>31,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74"/>
              <w:spacing w:after="0"/>
              <w:rPr>
                <w:sz w:val="20"/>
                <w:szCs w:val="20"/>
                <w:color w:val="auto"/>
              </w:rPr>
            </w:pPr>
            <w:r>
              <w:rPr>
                <w:rFonts w:ascii="Arial" w:cs="Arial" w:eastAsia="Arial" w:hAnsi="Arial"/>
                <w:sz w:val="17"/>
                <w:szCs w:val="17"/>
                <w:b w:val="1"/>
                <w:bCs w:val="1"/>
                <w:color w:val="auto"/>
              </w:rPr>
              <w:t>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b w:val="1"/>
                <w:bCs w:val="1"/>
                <w:color w:val="auto"/>
              </w:rPr>
              <w:t>2008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4920" w:type="dxa"/>
            <w:vAlign w:val="bottom"/>
            <w:gridSpan w:val="2"/>
          </w:tcPr>
          <w:p>
            <w:pPr>
              <w:spacing w:after="0"/>
              <w:rPr>
                <w:sz w:val="20"/>
                <w:szCs w:val="20"/>
                <w:color w:val="auto"/>
              </w:rPr>
            </w:pPr>
            <w:r>
              <w:rPr>
                <w:rFonts w:ascii="Arial" w:cs="Arial" w:eastAsia="Arial" w:hAnsi="Arial"/>
                <w:sz w:val="17"/>
                <w:szCs w:val="17"/>
                <w:color w:val="auto"/>
              </w:rPr>
              <w:t>Assets</w:t>
            </w:r>
          </w:p>
        </w:tc>
        <w:tc>
          <w:tcPr>
            <w:tcW w:w="2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92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11,052</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50,484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65,566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53,173</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Other current assets</w:t>
            </w:r>
          </w:p>
        </w:tc>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9,912</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current assets</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124,621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138,024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145,690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161,008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Goodwill and intangible assets, net</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11,006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48,750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assets</w:t>
            </w:r>
          </w:p>
        </w:tc>
        <w:tc>
          <w:tcPr>
            <w:tcW w:w="2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2,296</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ind w:left="120"/>
              <w:spacing w:after="0"/>
              <w:rPr>
                <w:sz w:val="20"/>
                <w:szCs w:val="20"/>
                <w:color w:val="auto"/>
              </w:rPr>
            </w:pPr>
            <w:r>
              <w:rPr>
                <w:rFonts w:ascii="Arial" w:cs="Arial" w:eastAsia="Arial" w:hAnsi="Arial"/>
                <w:sz w:val="17"/>
                <w:szCs w:val="17"/>
                <w:color w:val="auto"/>
              </w:rPr>
              <w:t>Total assets</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284,040</w:t>
            </w:r>
          </w:p>
        </w:tc>
        <w:tc>
          <w:tcPr>
            <w:tcW w:w="3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350,078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Liabilities and Stockholders’ Equity</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Accounts payable</w:t>
            </w:r>
          </w:p>
        </w:tc>
        <w:tc>
          <w:tcPr>
            <w:tcW w:w="2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39,415</w:t>
            </w:r>
          </w:p>
        </w:tc>
        <w:tc>
          <w:tcPr>
            <w:tcW w:w="360" w:type="dxa"/>
            <w:vAlign w:val="bottom"/>
            <w:gridSpan w:val="2"/>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51,124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Accrued salaries and wages</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6,916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11,851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2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tcPr>
          <w:p>
            <w:pPr>
              <w:ind w:left="120"/>
              <w:spacing w:after="0"/>
              <w:rPr>
                <w:sz w:val="20"/>
                <w:szCs w:val="20"/>
                <w:color w:val="auto"/>
              </w:rPr>
            </w:pPr>
            <w:r>
              <w:rPr>
                <w:rFonts w:ascii="Arial" w:cs="Arial" w:eastAsia="Arial" w:hAnsi="Arial"/>
                <w:sz w:val="17"/>
                <w:szCs w:val="17"/>
                <w:color w:val="auto"/>
              </w:rPr>
              <w:t>Total current liabilities</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63,355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84,256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Deferred income taxes</w:t>
            </w: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4,939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18,682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Long-term notes payable</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90,172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100,193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Other</w:t>
            </w:r>
          </w:p>
        </w:tc>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15,815</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174,281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220,035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2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109,759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130,043</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284,040</w:t>
            </w:r>
          </w:p>
        </w:tc>
        <w:tc>
          <w:tcPr>
            <w:tcW w:w="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78105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140"/>
          </w:cols>
          <w:pgMar w:left="1380" w:top="495" w:right="137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NN, Inc.</w:t>
      </w:r>
    </w:p>
    <w:p>
      <w:pPr>
        <w:spacing w:after="0" w:line="28"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Reconciliation of Non-GAAP to GAAP Financial Measures</w:t>
      </w:r>
    </w:p>
    <w:p>
      <w:pPr>
        <w:spacing w:after="0" w:line="11" w:lineRule="exact"/>
        <w:rPr>
          <w:sz w:val="20"/>
          <w:szCs w:val="20"/>
          <w:color w:val="auto"/>
        </w:rPr>
      </w:pPr>
    </w:p>
    <w:p>
      <w:pPr>
        <w:jc w:val="center"/>
        <w:ind w:right="-1139"/>
        <w:spacing w:after="0"/>
        <w:rPr>
          <w:sz w:val="20"/>
          <w:szCs w:val="20"/>
          <w:color w:val="auto"/>
        </w:rPr>
      </w:pPr>
      <w:r>
        <w:rPr>
          <w:rFonts w:ascii="Arial" w:cs="Arial" w:eastAsia="Arial" w:hAnsi="Arial"/>
          <w:sz w:val="17"/>
          <w:szCs w:val="17"/>
          <w:b w:val="1"/>
          <w:bCs w:val="1"/>
          <w:color w:val="auto"/>
        </w:rPr>
        <w:t>(Unaudited)</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5"/>
          </w:tcPr>
          <w:p>
            <w:pPr>
              <w:jc w:val="right"/>
              <w:ind w:right="340"/>
              <w:spacing w:after="0"/>
              <w:rPr>
                <w:sz w:val="20"/>
                <w:szCs w:val="20"/>
                <w:color w:val="auto"/>
              </w:rPr>
            </w:pPr>
            <w:r>
              <w:rPr>
                <w:rFonts w:ascii="Arial" w:cs="Arial" w:eastAsia="Arial" w:hAnsi="Arial"/>
                <w:sz w:val="17"/>
                <w:szCs w:val="17"/>
                <w:b w:val="1"/>
                <w:bCs w:val="1"/>
                <w:color w:val="auto"/>
                <w:w w:val="96"/>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jc w:val="right"/>
              <w:ind w:right="64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5"/>
          </w:tcPr>
          <w:p>
            <w:pPr>
              <w:jc w:val="right"/>
              <w:ind w:right="420"/>
              <w:spacing w:after="0"/>
              <w:rPr>
                <w:sz w:val="20"/>
                <w:szCs w:val="20"/>
                <w:color w:val="auto"/>
              </w:rPr>
            </w:pPr>
            <w:r>
              <w:rPr>
                <w:rFonts w:ascii="Arial" w:cs="Arial" w:eastAsia="Arial" w:hAnsi="Arial"/>
                <w:sz w:val="17"/>
                <w:szCs w:val="17"/>
                <w:b w:val="1"/>
                <w:bCs w:val="1"/>
                <w:color w:val="auto"/>
              </w:rPr>
              <w:t>December 31, 2008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jc w:val="right"/>
              <w:ind w:right="380"/>
              <w:spacing w:after="0"/>
              <w:rPr>
                <w:sz w:val="20"/>
                <w:szCs w:val="20"/>
                <w:color w:val="auto"/>
              </w:rPr>
            </w:pPr>
            <w:r>
              <w:rPr>
                <w:rFonts w:ascii="Arial" w:cs="Arial" w:eastAsia="Arial" w:hAnsi="Arial"/>
                <w:sz w:val="17"/>
                <w:szCs w:val="17"/>
                <w:b w:val="1"/>
                <w:bCs w:val="1"/>
                <w:color w:val="auto"/>
                <w:w w:val="96"/>
              </w:rPr>
              <w:t>December 31, 2008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Diluted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7"/>
              </w:rPr>
              <w:t>Diluted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In</w:t>
            </w: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Earnings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Earnings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2"/>
              </w:rPr>
              <w:t>Thousands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0"/>
              </w:rPr>
              <w:t>Per share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0"/>
              </w:rPr>
              <w:t>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7"/>
              </w:rPr>
              <w:t>Per share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(34,864)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w:t>
            </w:r>
          </w:p>
        </w:tc>
        <w:tc>
          <w:tcPr>
            <w:tcW w:w="2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(17,642)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After-tax impairment of goodwill</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19,258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19,258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After-tax impairment of other intangible assets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3,448</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After-tax write-off of tangible assets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1,696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After-tax restructuring costs for plant closing</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After-tax impairment of assets of closed plant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1,447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1,447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After-tax adjustment to deferred taxes</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w w:val="97"/>
              </w:rPr>
              <w:t>After-tax accelerated depreciation for assets no longer in use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2,488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2,488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0.16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After-tax gain on sale of land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(2,995)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After-tax Italian tax adjustment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(1,142)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Net income excluding restructuring and impairment costs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(0.16)</w:t>
            </w:r>
          </w:p>
        </w:tc>
        <w:tc>
          <w:tcPr>
            <w:tcW w:w="2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10,468</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gridSpan w:val="5"/>
          </w:tcPr>
          <w:p>
            <w:pPr>
              <w:jc w:val="right"/>
              <w:ind w:right="40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jc w:val="right"/>
              <w:ind w:right="680"/>
              <w:spacing w:after="0"/>
              <w:rPr>
                <w:sz w:val="20"/>
                <w:szCs w:val="20"/>
                <w:color w:val="auto"/>
              </w:rPr>
            </w:pPr>
            <w:r>
              <w:rPr>
                <w:rFonts w:ascii="Arial" w:cs="Arial" w:eastAsia="Arial" w:hAnsi="Arial"/>
                <w:sz w:val="17"/>
                <w:szCs w:val="17"/>
                <w:color w:val="auto"/>
              </w:rPr>
              <w:t>Year Ended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gridSpan w:val="5"/>
          </w:tcPr>
          <w:p>
            <w:pPr>
              <w:jc w:val="right"/>
              <w:ind w:right="440"/>
              <w:spacing w:after="0"/>
              <w:rPr>
                <w:sz w:val="20"/>
                <w:szCs w:val="20"/>
                <w:color w:val="auto"/>
              </w:rPr>
            </w:pPr>
            <w:r>
              <w:rPr>
                <w:rFonts w:ascii="Arial" w:cs="Arial" w:eastAsia="Arial" w:hAnsi="Arial"/>
                <w:sz w:val="17"/>
                <w:szCs w:val="17"/>
                <w:color w:val="auto"/>
              </w:rPr>
              <w:t>December 31, 2007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6"/>
          </w:tcPr>
          <w:p>
            <w:pPr>
              <w:jc w:val="right"/>
              <w:ind w:right="400"/>
              <w:spacing w:after="0"/>
              <w:rPr>
                <w:sz w:val="20"/>
                <w:szCs w:val="20"/>
                <w:color w:val="auto"/>
              </w:rPr>
            </w:pPr>
            <w:r>
              <w:rPr>
                <w:rFonts w:ascii="Arial" w:cs="Arial" w:eastAsia="Arial" w:hAnsi="Arial"/>
                <w:sz w:val="17"/>
                <w:szCs w:val="17"/>
                <w:color w:val="auto"/>
                <w:w w:val="97"/>
              </w:rPr>
              <w:t>December 31, 2007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Diluted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Diluted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7"/>
                <w:szCs w:val="17"/>
                <w:color w:val="auto"/>
              </w:rPr>
              <w:t>In</w:t>
            </w: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Earnings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7"/>
                <w:szCs w:val="17"/>
                <w:color w:val="auto"/>
              </w:rPr>
              <w:t>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Earnings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5"/>
              </w:rPr>
              <w:t>Thousands</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86"/>
              </w:rPr>
              <w:t>Per share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7"/>
                <w:szCs w:val="17"/>
                <w:color w:val="auto"/>
                <w:w w:val="92"/>
              </w:rPr>
              <w:t>Thousands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86"/>
              </w:rPr>
              <w:t>Per share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5,039</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(1,173)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(0.07)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tcPr>
          <w:p>
            <w:pPr>
              <w:spacing w:after="0"/>
              <w:rPr>
                <w:sz w:val="20"/>
                <w:szCs w:val="20"/>
                <w:color w:val="auto"/>
              </w:rPr>
            </w:pPr>
            <w:r>
              <w:rPr>
                <w:rFonts w:ascii="Arial" w:cs="Arial" w:eastAsia="Arial" w:hAnsi="Arial"/>
                <w:sz w:val="17"/>
                <w:szCs w:val="17"/>
                <w:color w:val="auto"/>
              </w:rPr>
              <w:t>After-tax restructuring and impairment costs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(1,062)</w:t>
            </w: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(0.07)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13,621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Net income excluding restructuring and  impairment costs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3,977</w:t>
            </w: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12,448</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Management feels the presentation of non-GAAP information provides the reader with a better understanding of operational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80"/>
          </w:cols>
          <w:pgMar w:left="240" w:top="1440" w:right="137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2019-12-10T12:05:38Z</dcterms:created>
  <dcterms:modified xsi:type="dcterms:W3CDTF">2019-12-10T12:05:38Z</dcterms:modified>
</cp:coreProperties>
</file>