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379730</wp:posOffset>
            </wp:positionV>
            <wp:extent cx="95123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23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637" w:right="339" w:bottom="1440" w:gutter="0" w:footer="0" w:header="0"/>
        </w:sectPr>
      </w:pPr>
    </w:p>
    <w:p>
      <w:pPr>
        <w:spacing w:after="0" w:line="16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80"/>
          </w:cols>
          <w:pgMar w:left="320" w:top="637"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16, 2026,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cooperation agreement (the “</w:t>
      </w:r>
      <w:r>
        <w:rPr>
          <w:rFonts w:ascii="Times New Roman" w:cs="Times New Roman" w:eastAsia="Times New Roman" w:hAnsi="Times New Roman"/>
          <w:sz w:val="18"/>
          <w:szCs w:val="18"/>
          <w:u w:val="single" w:color="auto"/>
          <w:color w:val="auto"/>
        </w:rPr>
        <w:t>Cooperation Agreement</w:t>
      </w:r>
      <w:r>
        <w:rPr>
          <w:rFonts w:ascii="Times New Roman" w:cs="Times New Roman" w:eastAsia="Times New Roman" w:hAnsi="Times New Roman"/>
          <w:sz w:val="18"/>
          <w:szCs w:val="18"/>
          <w:color w:val="auto"/>
        </w:rPr>
        <w:t>”) with Legion Partners Asset Management, LLC and certain of its affiliates (collectively, the “</w:t>
      </w:r>
      <w:r>
        <w:rPr>
          <w:rFonts w:ascii="Times New Roman" w:cs="Times New Roman" w:eastAsia="Times New Roman" w:hAnsi="Times New Roman"/>
          <w:sz w:val="18"/>
          <w:szCs w:val="18"/>
          <w:u w:val="single" w:color="auto"/>
          <w:color w:val="auto"/>
        </w:rPr>
        <w:t>Legion 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Cooperation Agreement, the Company increased the size of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from seven to eight directors and appointed Raymond T. White to fill the newly created directorship and to serve as a member of the Strategic Committee of the Board (the “</w:t>
      </w:r>
      <w:r>
        <w:rPr>
          <w:rFonts w:ascii="Times New Roman" w:cs="Times New Roman" w:eastAsia="Times New Roman" w:hAnsi="Times New Roman"/>
          <w:sz w:val="18"/>
          <w:szCs w:val="18"/>
          <w:u w:val="single" w:color="auto"/>
          <w:color w:val="auto"/>
        </w:rPr>
        <w:t>Strategic Committee</w:t>
      </w:r>
      <w:r>
        <w:rPr>
          <w:rFonts w:ascii="Times New Roman" w:cs="Times New Roman" w:eastAsia="Times New Roman" w:hAnsi="Times New Roman"/>
          <w:sz w:val="18"/>
          <w:szCs w:val="18"/>
          <w:color w:val="auto"/>
        </w:rPr>
        <w:t>”). Mr. White will serve as a director until the Company’s 2026 annual meeting of stockholders, at which time he is expected to stand for election by the Company’s stockholders and the Board will recommend that the Company’s stockholders vote in favor of his election. Pursuant to the Cooperation Agreement, the Company has also agreed to nominate Mr. White at each annual meeting of the Company’s stockholders held prior to the expiration of the Standstill Period (as defined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Cooperation Agreement, the Legion Parties have agreed to abide by certain customary standstill restrictions, voting commitments, and other provisions, such as a mutual non-disparagement provision, which remain in effect until the earlier of (i) the date that is 30 days prior to the director nomination deadline for the Company’s 2028 annual meeting of stockholders and (ii) the date that is 120 days prior to the first anniversary of the Company’s 2027 annual meeting of stockholders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Cooperation Agreement is filed with this Current Report on Form 8-K as Exhibit 10.1 and is incorporated by reference herein. The foregoing description of the Cooperation Agreement does not purport to be complete and is qualified in its entirety by reference to the full text thereof.</w:t>
      </w:r>
    </w:p>
    <w:p>
      <w:pPr>
        <w:spacing w:after="0" w:line="158" w:lineRule="exact"/>
        <w:rPr>
          <w:sz w:val="20"/>
          <w:szCs w:val="20"/>
          <w:color w:val="auto"/>
        </w:rPr>
      </w:pPr>
    </w:p>
    <w:p>
      <w:pPr>
        <w:ind w:left="1300" w:right="2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5.02.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Item 1.01, pursuant to the Cooperation Agreement, effective January 16, 2026, the size of the Board was increased from seven to eight directors, and Mr. White has been appointed to the Board and will serve as a member of the Strategic Committee. The Board determined that Mr. White is independent within the meaning of the applicable Nasdaq Stock Market listing standards and the Company’s independence standards.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White will be compensated on the same basis as all other non-management directors of the Company, as described under “Compensation of Directors” in the Company’s proxy statement for its 2025 annual meeting of stockholders, filed with the Securities and Exchange Commission on March 31,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family relationships exist between Mr. White and any of the Company’s other directors or executive officers. Other than as described under Item 1.01, there are no arrangements or understandings pursuant to which Mr. White was appointed as a director of the Company, and there are no related party transactions between the Company and Mr. White reportable under Item 404(a) of Regulation S-K. Mr. White will enter into an indemnification agreement with the Company, in the form previously entered into by the Company with its current directors, a copy of which was filed as Exhibit 10.1 to the Company’s Annual Report on Form 10-K for the fiscal year ended December 31, 2024.</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2026, the Company issued a press release announcing the Company’s entry into the Cooperation Agreement and the appointment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A copy of the press release is included as Exhibit 99.1 to this Current Report on Form 8-K and is incorporated herein by reference.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8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99"/>
              </w:rPr>
              <w:t>Cooperation Agreement, dated January 16, 2026, by and among NN, Inc., Legion Partners Asset Management, LLC, and the other persons</w:t>
            </w:r>
          </w:p>
        </w:tc>
      </w:tr>
      <w:tr>
        <w:trPr>
          <w:trHeight w:val="196"/>
        </w:trPr>
        <w:tc>
          <w:tcPr>
            <w:tcW w:w="3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and entities listed therein.</w:t>
            </w:r>
          </w:p>
        </w:tc>
        <w:tc>
          <w:tcPr>
            <w:tcW w:w="8140" w:type="dxa"/>
            <w:vAlign w:val="bottom"/>
            <w:tcBorders>
              <w:top w:val="single" w:sz="8" w:color="0000EE"/>
            </w:tcBorders>
            <w:gridSpan w:val="2"/>
          </w:tcPr>
          <w:p>
            <w:pPr>
              <w:spacing w:after="0"/>
              <w:rPr>
                <w:sz w:val="17"/>
                <w:szCs w:val="17"/>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issued by NN, Inc., dated January 20, 2026.</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20,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COOPERATION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January 16, 2026, is made and entered into by NN,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LEGION PARTNERS ASSET MANAGEMENT, LLC, a Delaware limited liability company (together with its Affiliates, “</w:t>
      </w:r>
      <w:r>
        <w:rPr>
          <w:rFonts w:ascii="Times New Roman" w:cs="Times New Roman" w:eastAsia="Times New Roman" w:hAnsi="Times New Roman"/>
          <w:sz w:val="18"/>
          <w:szCs w:val="18"/>
          <w:b w:val="1"/>
          <w:bCs w:val="1"/>
          <w:i w:val="1"/>
          <w:iCs w:val="1"/>
          <w:color w:val="auto"/>
        </w:rPr>
        <w:t>Legion Partners</w:t>
      </w:r>
      <w:r>
        <w:rPr>
          <w:rFonts w:ascii="Times New Roman" w:cs="Times New Roman" w:eastAsia="Times New Roman" w:hAnsi="Times New Roman"/>
          <w:sz w:val="18"/>
          <w:szCs w:val="18"/>
          <w:color w:val="auto"/>
        </w:rPr>
        <w:t>”), and each of the other persons listed on the signature pages to this Agreement (collectively with Legion Partners and together with any other Affiliates of Legion Partners, the “</w:t>
      </w:r>
      <w:r>
        <w:rPr>
          <w:rFonts w:ascii="Times New Roman" w:cs="Times New Roman" w:eastAsia="Times New Roman" w:hAnsi="Times New Roman"/>
          <w:sz w:val="18"/>
          <w:szCs w:val="18"/>
          <w:b w:val="1"/>
          <w:bCs w:val="1"/>
          <w:i w:val="1"/>
          <w:iCs w:val="1"/>
          <w:color w:val="auto"/>
        </w:rPr>
        <w:t>Investor Group</w:t>
      </w:r>
      <w:r>
        <w:rPr>
          <w:rFonts w:ascii="Times New Roman" w:cs="Times New Roman" w:eastAsia="Times New Roman" w:hAnsi="Times New Roman"/>
          <w:sz w:val="18"/>
          <w:szCs w:val="18"/>
          <w:color w:val="auto"/>
        </w:rPr>
        <w:t>” and each individually,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Unless otherwise defined herein, capitalized terms shall have the meanings given to them in Section 3(c).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 Group have engaged in discussions regarding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of this Agreement, the Investor Group (i) beneficially owns shares of common stock, par value $0.01 per share,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totaling to, in the aggregate, 4,791,929 shares (excluding shares underlying certain warrants held by the Investor Group) or approximately 9.55% of the Common Stock outstanding as of the date of this Agreement and (ii) has economic exposure to an additional 3,004,832 shares or approximately 5.99% of the Common Stock outstanding as of the date of this Agreement through certain cash-settled total return swap agreements; and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the best interests of the Company and its stockholders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by agreeing to appoint, subject to the terms and conditions of this Agreement, Raymond T. White (the “</w:t>
      </w:r>
      <w:r>
        <w:rPr>
          <w:rFonts w:ascii="Times New Roman" w:cs="Times New Roman" w:eastAsia="Times New Roman" w:hAnsi="Times New Roman"/>
          <w:sz w:val="18"/>
          <w:szCs w:val="18"/>
          <w:b w:val="1"/>
          <w:bCs w:val="1"/>
          <w:i w:val="1"/>
          <w:iCs w:val="1"/>
          <w:color w:val="auto"/>
        </w:rPr>
        <w:t>New Director</w:t>
      </w:r>
      <w:r>
        <w:rPr>
          <w:rFonts w:ascii="Times New Roman" w:cs="Times New Roman" w:eastAsia="Times New Roman" w:hAnsi="Times New Roman"/>
          <w:sz w:val="18"/>
          <w:szCs w:val="18"/>
          <w:color w:val="auto"/>
        </w:rPr>
        <w:t>”) to serve as member of the Board, and by the Company and the Investor Group agreeing to the other covenants and agreements contained 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covenants and agreements contained in this Agreement, and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good and valuable consideration, the receipt and sufficiency of which are hereby acknowledged, the parties to this Agreement, intending to be legally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 by this Agreement, agree as follows: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Board Matters; Board Nominations; Board Policies and Procedures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(a)            Board Matters</w:t>
      </w:r>
      <w:r>
        <w:rPr>
          <w:rFonts w:ascii="Times New Roman" w:cs="Times New Roman" w:eastAsia="Times New Roman" w:hAnsi="Times New Roman"/>
          <w:sz w:val="18"/>
          <w:szCs w:val="18"/>
          <w:color w:val="auto"/>
        </w:rPr>
        <w:t>. The Governance Committee of the Board (the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has reviewed and approved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of the New Director to serve as a member of the Board. In reliance on the information provided to the Company by the Investor Group and the New Director, the Board has confirmed that the New Director is “independent” as defined by the applicable standards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and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 connection with the foregoing, the Board has relied on information that the New Director has provided to the Company, including information required to be or customarily disclosed by directors or director candidates in proxy statements or other filings under applicable law or stock exchange rules or listing standards, information in connection with assessing eligibility, independence and other criteria applicable to directors, and the Board has assumed that the director questionnaire and other customary director onboarding documentation provided by the New Director is complete, true and accurate in all material respects. Concurrently with the effectiveness of this Agreement, the Board will take all necessary actions to increase the size of its membership by one director and appoint the New Director to the Board with a term expiring at the 2026 annual meeting of stockholders of the Company, with such appointment to be effective upon the execution of this Agreement. At each annual meeting of the Company’s stockholders held prior to the expiration of the Standstill Period, the Company agrees to nominate, recommend, support, and solicit proxies for the election of the New Director in the same manner as for other independent director candidates nominated by the Company at such annual meetings. The Company and the Investor Group each acknowledges and agrees that the New Director shall be entitled to receive such benefits for service as a director of the Company (including compensation) on the same basis as all other non-management members of the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(b)            Board Policies and Procedures</w:t>
      </w:r>
      <w:r>
        <w:rPr>
          <w:rFonts w:ascii="Times New Roman" w:cs="Times New Roman" w:eastAsia="Times New Roman" w:hAnsi="Times New Roman"/>
          <w:sz w:val="18"/>
          <w:szCs w:val="18"/>
          <w:color w:val="auto"/>
        </w:rPr>
        <w:t>. Each party hereto acknowledges that the New Director, upon appointment to the Board,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(i) all applicable laws and regulations and (ii) all of the same policies, processes, procedures, codes, rules, standards and guidelines applicable to members of the Board. The New Director shall be required to provide the Company with such information as reasonably requested from all members of the Board as is required to be disclosed under applicable law or stock exchange regulations, in each case, as promptly as necessary to enable the timely filing of the Company’s proxy statement and other periodic reports with the SEC.</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(c)            Committee Assignment</w:t>
      </w:r>
      <w:r>
        <w:rPr>
          <w:rFonts w:ascii="Times New Roman" w:cs="Times New Roman" w:eastAsia="Times New Roman" w:hAnsi="Times New Roman"/>
          <w:sz w:val="18"/>
          <w:szCs w:val="18"/>
          <w:color w:val="auto"/>
        </w:rPr>
        <w:t>. Concurrently with the effectiveness of this Agreement, the Board will take all necessary actions so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joining the Board, the New Director will immediately be appointed as a member of the Board’s Strategic Committee (the “</w:t>
      </w:r>
      <w:r>
        <w:rPr>
          <w:rFonts w:ascii="Times New Roman" w:cs="Times New Roman" w:eastAsia="Times New Roman" w:hAnsi="Times New Roman"/>
          <w:sz w:val="18"/>
          <w:szCs w:val="18"/>
          <w:b w:val="1"/>
          <w:bCs w:val="1"/>
          <w:i w:val="1"/>
          <w:iCs w:val="1"/>
          <w:color w:val="auto"/>
        </w:rPr>
        <w:t>Strategic Committee</w:t>
      </w:r>
      <w:r>
        <w:rPr>
          <w:rFonts w:ascii="Times New Roman" w:cs="Times New Roman" w:eastAsia="Times New Roman" w:hAnsi="Times New Roman"/>
          <w:sz w:val="18"/>
          <w:szCs w:val="18"/>
          <w:color w:val="auto"/>
        </w:rPr>
        <w:t>”). Subject to the terms of this Agreement, without the prior consent of the Investor Group, during the Standstill Period and for so long as the New Director continues to serve as a director of the Company, the Board will not (a) remove the New Director from the Strategic Committee; (b) dissolve the Strategic Committee; or (c) materially change the size, purposes or powers of the Strategic Committee as established as of the date of this Agreement. During the Standstill Period, the New Director will be considered for membership on committees of the Board (whether existing or hereafter established) in the same manner as other non-employee members of the Board.</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(d)            Resignation</w:t>
      </w:r>
      <w:r>
        <w:rPr>
          <w:rFonts w:ascii="Times New Roman" w:cs="Times New Roman" w:eastAsia="Times New Roman" w:hAnsi="Times New Roman"/>
          <w:sz w:val="18"/>
          <w:szCs w:val="18"/>
          <w:color w:val="auto"/>
        </w:rPr>
        <w:t>. The Investors acknowledge and agree that during the Standstill Period, the Legion Representative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promptly (and in any event within two Business Days) notify the Company if the Investor Group ceases to maintain at any time after the date hereof beneficial ownership of or economic exposure to, in the aggregate, at least the lesser of (x) 8.0% of the then-outstanding shares of Common Stock or</w:t>
      </w:r>
    </w:p>
    <w:p>
      <w:pPr>
        <w:jc w:val="both"/>
        <w:ind w:firstLine="8"/>
        <w:spacing w:after="0" w:line="253"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4,015,665 shares of Common Stock (as adjusted for any combinations, splits, recapitalizations or similar actions by the Company) (the “</w:t>
      </w:r>
      <w:r>
        <w:rPr>
          <w:rFonts w:ascii="Times New Roman" w:cs="Times New Roman" w:eastAsia="Times New Roman" w:hAnsi="Times New Roman"/>
          <w:sz w:val="18"/>
          <w:szCs w:val="18"/>
          <w:b w:val="1"/>
          <w:bCs w:val="1"/>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Ownership Requirement</w:t>
      </w:r>
      <w:r>
        <w:rPr>
          <w:rFonts w:ascii="Times New Roman" w:cs="Times New Roman" w:eastAsia="Times New Roman" w:hAnsi="Times New Roman"/>
          <w:sz w:val="18"/>
          <w:szCs w:val="18"/>
          <w:color w:val="auto"/>
        </w:rPr>
        <w:t>”). Concurrently with the execution and delivery of this Agreement, the New Director shall execute and deliver an irrevocable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resignation in the form attached hereto as Exhibit A. For the avoidance of doubt, the Company’s obligations under this Section 1 shall automatically terminate upon the Investor Group ceasing to satisfy the Minimum Ownership Requirement.</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(e)            Certain Fiduciary Matters</w:t>
      </w:r>
      <w:r>
        <w:rPr>
          <w:rFonts w:ascii="Times New Roman" w:cs="Times New Roman" w:eastAsia="Times New Roman" w:hAnsi="Times New Roman"/>
          <w:sz w:val="18"/>
          <w:szCs w:val="18"/>
          <w:color w:val="auto"/>
        </w:rPr>
        <w:t>. The New Director agrees that he will recuse himself from such portions of meetings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of the Board, if any, involving conflicts of interest between the Company, on the one hand, and the Investors or the New Director, on the other hand.</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             Replacements</w:t>
      </w:r>
      <w:r>
        <w:rPr>
          <w:rFonts w:ascii="Times New Roman" w:cs="Times New Roman" w:eastAsia="Times New Roman" w:hAnsi="Times New Roman"/>
          <w:sz w:val="18"/>
          <w:szCs w:val="18"/>
          <w:color w:val="auto"/>
        </w:rPr>
        <w:t>. Subject to the terms of this Agreement, if, during the Standstill Period, the New Director is unable or unwilling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director of the Company for any reason, the Company and the Investors shall cooperate in good faith to select, and the Company shall appoint, as promptly as practicable, a substitute director mutually agreeable to the Company and the Investors (such person, a “</w:t>
      </w:r>
      <w:r>
        <w:rPr>
          <w:rFonts w:ascii="Times New Roman" w:cs="Times New Roman" w:eastAsia="Times New Roman" w:hAnsi="Times New Roman"/>
          <w:sz w:val="18"/>
          <w:szCs w:val="18"/>
          <w:b w:val="1"/>
          <w:bCs w:val="1"/>
          <w:i w:val="1"/>
          <w:iCs w:val="1"/>
          <w:color w:val="auto"/>
        </w:rPr>
        <w:t>Replacement Designee</w:t>
      </w:r>
      <w:r>
        <w:rPr>
          <w:rFonts w:ascii="Times New Roman" w:cs="Times New Roman" w:eastAsia="Times New Roman" w:hAnsi="Times New Roman"/>
          <w:sz w:val="18"/>
          <w:szCs w:val="18"/>
          <w:color w:val="auto"/>
        </w:rPr>
        <w:t>”) to serve as a director of the Company for the remainder of the New Director’s term. Any Replacement Designee must be “independent” as defined by the applicable standards of Nasdaq and by the SEC (for the avoidance of doubt, a Replacement Designee may be an employee or principal of an Investor or an Affiliate of an Investor) and, prior to his or her appointment as a member of the Board, satisfactorily complete the Company’s customary director onboarding procedures and documentation (as determined by the Board in good faith). Upon becoming a member of the Board, the Replacement Designee will be deemed to be the New Director for all purposes of this Agreement. For the avoidance of doubt, the Company’s obligations pursuant to this Section 1(f) shall automatically terminate upon the Investor Group ceasing to satisfy the Minimum Ownership Requirement.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2.            Voting</w:t>
      </w:r>
      <w:r>
        <w:rPr>
          <w:rFonts w:ascii="Times New Roman" w:cs="Times New Roman" w:eastAsia="Times New Roman" w:hAnsi="Times New Roman"/>
          <w:sz w:val="18"/>
          <w:szCs w:val="18"/>
          <w:color w:val="auto"/>
        </w:rPr>
        <w:t>. During the Standstill Period, each of the Investors agrees to (i) appear at each annual and special meeting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(each such annual and special meeting, including any adjournment or postponement thereof, a “</w:t>
      </w:r>
      <w:r>
        <w:rPr>
          <w:rFonts w:ascii="Times New Roman" w:cs="Times New Roman" w:eastAsia="Times New Roman" w:hAnsi="Times New Roman"/>
          <w:sz w:val="18"/>
          <w:szCs w:val="18"/>
          <w:b w:val="1"/>
          <w:bCs w:val="1"/>
          <w:i w:val="1"/>
          <w:iCs w:val="1"/>
          <w:color w:val="auto"/>
        </w:rPr>
        <w:t>Company Stockholder Meeting</w:t>
      </w:r>
      <w:r>
        <w:rPr>
          <w:rFonts w:ascii="Times New Roman" w:cs="Times New Roman" w:eastAsia="Times New Roman" w:hAnsi="Times New Roman"/>
          <w:sz w:val="18"/>
          <w:szCs w:val="18"/>
          <w:color w:val="auto"/>
        </w:rPr>
        <w:t>”) or otherwise cause all shares of Common Stock beneficially owned by each Investor and their respective Affiliates to be counted as present for purposes of establishing a quorum or to deliver consents or consent revocations, as applicable, in connection with any action by written consent of the stockholders of the Company in lieu of a meeting, (ii) vote, or cause to be voted, all shares of Common Stock beneficially owned by each Investor and their respective Affiliates on the Company’s proxy card or voting instruction form at each such Company Stockholder Meeting (or, in the case of action by written consent, provide consents) (a) in favor of each of the directors nominated by the Board and recommended by the Board in the election of directors, (b) against any other nominees to serve on the Board that have not been recommended by the Board (including, as applicable, by voting to “withhold” on any such nominees) and (c) with respect to all other matters other than an Extraordinary Matter (as defined below), in accordance with the Board’s recommendations as identified in the Company’s proxy statement, including in favor of all other matters recommended for stockholder approval by the Board, and (iii) not execute any proxy card or voting instruction form in respect of any such Company Stockholder Meeting other than the proxy card and related voting instruction form being solicited by or on behalf of the Board (such proxy card and/or voting instruction form, the “</w:t>
      </w:r>
      <w:r>
        <w:rPr>
          <w:rFonts w:ascii="Times New Roman" w:cs="Times New Roman" w:eastAsia="Times New Roman" w:hAnsi="Times New Roman"/>
          <w:sz w:val="18"/>
          <w:szCs w:val="18"/>
          <w:b w:val="1"/>
          <w:bCs w:val="1"/>
          <w:i w:val="1"/>
          <w:iCs w:val="1"/>
          <w:color w:val="auto"/>
        </w:rPr>
        <w:t>Company’s card</w:t>
      </w:r>
      <w:r>
        <w:rPr>
          <w:rFonts w:ascii="Times New Roman" w:cs="Times New Roman" w:eastAsia="Times New Roman" w:hAnsi="Times New Roman"/>
          <w:sz w:val="18"/>
          <w:szCs w:val="18"/>
          <w:color w:val="auto"/>
        </w:rPr>
        <w:t xml:space="preserve">”) or, in the case of action by written consent, provide a consent (or revocation thereof) to any person other than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Institutional Shareholders Services Inc. (“</w:t>
      </w:r>
      <w:r>
        <w:rPr>
          <w:rFonts w:ascii="Times New Roman" w:cs="Times New Roman" w:eastAsia="Times New Roman" w:hAnsi="Times New Roman"/>
          <w:sz w:val="18"/>
          <w:szCs w:val="18"/>
          <w:b w:val="1"/>
          <w:bCs w:val="1"/>
          <w:i w:val="1"/>
          <w:iCs w:val="1"/>
          <w:color w:val="auto"/>
        </w:rPr>
        <w:t>ISS</w:t>
      </w:r>
      <w:r>
        <w:rPr>
          <w:rFonts w:ascii="Times New Roman" w:cs="Times New Roman" w:eastAsia="Times New Roman" w:hAnsi="Times New Roman"/>
          <w:sz w:val="18"/>
          <w:szCs w:val="18"/>
          <w:color w:val="auto"/>
        </w:rPr>
        <w:t>”) or Glass Lewis &amp; Co., LLC (“</w:t>
      </w:r>
      <w:r>
        <w:rPr>
          <w:rFonts w:ascii="Times New Roman" w:cs="Times New Roman" w:eastAsia="Times New Roman" w:hAnsi="Times New Roman"/>
          <w:sz w:val="18"/>
          <w:szCs w:val="18"/>
          <w:b w:val="1"/>
          <w:bCs w:val="1"/>
          <w:i w:val="1"/>
          <w:iCs w:val="1"/>
          <w:color w:val="auto"/>
        </w:rPr>
        <w:t>Glass Lewis</w:t>
      </w:r>
      <w:r>
        <w:rPr>
          <w:rFonts w:ascii="Times New Roman" w:cs="Times New Roman" w:eastAsia="Times New Roman" w:hAnsi="Times New Roman"/>
          <w:sz w:val="18"/>
          <w:szCs w:val="18"/>
          <w:color w:val="auto"/>
        </w:rPr>
        <w:t xml:space="preserve">”) recommend otherwise with respect to any proposal (other than the election or removal (including in connection with any “withhold” or similar campaign) of directors), each of the Investors shall have the right to vote on the Company’s card in accordance with the recommendation of ISS or Glass Lewis with respect to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any Extraordinary Matter, each of the Investors shall have the ability to vote freely on the Company’s card. For purposes of this Agreement, “</w:t>
      </w:r>
      <w:r>
        <w:rPr>
          <w:rFonts w:ascii="Times New Roman" w:cs="Times New Roman" w:eastAsia="Times New Roman" w:hAnsi="Times New Roman"/>
          <w:sz w:val="18"/>
          <w:szCs w:val="18"/>
          <w:b w:val="1"/>
          <w:bCs w:val="1"/>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Matter</w:t>
      </w:r>
      <w:r>
        <w:rPr>
          <w:rFonts w:ascii="Times New Roman" w:cs="Times New Roman" w:eastAsia="Times New Roman" w:hAnsi="Times New Roman"/>
          <w:sz w:val="18"/>
          <w:szCs w:val="18"/>
          <w:color w:val="auto"/>
        </w:rPr>
        <w:t>” means (i) any merger, acquisition, recapitalization, restructuring, financing, disposition, distribution, spin-off, sale or transfer of all or substantially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Company’s or any of its Affiliates’ assets in one or a series of transactions, joint venture or other business combination involving the Company or any of its Affiliates and (ii) any implementation of takeover defenses not in existence as of the date of this Agreement by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Standstill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During the Standstill Period, each Investor shall not, and shall cause their respective Affiliates, Associates, principals,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officers, employees and, to the extent acting on their behalf, agents and representatives (collectively, the “</w:t>
      </w:r>
      <w:r>
        <w:rPr>
          <w:rFonts w:ascii="Times New Roman" w:cs="Times New Roman" w:eastAsia="Times New Roman" w:hAnsi="Times New Roman"/>
          <w:sz w:val="18"/>
          <w:szCs w:val="18"/>
          <w:b w:val="1"/>
          <w:bCs w:val="1"/>
          <w:i w:val="1"/>
          <w:iCs w:val="1"/>
          <w:color w:val="auto"/>
        </w:rPr>
        <w:t>Related Persons</w:t>
      </w:r>
      <w:r>
        <w:rPr>
          <w:rFonts w:ascii="Times New Roman" w:cs="Times New Roman" w:eastAsia="Times New Roman" w:hAnsi="Times New Roman"/>
          <w:sz w:val="18"/>
          <w:szCs w:val="18"/>
          <w:color w:val="auto"/>
        </w:rPr>
        <w:t>”) not to, directly or indirectly, without the prior written consent of the Board:</w:t>
      </w:r>
    </w:p>
    <w:p>
      <w:pPr>
        <w:spacing w:after="0" w:line="1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make any announcement or proposal with respect to, or offer, seek, propose, or indicate an interest in (A) any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referenced in clause (i) of the definition of Extraordinary Matter herein or (B) any form of tender or exchange offer for the Common Stock, whether or not such transaction involves a Change of Control of the Company (it being understood that the foregoing shall not prohibit Investors or their Related Persons from acquiring Common Stock within the limitations set forth in Section 3(a)(iii));</w:t>
      </w:r>
    </w:p>
    <w:p>
      <w:pPr>
        <w:spacing w:after="0" w:line="176"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engage in any solicitation of proxies or written consents to vote (or withhold the vote of) any securities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conduct any binding or nonbinding referendum with respect to the Company, or assist or participate in any other way, directly or indirectly, in any solicitation of proxies (or written consents) with respect to the Company, or otherwise become a “participant” or a “participant in a solicitation,” as such terms are defined in Instruction 3 of Item 4 of Schedule 14A, respectively,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to vote (or withhold the vote of) any securities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purchase or otherwise acquire, or offer, seek, propose, or agree to acquire, ownership (including beneficial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securities of the Company, any direct or indirect rights or options to acquire any such securities, any derivative securities or contracts or instruments in any way related to the price of shares of Common Stock or any assets or liabilities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Investor Group and its Related Persons, in the aggregate, may acquire beneficial ownership of up to 19.9% of the outstanding shares of Common Stock;</w:t>
      </w:r>
    </w:p>
    <w:p>
      <w:pPr>
        <w:spacing w:after="0" w:line="176"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seek to advise, encourage, or influence any person with respect to the voting of (or execution of a written consent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acquisition of or disposition of any securities of the Company;</w:t>
      </w:r>
    </w:p>
    <w:p>
      <w:pPr>
        <w:spacing w:after="0" w:line="155"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sell, offer, or agree to sell, directly or indirectly, through swap or hedging transactions or otherwise,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rights decoupled from the underlying securities held by the Investor Group to any person or entity not (A) a party to this Agreement or</w:t>
      </w:r>
    </w:p>
    <w:p>
      <w:pPr>
        <w:spacing w:after="0" w:line="1" w:lineRule="exact"/>
        <w:rPr>
          <w:sz w:val="20"/>
          <w:szCs w:val="20"/>
          <w:color w:val="auto"/>
        </w:rPr>
      </w:pPr>
    </w:p>
    <w:p>
      <w:pPr>
        <w:jc w:val="both"/>
        <w:ind w:firstLine="8"/>
        <w:spacing w:after="0" w:line="253" w:lineRule="auto"/>
        <w:tabs>
          <w:tab w:leader="none" w:pos="29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Related Person of the Investor Group (any person or entity not set forth in clauses (A) and (B) shall be referred to as a “</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that would knowingly result in such Third Party, together with its Affiliates, owning, controlling or otherwise having any beneficial or other ownership interest representing in the aggregate in excess of 4.9% of the shares of Common Stock outstanding at such time (except for Schedule 13G filers that are mutual funds, pension funds or index funds with no known history of activism);</w:t>
      </w:r>
    </w:p>
    <w:p>
      <w:pPr>
        <w:spacing w:after="0" w:line="18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(vi)          </w:t>
      </w:r>
      <w:r>
        <w:rPr>
          <w:rFonts w:ascii="Times New Roman" w:cs="Times New Roman" w:eastAsia="Times New Roman" w:hAnsi="Times New Roman"/>
          <w:sz w:val="18"/>
          <w:szCs w:val="18"/>
          <w:color w:val="auto"/>
        </w:rPr>
        <w:t>take any action in support of or make any proposal or request that constitutes (or would constitute if taken): (A) advising,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controlling, changing, or influencing the Board or management of the Company, including any plans or proposals to change the voting standard with respect to director elections, number or term of directors or to fill any vacancies on the Board, except as set forth in Section 1, (B) any change in the capitalization, stock repurchase programs and practices, or dividend policy of the Company, (C) any other change in the Company’s management, business, or corporate structure, (D) seeking to have the Company waive or make amendments or modifications to the Restated Certificate of Incorporation of the Company (as amended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Amended and Restated Bylaws of the Company (as amended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to Section 12(g)(4) of the Exchange Act;</w:t>
      </w:r>
    </w:p>
    <w:p>
      <w:pPr>
        <w:spacing w:after="0" w:line="188"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(vii)         </w:t>
      </w:r>
      <w:r>
        <w:rPr>
          <w:rFonts w:ascii="Times New Roman" w:cs="Times New Roman" w:eastAsia="Times New Roman" w:hAnsi="Times New Roman"/>
          <w:sz w:val="18"/>
          <w:szCs w:val="18"/>
          <w:color w:val="auto"/>
        </w:rPr>
        <w:t>communicate with stockholders of the Company or others pursuant to Rule 14a-1(l)(2)(iv) under the Exchange 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or be the proponent of any stockholder proposal to the Company or the Board or any committee thereof;</w:t>
      </w:r>
    </w:p>
    <w:p>
      <w:pPr>
        <w:spacing w:after="0" w:line="155"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(viii)        </w:t>
      </w:r>
      <w:r>
        <w:rPr>
          <w:rFonts w:ascii="Times New Roman" w:cs="Times New Roman" w:eastAsia="Times New Roman" w:hAnsi="Times New Roman"/>
          <w:sz w:val="18"/>
          <w:szCs w:val="18"/>
          <w:color w:val="auto"/>
        </w:rPr>
        <w:t>engage in any course of conduct with the purpose of causing stockholders of the Company to vote contrary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 of the Board on any matter presented to the Company’s stockholders for their vote at any Company Stockholder Meeting or by written consent;</w:t>
      </w:r>
    </w:p>
    <w:p>
      <w:pPr>
        <w:spacing w:after="0" w:line="171" w:lineRule="exact"/>
        <w:rPr>
          <w:sz w:val="20"/>
          <w:szCs w:val="20"/>
          <w:color w:val="auto"/>
        </w:rPr>
      </w:pPr>
    </w:p>
    <w:p>
      <w:pPr>
        <w:jc w:val="both"/>
        <w:ind w:firstLine="1944"/>
        <w:spacing w:after="0" w:line="268" w:lineRule="auto"/>
        <w:rPr>
          <w:sz w:val="20"/>
          <w:szCs w:val="20"/>
          <w:color w:val="auto"/>
        </w:rPr>
      </w:pPr>
      <w:r>
        <w:rPr>
          <w:rFonts w:ascii="Times New Roman" w:cs="Times New Roman" w:eastAsia="Times New Roman" w:hAnsi="Times New Roman"/>
          <w:sz w:val="18"/>
          <w:szCs w:val="18"/>
          <w:b w:val="1"/>
          <w:bCs w:val="1"/>
          <w:color w:val="auto"/>
        </w:rPr>
        <w:t>(ix)          </w:t>
      </w:r>
      <w:r>
        <w:rPr>
          <w:rFonts w:ascii="Times New Roman" w:cs="Times New Roman" w:eastAsia="Times New Roman" w:hAnsi="Times New Roman"/>
          <w:sz w:val="18"/>
          <w:szCs w:val="18"/>
          <w:color w:val="auto"/>
        </w:rPr>
        <w:t>call or seek to call, or request the call of, alone or in concert with others, any Company Stockholder Meeting, whether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such a meeting is permitted by the Certificate of Incorporation or Bylaws, including a “town hall meeting,” or act or seek to act by written consent in lieu of a stockholder meeting (or the setting of a record date therefor);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color w:val="auto"/>
        </w:rPr>
        <w:t>deposit any Common Stock in any voting trust or subject any Common Stock to any arrangement or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voting of any Common Stock (other than (A) customary brokerage accounts, margin accounts and prime brokerage accounts and (B) any such voting trust, arrangement or agreement solely among the Investors or any Affiliates thereof, in each case, that are otherwise in accordance with this Agreement);</w:t>
      </w:r>
    </w:p>
    <w:p>
      <w:pPr>
        <w:spacing w:after="0" w:line="176"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(xi)          </w:t>
      </w:r>
      <w:r>
        <w:rPr>
          <w:rFonts w:ascii="Times New Roman" w:cs="Times New Roman" w:eastAsia="Times New Roman" w:hAnsi="Times New Roman"/>
          <w:sz w:val="18"/>
          <w:szCs w:val="18"/>
          <w:color w:val="auto"/>
        </w:rPr>
        <w:t>act, seek, facilitate or knowingly encourage any person to submit nominations or proposals, whether in furtherance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“contested solicitation” or otherwise, for the appointment, election or removal of directors or otherwise with respect to the Company or seek, facilitate, knowingly encourage, or take any other action with respect to the appointment, election or removal (including through any “withhold” or similar campaign) of any directors, in each case, alone or in concert with others, except as set forth in Section 1;</w:t>
      </w:r>
    </w:p>
    <w:p>
      <w:pPr>
        <w:spacing w:after="0" w:line="176"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b w:val="1"/>
          <w:bCs w:val="1"/>
          <w:color w:val="auto"/>
        </w:rPr>
        <w:t>(xii)         </w:t>
      </w:r>
      <w:r>
        <w:rPr>
          <w:rFonts w:ascii="Times New Roman" w:cs="Times New Roman" w:eastAsia="Times New Roman" w:hAnsi="Times New Roman"/>
          <w:sz w:val="18"/>
          <w:szCs w:val="18"/>
          <w:color w:val="auto"/>
        </w:rPr>
        <w:t>form, join, or in any other way participate in any “group” (within the meaning of Section 13(d)(3)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the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Agreement shall limit the ability of a Related Person of the Investor Group to join the “group” following the execution of this Agreement, so long as any such Related Person agrees to be bound in writing by the terms and conditions of this Agreement and, if required under the Exchange Act, an Investor files a Schedule 13D within two Business Days disclosing that such Investor has formed a group with such Related Person (it being understood that such Schedule 13D and the contents thereof may not violate any of the restrictions set forth in this Agreement);</w:t>
      </w:r>
    </w:p>
    <w:p>
      <w:pPr>
        <w:spacing w:after="0" w:line="182"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(xiii)        </w:t>
      </w:r>
      <w:r>
        <w:rPr>
          <w:rFonts w:ascii="Times New Roman" w:cs="Times New Roman" w:eastAsia="Times New Roman" w:hAnsi="Times New Roman"/>
          <w:sz w:val="18"/>
          <w:szCs w:val="18"/>
          <w:color w:val="auto"/>
        </w:rPr>
        <w:t>demand a copy of the Company’s list of stockholders or its other books and records or make any request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or regulatory provisions of Delaware law or any other statutory or regulatory provisions providing for stockholder access to books and records;</w:t>
      </w:r>
    </w:p>
    <w:p>
      <w:pPr>
        <w:spacing w:after="0" w:line="155"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(xiv)         </w:t>
      </w:r>
      <w:r>
        <w:rPr>
          <w:rFonts w:ascii="Times New Roman" w:cs="Times New Roman" w:eastAsia="Times New Roman" w:hAnsi="Times New Roman"/>
          <w:sz w:val="18"/>
          <w:szCs w:val="18"/>
          <w:color w:val="auto"/>
        </w:rPr>
        <w:t>make any request or submit any proposal to amend or waive the terms of this Section 3 other than through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with the Company that would not be reasonably expected to result in or involve public disclosure obligations for any party; or</w:t>
      </w:r>
    </w:p>
    <w:p>
      <w:pPr>
        <w:spacing w:after="0" w:line="15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(xv)          </w:t>
      </w:r>
      <w:r>
        <w:rPr>
          <w:rFonts w:ascii="Times New Roman" w:cs="Times New Roman" w:eastAsia="Times New Roman" w:hAnsi="Times New Roman"/>
          <w:sz w:val="18"/>
          <w:szCs w:val="18"/>
          <w:color w:val="auto"/>
        </w:rPr>
        <w:t>enter into any discussions, negotiations, agreements or understandings with any person or entity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the Investors are prohibited from taking pursuant to this Section 3, or advise, assist, knowingly encourage or seek to persuade any person or entity to take any action or make any statement with respect to any such action, or otherwise take or cause any action or make any statement inconsistent with any of the foregoing.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 foregoing, nothing in this Section 3 or elsewhere in this Agreement (other than Sections 7 and 28) shall prohibit or restrict the Investor Group or any Related Person from: (A) communicating privately with the Board or any executive officer or director of the Company regarding any matter, so long as such communications are not intended to, and would not reasonably be expected to, require any public disclosure of such communications; (B) taking any action necessary to comply with any law, rule or regulation or any action required by any governmental or regulatory authority or stock exchange that has, or may have, jurisdiction over the Investor Group or any of their respective Affiliates or Associates, provided that a breach by the Investor Group of this Agreement is not the cause of the applicable requirement and provided, that such Investor, to the extent legally permissible, must provide written notice to the Company of at least two Business Days prior to taking any such action that would otherwise be prohibited under this Agreement, and consider in good faith any comments of the Company regarding such proposed action; (C) privately communicating to any of their potential investors or investors regarding any matter, provided such communications are not reasonably expected to be publicly disclosed and are understood by all parties to be private communications; (D) privately communicating to any stockholders of the Company in a manner that otherwise does not violate this Section 3 or Section 6 (provided that such communications are not reasonably expected to be publicly disclosed and are understood by all parties to be private communications); and (E) on or after the date that is 30 days prior to the termination of the Standstill Period, identifying potential director candidates to serve on the Board, so long as such actions do not create a public disclosure obligation for the Investor Group or the Company, are not publicly disclosed by the Investor Group or its Affiliates and are undertaken on a basis reasonably designed to be confidential.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The provisions of this Section 3 shall not limit in any respect the actions of any director of the Company (including the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in his or her capacity as such, recognizing that such actions are subject to such director’s fiduciary duties to the Company and its stockholders.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any “Affiliate” as defined in Rule 12b-2 promulgated by the SEC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for purposes of this Agreement, no Investor shall be deemed an Affiliate of the Company and the Company shall not be deemed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Affiliate of any Investor;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“Affiliates” of a person shall not include any entity, solely by reason of the fact that one or more of such person’s employees or principals serves as a member of its board of directors or similar governing body, unless such person otherwise controls such entity (as the term “control” is defined in Rule 12b-2 promulgated by the SEC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with respect to the Investor Group, “Affiliates” shall not include any portfolio operating company (as such term is understood in the private equity industry) of any of the Investors or their Affiliates (unless such portfolio operating company is acting at the direction of the Investor Group or any of their Affiliates to engage in conduct that is prohibited by this Agreement);</w:t>
      </w:r>
    </w:p>
    <w:p>
      <w:pPr>
        <w:spacing w:after="0" w:line="18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mean any “Associate” as defined in Rule 12b-2 promulgated by the SEC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for purposes of this Agreement, no Investor shall be deemed an Associate of the Company and the Company shall not be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 of any Investor;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term “Associate” shall refer only to Associates controlled by the Company or the Investor Group, as applicable;</w:t>
      </w:r>
    </w:p>
    <w:p>
      <w:pPr>
        <w:spacing w:after="0" w:line="176"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same meanings as set forth in Rule 13d-3 promulgated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under the Exchange Act;</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a Sunday, or a day in which the Federal Reserve Bank of New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is closed;</w:t>
      </w:r>
    </w:p>
    <w:p>
      <w:pPr>
        <w:spacing w:after="0" w:line="20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transaction shall be deemed to have taken place if (1) any person is or becomes a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directly or indirectly, of securities of the Company representing more than 50% of the equity interests and voting power of the Company’s then outstanding equity securities, (2) the Company effects a merger or a stock-for-stock transaction whereby immediately after the consummation of the transaction the Company’s stockholders retain less than 50% of the equity interests and voting power of the surviving entity’s then outstanding equity securities or (3) the Company sells substantially all of the Company’s assets;</w:t>
      </w:r>
    </w:p>
    <w:p>
      <w:pPr>
        <w:spacing w:after="0" w:line="179"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(vi)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Instruments</w:t>
      </w:r>
      <w:r>
        <w:rPr>
          <w:rFonts w:ascii="Times New Roman" w:cs="Times New Roman" w:eastAsia="Times New Roman" w:hAnsi="Times New Roman"/>
          <w:sz w:val="18"/>
          <w:szCs w:val="18"/>
          <w:color w:val="auto"/>
        </w:rPr>
        <w:t>” means (i) any obligations of the Company or any of its subsidiaries, joint ventures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whether evidenced by bonds, debentures, notes, loan agreements or other similar instruments to the extent the same would appear as a liability on a balance sheet of such person in accordance with generally accepted accounting principles in the United States and (ii) any mandatorily redeemable preferred stock or similar equity securities ranking senior in priority to the Common Stock issued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firstLine="1944"/>
        <w:spacing w:after="0" w:line="286" w:lineRule="auto"/>
        <w:rPr>
          <w:sz w:val="20"/>
          <w:szCs w:val="20"/>
          <w:color w:val="auto"/>
        </w:rPr>
      </w:pPr>
      <w:r>
        <w:rPr>
          <w:rFonts w:ascii="Times New Roman" w:cs="Times New Roman" w:eastAsia="Times New Roman" w:hAnsi="Times New Roman"/>
          <w:sz w:val="18"/>
          <w:szCs w:val="18"/>
          <w:b w:val="1"/>
          <w:bCs w:val="1"/>
          <w:color w:val="auto"/>
        </w:rPr>
        <w:t>(vii)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shall mean any individual, corporation (including not-for-profit), general or limited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joint venture, estate, trust, association, organization or other entity of any kind or nature; and</w:t>
      </w:r>
    </w:p>
    <w:p>
      <w:pPr>
        <w:spacing w:after="0" w:line="155"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b w:val="1"/>
          <w:bCs w:val="1"/>
          <w:color w:val="auto"/>
        </w:rPr>
        <w:t>(viii)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Standstill Period</w:t>
      </w:r>
      <w:r>
        <w:rPr>
          <w:rFonts w:ascii="Times New Roman" w:cs="Times New Roman" w:eastAsia="Times New Roman" w:hAnsi="Times New Roman"/>
          <w:sz w:val="18"/>
          <w:szCs w:val="18"/>
          <w:color w:val="auto"/>
        </w:rPr>
        <w:t>” shall mean the period commencing on the date of this Agreement and ending on the earlier of (x)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is 30 calendar days prior to the last day of the advance notice period for the submission by stockholders of director nominations for consideration at the 2028 annual meeting of stockholders of the Company, as set forth in the advance notice provisions of the Bylaws existing on the date hereof, and (y) the date that is 120 days prior to the first anniversary of the 2027 annual meeting of stockholders of the Company.</w:t>
      </w:r>
    </w:p>
    <w:p>
      <w:pPr>
        <w:spacing w:after="0" w:line="17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4.            Representations and Warranties of the Company</w:t>
      </w:r>
      <w:r>
        <w:rPr>
          <w:rFonts w:ascii="Times New Roman" w:cs="Times New Roman" w:eastAsia="Times New Roman" w:hAnsi="Times New Roman"/>
          <w:sz w:val="17"/>
          <w:szCs w:val="17"/>
          <w:color w:val="auto"/>
        </w:rPr>
        <w:t>. The Company represents and warrants to the Investors that (a) the Company has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power and authority to execute this Agreement and to bind the Company to this Agreement,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violate or conflict with (i) any law, rule, regulation, order, judgment or decree applicable to it, or</w:t>
      </w:r>
    </w:p>
    <w:p>
      <w:pPr>
        <w:spacing w:after="0" w:line="4" w:lineRule="exact"/>
        <w:rPr>
          <w:sz w:val="20"/>
          <w:szCs w:val="20"/>
          <w:color w:val="auto"/>
        </w:rPr>
      </w:pPr>
    </w:p>
    <w:p>
      <w:pPr>
        <w:jc w:val="both"/>
        <w:ind w:firstLine="8"/>
        <w:spacing w:after="0" w:line="255" w:lineRule="auto"/>
        <w:tabs>
          <w:tab w:leader="none" w:pos="2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or any material agreement, contract, commitment, understanding or arrangement to which the Company is a party or by which it is bound.</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5.            Representations and Warranties of the Investors</w:t>
      </w:r>
      <w:r>
        <w:rPr>
          <w:rFonts w:ascii="Times New Roman" w:cs="Times New Roman" w:eastAsia="Times New Roman" w:hAnsi="Times New Roman"/>
          <w:sz w:val="18"/>
          <w:szCs w:val="18"/>
          <w:color w:val="auto"/>
        </w:rPr>
        <w:t>. Each Investor represents and warrants to the Company that (a) as of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Investor beneficially owns, directly or indirectly, only the number of shares of Common Stock as described opposite its name on Exhibit B and Exhibit B includes all Affiliates of any Investors that own any securities of the Company beneficially or of record and reflects all shares of Common Stock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this Agreement on behalf of itself and the applicable Investor associated with that signatory’s name, and to bind such Investor to the terms of this Agreement, (d) each of the Investors shall use its commercially reasonable efforts to cause each of its respective Related Persons to comply with the terms of this Agreement, and (e) the execution, delivery and performance of this Agreement by such Investor does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member is a party or by which it is bound. Each Investor further agrees that it shall not compensate the New Director for serving on the Board or enter into any contract, agreement, arrangement, commitment or understanding (whether written or oral) relating to the Company with any director or officer of the Company (for the avoidance of doubt, excluding ordinary course employment agreements or arrangements between or among the New Director and any Investor). Each Investor represents and warrants that it has no voting commitments or other arrangements or understandings with the New Director as of the date hereof. Each Investor represents and warrants that it does not have, directly or indirectly, any agreements, arrangements or understandings with any person (other than their own representatives) with respect to any potential transaction involving the Company, the acquisition, voting or disposition of any securities of the Company, or the potential submission of any proposals or director nominations at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6.            Mutual Non-Disparagement</w:t>
      </w:r>
      <w:r>
        <w:rPr>
          <w:rFonts w:ascii="Times New Roman" w:cs="Times New Roman" w:eastAsia="Times New Roman" w:hAnsi="Times New Roman"/>
          <w:sz w:val="18"/>
          <w:szCs w:val="18"/>
          <w:color w:val="auto"/>
        </w:rPr>
        <w:t>. Each of the Company and the Investors agrees that, during the Standstill Period, the Company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shall refrain from making or causing to be made, and shall cause their respective principals, directors, members, general partners, officers and employees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not to make or cause to be made, any public statement or announcement that constitutes an ad hominem attack on, or that otherwise disparages, defames, slanders, impugns or is reasonably likely to damage the reputation of (i) in the case of any such statements or announcements by any of the Investors or their Covered Persons, the Company and its Affiliates or any of its or their respective current or former Covered Persons (in each case, solely in their capacities as such), and (ii) in the case of any such statements or announcements by the Company or its Covered Persons, the Investors and their respective Affiliates or any of its or their respective current or former Covered Persons (in each case, solely in their capacities as such), in each case, including (A) in any statement (oral or written), document, or report filed with, furnished, or otherwise provided to the SEC or any other governmental or regulatory authority, (B) in any press release or other publicly available format and (C) to any journalist or member of the media (including in a television, radio, newspaper, or magazine interview or podcast, Internet or social media communication). The foregoing shall not restrict the ability of any person to comply with any subpoena or other legal process or respond to a request for information from any governmental or regulatory authority with jurisdiction over the party from whom information is sought or to enforce such person’s rights hereunder.</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            No Litigation</w:t>
      </w:r>
      <w:r>
        <w:rPr>
          <w:rFonts w:ascii="Times New Roman" w:cs="Times New Roman" w:eastAsia="Times New Roman" w:hAnsi="Times New Roman"/>
          <w:sz w:val="18"/>
          <w:szCs w:val="18"/>
          <w:color w:val="auto"/>
        </w:rPr>
        <w:t>. During the Standstill Period, each party hereto hereby covenants and agrees that it shall not, and shall not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Persons to, directly or indirectly, alone or in concert with others, initiate any lawsuit, claim or proceeding before any court (each, a “</w:t>
      </w: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against the other party or any of its Related Persons (solely in their capacities as such) or assist, knowingly encourage, or pursue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person to threaten any Legal Proceeding against the other party or any of its Related Persons (solely in their capacities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prevent any party hereto or any of its Related Persons from responding to oral questions, interrogatories, requests for information or documents, subpoenas, civil investigative demands or similar processes (each, a “</w:t>
      </w:r>
      <w:r>
        <w:rPr>
          <w:rFonts w:ascii="Times New Roman" w:cs="Times New Roman" w:eastAsia="Times New Roman" w:hAnsi="Times New Roman"/>
          <w:sz w:val="18"/>
          <w:szCs w:val="18"/>
          <w:b w:val="1"/>
          <w:bCs w:val="1"/>
          <w:i w:val="1"/>
          <w:iCs w:val="1"/>
          <w:color w:val="auto"/>
        </w:rPr>
        <w:t>Legal Requirement</w:t>
      </w:r>
      <w:r>
        <w:rPr>
          <w:rFonts w:ascii="Times New Roman" w:cs="Times New Roman" w:eastAsia="Times New Roman" w:hAnsi="Times New Roman"/>
          <w:sz w:val="18"/>
          <w:szCs w:val="18"/>
          <w:color w:val="auto"/>
        </w:rPr>
        <w:t xml:space="preserve">”) in connection with any Legal Proceeding if such Legal Proceeding has not been initiated by, on behalf of, or at the suggestion of such party or any of its Related Persons;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event a party hereto or any such Related Parties receives such Legal Requirement, such party hereto shall give prompt written notice of such Legal Requirement to the other party (except where such notice would be legally prohibited or not practicable). Notwithstanding anything to the contrary in this Section 7, the foregoing shall not preclude any party hereto from (i) bringing any claim or cause of action that such party may have to enforce the provisions of this Agreement or (ii) making any counterclaims with respect to any Legal Proceeding initiated by, or on behalf of, one party hereto or its Related Persons against the other party or its Related Persons in violation of this Agreement. Notwithstanding anything to the contrary herein, this Section 7 shall not prohibit the Investor Group from exercising statutory appraisal rights, if any, with respect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            Public Announcements</w:t>
      </w:r>
      <w:r>
        <w:rPr>
          <w:rFonts w:ascii="Times New Roman" w:cs="Times New Roman" w:eastAsia="Times New Roman" w:hAnsi="Times New Roman"/>
          <w:sz w:val="18"/>
          <w:szCs w:val="18"/>
          <w:color w:val="auto"/>
        </w:rPr>
        <w:t>. Promptly following the execution of this Agreement, the Company and the Investor Group shall issue a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agreeable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this Agreement, substantially in the form attached to this Agreement as Exhibit C. Prior to the issuance of the Press Release, neither the Company nor any of the Investors shall issue any press release or make any public announcement regarding this Agreement or take any action that would require public disclosure relating to such action without the prior written consent of the other party. No party hereto or any of its Affiliates shall make any public statement (including, without limitation, in any filing required under the Exchange Act) concerning the subject matter of this Agreement inconsistent with the Press Release.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No later than four Business Days following the execution of this Agreement, the Company shall file a Current Report on Form 8-K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reporting the appointment of the New Director and appending or incorporating by reference this Agreement as an exhibit. The Company shall provide the Investor Group with a reasonable opportunity to review and comment on the Form 8-K prior to it being filed with the SEC and consider in good faith any comments of the Investor Group.</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No later than two Business Days following the execution of this Agreement, the Investor Group shall file an amendment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Schedule 13D, dated January 18, 2019, as amended and may be amended, with respect to the Company that has been filed with the SEC, reporting the entry into this Agreement and appending or incorporating by reference this Agreement as an exhibit thereto (the “</w:t>
      </w:r>
      <w:r>
        <w:rPr>
          <w:rFonts w:ascii="Times New Roman" w:cs="Times New Roman" w:eastAsia="Times New Roman" w:hAnsi="Times New Roman"/>
          <w:sz w:val="18"/>
          <w:szCs w:val="18"/>
          <w:b w:val="1"/>
          <w:bCs w:val="1"/>
          <w:i w:val="1"/>
          <w:iCs w:val="1"/>
          <w:color w:val="auto"/>
        </w:rPr>
        <w:t>Schedule 13D Amendment</w:t>
      </w:r>
      <w:r>
        <w:rPr>
          <w:rFonts w:ascii="Times New Roman" w:cs="Times New Roman" w:eastAsia="Times New Roman" w:hAnsi="Times New Roman"/>
          <w:sz w:val="18"/>
          <w:szCs w:val="18"/>
          <w:color w:val="auto"/>
        </w:rPr>
        <w:t>”). The Investor Group shall provide the Company with a reasonable opportunity to review and comment on the Schedule 13D Amendment prior to it being filed with the SEC and consider in good faith any comments of the Company.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10.          Specific Performance</w:t>
      </w:r>
      <w:r>
        <w:rPr>
          <w:rFonts w:ascii="Times New Roman" w:cs="Times New Roman" w:eastAsia="Times New Roman" w:hAnsi="Times New Roman"/>
          <w:sz w:val="18"/>
          <w:szCs w:val="18"/>
          <w:color w:val="auto"/>
        </w:rPr>
        <w:t>. Each of the Investors, on the one hand, and the Company, on the other hand, acknowledges and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irreparable injury to the other party to this Agreement would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Times New Roman" w:cs="Times New Roman" w:eastAsia="Times New Roman" w:hAnsi="Times New Roman"/>
          <w:sz w:val="18"/>
          <w:szCs w:val="18"/>
          <w:b w:val="1"/>
          <w:bCs w:val="1"/>
          <w:i w:val="1"/>
          <w:iCs w:val="1"/>
          <w:color w:val="auto"/>
        </w:rPr>
        <w:t>Moving Party</w:t>
      </w:r>
      <w:r>
        <w:rPr>
          <w:rFonts w:ascii="Times New Roman" w:cs="Times New Roman" w:eastAsia="Times New Roman" w:hAnsi="Times New Roman"/>
          <w:sz w:val="18"/>
          <w:szCs w:val="18"/>
          <w:color w:val="auto"/>
        </w:rPr>
        <w:t>”), shall each be entitled to specific enforcement of, and injunctive or other equitable relief as a remedy for any such breach or to prevent any violation or threatened violation of, the terms of this Agreement, and the other party to this Agreement will not take action, directly or indirectly, in opposition to the Moving Party seeking such relief on the grounds that any other remedy or relief is available at law or in equity. The parties hereto further agree to waive any requirement for the security or posting of any bond in connection with any such relief. Such remedies shall not be deemed to be the exclusive remedies for a breach of this Agreement but shall be in addition to all other remedies available at law or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11.          Notice</w:t>
      </w:r>
      <w:r>
        <w:rPr>
          <w:rFonts w:ascii="Times New Roman" w:cs="Times New Roman" w:eastAsia="Times New Roman" w:hAnsi="Times New Roman"/>
          <w:sz w:val="18"/>
          <w:szCs w:val="18"/>
          <w:color w:val="auto"/>
        </w:rPr>
        <w:t>. Any notices, consents, determinations, waivers or other communications required or permitted to be given under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must be in writing and will be deemed to have been delivered: (i) upon receipt, when delivered personally; (ii) upon receipt, when sent by email (provided that no “bounce back” or similar message indicating an undelivered message is received); or (iii) one Business Day after deposit with a nationally recognized overnight delivery service, in each case, properly addressed to the party hereto to receive the same. Each party hereto acknowledges and agrees that any notices, consents, determinations, waivers, or other communications required or permitted to be given under the terms of this Agreement shall be sent by email to the other party hereto, in addition to any other method of delivery determined to be used by such sending party pursuant to the terms hereof. The addresses for such communications shall be: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Attn:</w:t>
        <w:tab/>
        <w:t>Jami Statham</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Attn:</w:t>
        <w:tab/>
        <w:t>Sean W. Brownridge</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Christina Roupas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Bill Roegge</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sbrownridge@cooley.com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croupas@cooley.com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broegge@cooley.com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any Investor: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12121 Wilshire Boulevard, Suite 1240</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Attn:</w:t>
        <w:tab/>
        <w:t>Christopher S. Kiper</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Attn:</w:t>
        <w:tab/>
        <w:t>Ryan Nebel</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Dorothy Sluszka</w:t>
      </w:r>
    </w:p>
    <w:p>
      <w:pPr>
        <w:spacing w:after="0" w:line="9" w:lineRule="exact"/>
        <w:rPr>
          <w:sz w:val="20"/>
          <w:szCs w:val="20"/>
          <w:color w:val="auto"/>
        </w:rPr>
      </w:pPr>
    </w:p>
    <w:p>
      <w:pPr>
        <w:ind w:left="162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rnebel@olshanlaw.com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dsluszka@olshanlaw.com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any time, any party hereto may, by notice given in accordance with this Section 11 to the other party hereto, provide updated information for notices hereunder.</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          Governing Law</w:t>
      </w:r>
      <w:r>
        <w:rPr>
          <w:rFonts w:ascii="Times New Roman" w:cs="Times New Roman" w:eastAsia="Times New Roman" w:hAnsi="Times New Roman"/>
          <w:sz w:val="18"/>
          <w:szCs w:val="18"/>
          <w:color w:val="auto"/>
        </w:rPr>
        <w:t>. This Agreement and any claim, controversy or dispute arising under or related to this Agreement, the relationship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and/or the interpretation and enforcement of the rights and duties of the parties hereto shall be governed by and construed and enforced in accordance with the laws of the State of Delaware, without regard to any conflict of laws provisions thereof.</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          Jurisdiction</w:t>
      </w:r>
      <w:r>
        <w:rPr>
          <w:rFonts w:ascii="Times New Roman" w:cs="Times New Roman" w:eastAsia="Times New Roman" w:hAnsi="Times New Roman"/>
          <w:sz w:val="18"/>
          <w:szCs w:val="18"/>
          <w:color w:val="auto"/>
        </w:rPr>
        <w:t>. In the event any dispute arises out of or relates to this Agreement or the transactions contemplated hereby,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(i) irrevocably and unconditionally submits to the exclusive jurisdiction of the Court of Chancery of the State of Delaware (the “</w:t>
      </w:r>
      <w:r>
        <w:rPr>
          <w:rFonts w:ascii="Times New Roman" w:cs="Times New Roman" w:eastAsia="Times New Roman" w:hAnsi="Times New Roman"/>
          <w:sz w:val="18"/>
          <w:szCs w:val="18"/>
          <w:b w:val="1"/>
          <w:bCs w:val="1"/>
          <w:i w:val="1"/>
          <w:iCs w:val="1"/>
          <w:color w:val="auto"/>
        </w:rPr>
        <w:t>Chancery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(or, only if the Chancery Court declines to accept jurisdiction over a particular matter, the other state or federal courts located in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(ii) agrees that it will not attempt to deny or defeat such jurisdiction by motion or other request for leave from any such courts, (iii) agrees that any actions or proceedings arising in connection with this Agreement or the transactions contemplated by this Agreement shall be brought, tried, and determined only in such courts, (iv) waives any claim of improper venue or any claim that those courts are an inconvenient forum and (v) agrees that it will not bring any action relating to this Agreement or the transactions contemplated hereunder in any court other than the aforesaid courts. The parties to this Agreement agree that mailing of process or other papers in connection with any such action or proceeding in the manner provided in Section 11, or in such other manner as may be permitted by applicable law as sufficient service of process, shall be valid and sufficient service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14.          Waiver of Jury Trial</w:t>
      </w:r>
      <w:r>
        <w:rPr>
          <w:rFonts w:ascii="Times New Roman" w:cs="Times New Roman" w:eastAsia="Times New Roman" w:hAnsi="Times New Roman"/>
          <w:sz w:val="18"/>
          <w:szCs w:val="18"/>
          <w:color w:val="auto"/>
        </w:rPr>
        <w:t>. EACH PARTY HERETO ACKNOWLEDGES AND AGREES THAT ANY CONTROVERSY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14.</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15.          Representative</w:t>
      </w:r>
      <w:r>
        <w:rPr>
          <w:rFonts w:ascii="Times New Roman" w:cs="Times New Roman" w:eastAsia="Times New Roman" w:hAnsi="Times New Roman"/>
          <w:sz w:val="18"/>
          <w:szCs w:val="18"/>
          <w:color w:val="auto"/>
        </w:rPr>
        <w:t>. Each Investor irrevocably appoints Legion Partners Asset Management, LLC as its attorney-in-fact and representative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Legion Representative</w:t>
      </w:r>
      <w:r>
        <w:rPr>
          <w:rFonts w:ascii="Times New Roman" w:cs="Times New Roman" w:eastAsia="Times New Roman" w:hAnsi="Times New Roman"/>
          <w:sz w:val="18"/>
          <w:szCs w:val="18"/>
          <w:color w:val="auto"/>
        </w:rPr>
        <w:t>”), in such Investor’s place and stead, to do any and all things and to execute any and all documents and give and receive any and all notices or instructions in connection with this Agreement and the transactions contemplated by this Agreement. The Company shall be entitled to rely, as being binding on each Investor, upon any action taken by the Legion Representative or upon any document, notice, instruction or other writing given or executed by the Legion Representative.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16.          Entire Agreement</w:t>
      </w:r>
      <w:r>
        <w:rPr>
          <w:rFonts w:ascii="Times New Roman" w:cs="Times New Roman" w:eastAsia="Times New Roman" w:hAnsi="Times New Roman"/>
          <w:sz w:val="18"/>
          <w:szCs w:val="18"/>
          <w:color w:val="auto"/>
        </w:rPr>
        <w:t>. This Agreement constitutes the full and entire understanding and agreement among the parties hereto with regard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of this Agreement, and supersedes all prior and contemporaneous agreements, understandings and representations, whether oral or written, of the parties hereto with respect to the subject matter of this Agreement. There are no restrictions, agreements, promises, representations, warranties, covenants or undertakings, oral or written, between the parties hereto other than those expressly set forth in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17.          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18.          Waiver</w:t>
      </w:r>
      <w:r>
        <w:rPr>
          <w:rFonts w:ascii="Times New Roman" w:cs="Times New Roman" w:eastAsia="Times New Roman" w:hAnsi="Times New Roman"/>
          <w:sz w:val="18"/>
          <w:szCs w:val="18"/>
          <w:color w:val="auto"/>
        </w:rPr>
        <w:t>. No failure on the part of any party hereto to exercise, and no delay in exercising, any right, power or remedy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operate as a waiver of such right, power or remedy, nor shall any single or partial exercise of such right, power or remedy by such party preclude any other or further exercise of such right, power or remedy or the exercise of any other right, power or remedy.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19.          Remedies</w:t>
      </w:r>
      <w:r>
        <w:rPr>
          <w:rFonts w:ascii="Times New Roman" w:cs="Times New Roman" w:eastAsia="Times New Roman" w:hAnsi="Times New Roman"/>
          <w:sz w:val="18"/>
          <w:szCs w:val="18"/>
          <w:color w:val="auto"/>
        </w:rPr>
        <w:t>. All remedies under this Agreement are cumulative and are not exclusive of any other remedies provided by law or equity.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20.          Construction</w:t>
      </w:r>
      <w:r>
        <w:rPr>
          <w:rFonts w:ascii="Times New Roman" w:cs="Times New Roman" w:eastAsia="Times New Roman" w:hAnsi="Times New Roman"/>
          <w:sz w:val="18"/>
          <w:szCs w:val="18"/>
          <w:color w:val="auto"/>
        </w:rPr>
        <w:t>. When a reference is made in this Agreement to a Section, such reference shall be to a Section of this Agreement,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indicated.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 hereof” will refer to the date of this Agreement. The word “or” is not exclusive.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21.          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22.          Amendment</w:t>
      </w:r>
      <w:r>
        <w:rPr>
          <w:rFonts w:ascii="Times New Roman" w:cs="Times New Roman" w:eastAsia="Times New Roman" w:hAnsi="Times New Roman"/>
          <w:sz w:val="18"/>
          <w:szCs w:val="18"/>
          <w:color w:val="auto"/>
        </w:rPr>
        <w:t>. This Agreement may be modified, amended or otherwise changed only in a writing signed by the Company, on the one hand,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Legion Representative (on behalf of itself and the other members of the Investor Group), on the other hand.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23.          Termination</w:t>
      </w:r>
      <w:r>
        <w:rPr>
          <w:rFonts w:ascii="Times New Roman" w:cs="Times New Roman" w:eastAsia="Times New Roman" w:hAnsi="Times New Roman"/>
          <w:sz w:val="18"/>
          <w:szCs w:val="18"/>
          <w:color w:val="auto"/>
        </w:rPr>
        <w:t>. Upon the expiration of the Standstill Period, this Agreement shall immediately and automatically terminate.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the provisions of Section 10 through Section 28 shall survive the termination of this Agreement. No termination of this Agreement shall relieve any party from liability for any breach of this Agreement that occurred prior to such termination.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24.          Successors and Assigns</w:t>
      </w:r>
      <w:r>
        <w:rPr>
          <w:rFonts w:ascii="Times New Roman" w:cs="Times New Roman" w:eastAsia="Times New Roman" w:hAnsi="Times New Roman"/>
          <w:sz w:val="18"/>
          <w:szCs w:val="18"/>
          <w:color w:val="auto"/>
        </w:rPr>
        <w:t>. The terms and conditions of this Agreement shall be binding upon and be enforceable by the parties hereto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heirs, executors, legal representatives and permitted assigns of the parties, and inure to the benefit of any successor, heir, executor, legal representative or permitted assign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party may assign this Agreement or any rights or obligations hereunder without, with respect to any Investor, the express prior written consent of the Company, and with respect to the Company, the prior written consent of the Legion Representative and any such assignment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25.          No Third-Party Beneficiaries</w:t>
      </w:r>
      <w:r>
        <w:rPr>
          <w:rFonts w:ascii="Times New Roman" w:cs="Times New Roman" w:eastAsia="Times New Roman" w:hAnsi="Times New Roman"/>
          <w:sz w:val="18"/>
          <w:szCs w:val="18"/>
          <w:color w:val="auto"/>
        </w:rPr>
        <w:t>. The representations, warranties and agreements of the parties hereto contained herein are intended solely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benefit of the party to whom such representations, warranties or agreements are made, and shall confer no rights, benefits, remedies, obligations, or liabilities hereunder, whether legal or equitable, in any other person or entity, and no other person or entity shall be entitled to rely thereon.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26.          Counterparts; Signatures</w:t>
      </w:r>
      <w:r>
        <w:rPr>
          <w:rFonts w:ascii="Times New Roman" w:cs="Times New Roman" w:eastAsia="Times New Roman" w:hAnsi="Times New Roman"/>
          <w:sz w:val="18"/>
          <w:szCs w:val="18"/>
          <w:color w:val="auto"/>
        </w:rPr>
        <w:t>. This Agreement and any amendments hereto may be signed in any number of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 Agreement or any amendment hereto is delivered by email delivery of a portable document format (.pdf or similar format) data file, such signature shall create a valid and binding obligation of the party executing (or on whose behalf such signature is executed) with the same force and effect as if such “.pdf” signature page were an original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27.          Expenses</w:t>
      </w:r>
      <w:r>
        <w:rPr>
          <w:rFonts w:ascii="Times New Roman" w:cs="Times New Roman" w:eastAsia="Times New Roman" w:hAnsi="Times New Roman"/>
          <w:sz w:val="18"/>
          <w:szCs w:val="18"/>
          <w:color w:val="auto"/>
        </w:rPr>
        <w:t>. Each of the Company and the Investors shall be responsible for its own fees and expenses incurred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negotiation, execution, and effectuation of this Agreement and the transactions contemplated hereby, including, but not limited to, attorneys’ fees incurred in connection with the negotiation and execution of this Agreement and all other activities related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reimburse the Legion Representative for the Investor Group’s reasonable and documented out-of-pocket third party expenses, including legal fees and expenses as actually incurred in connection with the Investor Group’s involvement with the Company (including the negotiation and execution of this Agreement), in an amount not to exceed $100,000.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28.          Information Sharing with Approved Legion Professionals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Except as set forth in Section 28(b), the New Director hereby agrees that all Confidential Information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kept confidential and shall not be used for any purpose other than in connection with (i) the New Director’s duties as a director of the Company and</w:t>
      </w:r>
    </w:p>
    <w:p>
      <w:pPr>
        <w:spacing w:after="0" w:line="1" w:lineRule="exact"/>
        <w:rPr>
          <w:sz w:val="20"/>
          <w:szCs w:val="20"/>
          <w:color w:val="auto"/>
        </w:rPr>
      </w:pPr>
    </w:p>
    <w:p>
      <w:pPr>
        <w:jc w:val="both"/>
        <w:ind w:firstLine="8"/>
        <w:spacing w:after="0" w:line="250" w:lineRule="auto"/>
        <w:tabs>
          <w:tab w:leader="none" w:pos="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or monitoring the Investor Group’s investment in the Company. For purposes of this Section 28,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(x) any materials, resolutions, or other information prepared for consideration at any meeting, or for any action by written consent in lieu of a meeting, of the Board held during the Standstill Period, for so long as the New Director serves on the Board, (y) (A) any and all information communicated in writing, orally, by electronic or magnetic or any other media, by visual observation, or by any other means, on or after the date of this Agreement, whether or not labeled as confidential, which is disclosed or otherwise provided by, or on behalf or at the request 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or any Company Representative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New Director, (B) proprietary information of the Company or any of its Affiliates that is disclosed to the New Director in his capacity as a director of the Company, and (C) information disclosed or otherwise provided to the New Director by, or on behalf or at the request of, the Company or any Company Representative which relates to current, planned, or proposed products, marketing and business plans, methods of doing business, forecasts, projections and analyses, financial information, and joint venture, vendor, and customer information and (z) all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reports, analyses, compilations, studies, interpretations, or other materials, whether prepared by the New Director or by an Approved Legion Professional (as defined below), that contain, reflect or are derived or based (in whole or in part) upon any Confidential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shall not include any information that (1) is in the possession of the New Director or an Approved Legion Professional on a non-confidential basis at the time of disclosure;</w:t>
      </w:r>
    </w:p>
    <w:p>
      <w:pPr>
        <w:spacing w:after="0" w:line="4"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prior to or after the time of disclosure becomes generally available or known to the public, not as a result of any action or omission of the New Director or an Approved Legion Professional in violation of this Agreement; (3) is obtained by the New Director or an Approved Legion Professional on a non-confidential basis from a source other than the Company or the Company Representatives, which source is not known by the New Director or an Approved Legion Professional, as applicable, after reasonable inquiry, to be bound by obligations of confidentiality to the Company or any other person with respect to such information; or (4) is independently developed by the New Director or an Approved Legion Professional without use of or reference to the Confidential Information.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Notwithstanding the foregoing, the New Director may, if he wishes to do so, provide Confidential Information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professionals of Legion Partners or Legion Partners’s legal counsel, in each case, who need to know such information in connection with the Investor Group’s investment in the Company (collectively, the “</w:t>
      </w:r>
      <w:r>
        <w:rPr>
          <w:rFonts w:ascii="Times New Roman" w:cs="Times New Roman" w:eastAsia="Times New Roman" w:hAnsi="Times New Roman"/>
          <w:sz w:val="18"/>
          <w:szCs w:val="18"/>
          <w:b w:val="1"/>
          <w:bCs w:val="1"/>
          <w:i w:val="1"/>
          <w:iCs w:val="1"/>
          <w:color w:val="auto"/>
        </w:rPr>
        <w:t>Approved Legion Professionals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New Director and Investor Group shall (A) inform each Approved Legion Professional of the confidential nature of the Confidential Information and (B) cause each Approved Legion Professional not to disclose any Confidential Information to any person other than to Approved Legion Professionals in accordance with this Section 28(b)</w:t>
      </w:r>
    </w:p>
    <w:p>
      <w:pPr>
        <w:spacing w:after="0" w:line="3" w:lineRule="exact"/>
        <w:rPr>
          <w:sz w:val="20"/>
          <w:szCs w:val="20"/>
          <w:color w:val="auto"/>
        </w:rPr>
      </w:pPr>
    </w:p>
    <w:p>
      <w:pPr>
        <w:jc w:val="both"/>
        <w:ind w:firstLine="8"/>
        <w:spacing w:after="0" w:line="250"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not to use any Confidential Information other than in connection with (i) the New Director’s duties as a director of the Company and (ii) evaluating or monitoring the Investor Group’s investment in the Company. The Investors shall be jointly and severally responsible for any breach of this Section 28(b)</w:t>
      </w:r>
    </w:p>
    <w:p>
      <w:pPr>
        <w:ind w:left="220" w:hanging="212"/>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Approved Legion Professional or any other person who receives Confidential Information from the New Director 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1944"/>
        <w:spacing w:after="0" w:line="256"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If any Investor or any Approved Legion Professional is (A) legally compelled, by deposition, interrogatory, request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subpoena, civil investigation, demand, order, or similar process to disclose any Confidential Information or (B) determines (on the advice of outside legal counsel) that it is required by law or regulation to disclose any Confidential Information, prior to making such disclosure, the Investors must, to the extent practicable and legally permissible, (x) promptly notify the Company of the circumstances surrounding such requirement or request and</w:t>
      </w:r>
    </w:p>
    <w:p>
      <w:pPr>
        <w:spacing w:after="0" w:line="3" w:lineRule="exact"/>
        <w:rPr>
          <w:sz w:val="20"/>
          <w:szCs w:val="20"/>
          <w:color w:val="auto"/>
        </w:rPr>
      </w:pPr>
    </w:p>
    <w:p>
      <w:pPr>
        <w:jc w:val="both"/>
        <w:ind w:firstLine="8"/>
        <w:spacing w:after="0" w:line="251" w:lineRule="auto"/>
        <w:tabs>
          <w:tab w:leader="none" w:pos="2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the Company, at the Company’s sole expense, in any attempt it may make to obtain a protective order, other appropriate remedy, or an appropriate assurance that confidential treatment will be afforded to its Confidential Information. If a protective order or other appropriate remedy or assurance is not obtained, the Investors agree to only disclose (or cause to be disclosed, as applicable) that portion of the Confidential Information that is legally required to be disclosed (on the advice of outside legal counsel). For the purposes of this Agreement, the Investors agree that none of them shall be deemed to be legally required to disclose any Confidential Information solely by virtue of the fact that, absent such disclosure, the Investor, any of their respective Affiliates, any Related Party, or any group of which any Investor is a member (1) would be prohibited from purchasing, selling, or engaging in derivative or other voluntary transactions with respect to the securities of the Company or any Debt Instruments or (2) would be unable to file any proxy materials or tender or exchange offer materials in compliance with Section 14 of the Exchange Act or the rules promulgated thereunder (the actions described in the foregoing clauses (1) and (2), collectively with any Schedule 13D amendments, the “</w:t>
      </w:r>
      <w:r>
        <w:rPr>
          <w:rFonts w:ascii="Times New Roman" w:cs="Times New Roman" w:eastAsia="Times New Roman" w:hAnsi="Times New Roman"/>
          <w:sz w:val="18"/>
          <w:szCs w:val="18"/>
          <w:b w:val="1"/>
          <w:bCs w:val="1"/>
          <w:i w:val="1"/>
          <w:iCs w:val="1"/>
          <w:color w:val="auto"/>
        </w:rPr>
        <w:t>Designated Actions</w:t>
      </w:r>
      <w:r>
        <w:rPr>
          <w:rFonts w:ascii="Times New Roman" w:cs="Times New Roman" w:eastAsia="Times New Roman" w:hAnsi="Times New Roman"/>
          <w:sz w:val="18"/>
          <w:szCs w:val="18"/>
          <w:color w:val="auto"/>
        </w:rPr>
        <w:t>”). Neither the Investors nor any of their respective Affiliates or any group of which any Investor is a member will file any Schedule 13D or other filing pursuant to applicable securities laws or otherwise make any public statement disclosing any of the Confidential Information.</w:t>
      </w:r>
    </w:p>
    <w:p>
      <w:pPr>
        <w:spacing w:after="0" w:line="18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Each Investor hereby acknowledges that it is aware, and shall advise each of the Approved Legion Professionals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informed as to the matters that are the subject of this Agreement, that (A) the Confidential Information being furnished to the Approved Legion Professionals contains or may itself be material, non-public information concerning the Company and (B) the United States securities laws, including Section 10(b) of the Exchange Act and Rule 10b-5 promulgated thereunder, prohibit any person who receives, or that has received, from an issuer material, non-public information from purchasing or selling securities of such issuer or from communicating such information to any other person under circumstances in which it is reasonably foreseeable that such person is likely to purchase or sell such securities. The Investors represent and warrant that they maintain customary policies and procedures designed to prevent any unauthorized disclosure and use of material, non-public information. During the Standstill Period, and for so long as the New Director remains on the Board, the Company shall provide the New Director and Legion Representative with at least two Business Days’ advance written notice of each opening and expiration of each blackout period, and the Investors shall not purchase or sell, directly or indirectly, any securities of the Company (including Debt Instruments) during any blackout periods applicable to all directors of the Company.</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Return/Destruction</w:t>
      </w:r>
      <w:r>
        <w:rPr>
          <w:rFonts w:ascii="Times New Roman" w:cs="Times New Roman" w:eastAsia="Times New Roman" w:hAnsi="Times New Roman"/>
          <w:sz w:val="18"/>
          <w:szCs w:val="18"/>
          <w:color w:val="auto"/>
        </w:rPr>
        <w:t>. Upon written request from the Company at any time after the expiration of the Standstill Period,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 (and agree to cause the Approved Legion Professionals to, if applicable) (i) to promptly (and in any event within five Business Days of such request) return or destroy (and upon request, confirm in writing such return or destruction to the Company) all Confidential Information and any other material containing or reflecting any of the Confidential Information, (ii) not to retain any copies, extracts, or other reproductions in whole or in part, mechanical or electronic, of such written material, and (iii) to destroy all computer records, documents, memoranda, notes, and other writings prepared by the New Director or an Approved Legion Professional based on the Confidential Information, except for any Confidential Information that is (x) automatically maintained on routine computer system backup storage devices, (y) retained pursuant to internal document retention policies or (z) retained to the extent necessary to comply with applicable laws, rules, regulations or corporate governance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Confidential Information so retained shall remain subject to the confidentiality obligations hereunder for so long as it so retained, notwithstanding any termination of the confidentiality obligations pursuant to Section 28(f).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Competitively Sensitive Information</w:t>
      </w:r>
      <w:r>
        <w:rPr>
          <w:rFonts w:ascii="Times New Roman" w:cs="Times New Roman" w:eastAsia="Times New Roman" w:hAnsi="Times New Roman"/>
          <w:sz w:val="18"/>
          <w:szCs w:val="18"/>
          <w:color w:val="auto"/>
        </w:rPr>
        <w:t>. It is understood and agreed that the Company may, from time to time, on the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counsel, determine that disclosure of certain of its competitively sensitive Confidential Information by the New Director to the Approved Legion Professionals may have adverse consequences to its business or under applicable law, in which case such competitively sensitive Confidential Information may, at the Company’s sole discretion, be made available by the New Director to the Approved Legion Professionals only in accordance with additional procedures mutually agreed by the New Director and the Company in writing to permit disclosure of such competitively sensitive Confidential Information in an appropriate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foregoing shall not apply to the sharing of competitively sensitive Confidential Information with Christopher S. Kiper;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Investors acknowledge and agree that Mr. Kiper shall not be permitted to share any such competitively sensitive Confidential Information with any other person, including any other Approved Legion Professional, other than pursuant to such additional procedures mutually agreed by the Legion Representative and the Company in writing to permit disclosure of such competitively sensitive Confidential Information in an appropriate manner. For purposes of this Section 28(d), “</w:t>
      </w:r>
      <w:r>
        <w:rPr>
          <w:rFonts w:ascii="Times New Roman" w:cs="Times New Roman" w:eastAsia="Times New Roman" w:hAnsi="Times New Roman"/>
          <w:sz w:val="18"/>
          <w:szCs w:val="18"/>
          <w:b w:val="1"/>
          <w:bCs w:val="1"/>
          <w:i w:val="1"/>
          <w:iCs w:val="1"/>
          <w:color w:val="auto"/>
        </w:rPr>
        <w:t>competitively sensitive Confidential Information</w:t>
      </w:r>
      <w:r>
        <w:rPr>
          <w:rFonts w:ascii="Times New Roman" w:cs="Times New Roman" w:eastAsia="Times New Roman" w:hAnsi="Times New Roman"/>
          <w:sz w:val="18"/>
          <w:szCs w:val="18"/>
          <w:color w:val="auto"/>
        </w:rPr>
        <w:t>” shall mean any information concerning or reflecting (i) the Company’s current or future prices, pricing plans, or pricing strategies (including per-product margins, discounts, rebates, and other price terms) of the Company’s products and services or future product plans (including in relation to capacity adjustments), (ii) detailed sales by customer, (iii) detailed purchases by vendor or vendor contract terms, (iv) detailed individual employee compensation and benefits, or (v) material, non-public information on trademarks, patents, and research and development.</w:t>
      </w:r>
    </w:p>
    <w:p>
      <w:pPr>
        <w:spacing w:after="0" w:line="185"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(e)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Notwithstanding anything to the contrary in this Agreement, the Company shall be permitted to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Director to withhold sharing any Confidential Information from the Approved Legion Professionals, and the New Director shall not share such Confidential Information as is reasonably determined by the Company to be necessary to protect the Company’s attorney-client or other legal privileges.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Subject to Section 28(c), and notwithstanding anything to the contrary in this Agreement, the confidentiality and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under this Section 28 shall terminate 12 months after the expiration of the Standstill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Investor Group shall, and shall cause any Approved Legion Professional in possession of Confidential Information to, maintain in accordance with the confidentiality obligations set forth herein any Confidential Information constituting trade secrets for such longer time as such information constitutes a “trade secret” of the Company or any of its subsidiaries, joint ventures, or other Affiliates, as defined under 18 U.S.C. § 1839(3).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duly executed and delivered this Agreement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Harold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Harold Bevis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 GROUP: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LEGION PARTNERS, L.P. I</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LEGION PARTNERS, L.P. II</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LEGION PARTNERS SPECIAL OPPORTUNITIES, L.P. XI</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Cooperation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4520"/>
        <w:spacing w:after="0"/>
        <w:rPr>
          <w:sz w:val="20"/>
          <w:szCs w:val="20"/>
          <w:color w:val="auto"/>
        </w:rPr>
      </w:pPr>
      <w:r>
        <w:rPr>
          <w:rFonts w:ascii="Times New Roman" w:cs="Times New Roman" w:eastAsia="Times New Roman" w:hAnsi="Times New Roman"/>
          <w:sz w:val="18"/>
          <w:szCs w:val="18"/>
          <w:b w:val="1"/>
          <w:bCs w:val="1"/>
          <w:color w:val="auto"/>
        </w:rPr>
        <w:t>LEGION PARTNERS,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LEGION PARTNERS ASSET MANAGEMENT,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LEGION PARTNERS HOLDINGS,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CHRISTOPHER S. KIPER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RAYMOND T. WHITE</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Cooperation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IRREVOCABLE RESIGNATION LETTER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Irrevocable Resignation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This letter is delivered pursuant to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of the Cooperation Agreement, dated as of [•]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the Company and the Investor Group. Capitalized terms used herein but not defined shall have the meanings set forth in the Agreement.</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 hereby irrevocably resign from my position as a director of the Company and from any and all committees of the Board on which I serve, effective immediately upon (i) the delivery of a notice of an intent to nominate directors or propose any business at any meeting of stockholders of the Company (or upon (a) the commencement of any solicitation of written consents seeking the removal and/or replacement of directors or the proposal of any business or (b) the commencement of any “withhold” or similar campaign) by, or on behalf of, any Investor or Related Person or (ii) such time as the Investor Group ceases to satisfy the Minimum Ownership Requirement.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resignation is irrevocable and may not be withdrawn by me at any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 is understood and agreed that the Board has the sole and exclusive authority to determine whether or not to accept any such resignation.</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RAYMOND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156845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5240" w:type="dxa"/>
            <w:vAlign w:val="bottom"/>
          </w:tcPr>
          <w:p>
            <w:pPr>
              <w:spacing w:after="0"/>
              <w:rPr>
                <w:sz w:val="17"/>
                <w:szCs w:val="17"/>
                <w:color w:val="auto"/>
              </w:rPr>
            </w:pPr>
          </w:p>
        </w:tc>
      </w:tr>
      <w:tr>
        <w:trPr>
          <w:trHeight w:val="453"/>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40" w:type="dxa"/>
            <w:vAlign w:val="bottom"/>
            <w:gridSpan w:val="3"/>
          </w:tcPr>
          <w:p>
            <w:pPr>
              <w:jc w:val="center"/>
              <w:ind w:right="4580"/>
              <w:spacing w:after="0"/>
              <w:rPr>
                <w:sz w:val="20"/>
                <w:szCs w:val="20"/>
                <w:color w:val="auto"/>
              </w:rPr>
            </w:pPr>
            <w:r>
              <w:rPr>
                <w:rFonts w:ascii="Times New Roman" w:cs="Times New Roman" w:eastAsia="Times New Roman" w:hAnsi="Times New Roman"/>
                <w:sz w:val="18"/>
                <w:szCs w:val="18"/>
                <w:i w:val="1"/>
                <w:iCs w:val="1"/>
                <w:color w:val="auto"/>
                <w:w w:val="99"/>
              </w:rPr>
              <w:t>Investor Group Ownership</w:t>
            </w:r>
          </w:p>
        </w:tc>
      </w:tr>
      <w:tr>
        <w:trPr>
          <w:trHeight w:val="391"/>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Name of Person or Entity</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0"/>
        </w:trPr>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12"/>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L.P. I (“Legion Partners I”)</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I beneficially owns 3,733,515 shares of common stock of the Company,</w:t>
            </w:r>
          </w:p>
        </w:tc>
      </w:tr>
      <w:tr>
        <w:trPr>
          <w:trHeight w:val="237"/>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includes 214,095 shares of common stock underlying certain warrants.</w:t>
            </w:r>
          </w:p>
        </w:tc>
      </w:tr>
      <w:tr>
        <w:trPr>
          <w:trHeight w:val="414"/>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I has entered into certain cash-settled total return swap agreements that</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constitute economic exposure to an aggregate of 2,757,857 notional shares of common</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391"/>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L.P. II (“Legion Partners II”)</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II beneficially owns 406,049 shares of common stock of the Company,</w:t>
            </w:r>
          </w:p>
        </w:tc>
      </w:tr>
      <w:tr>
        <w:trPr>
          <w:trHeight w:val="237"/>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includes 10,905 shares of common stock underlying certain warrants.</w:t>
            </w:r>
          </w:p>
        </w:tc>
      </w:tr>
      <w:tr>
        <w:trPr>
          <w:trHeight w:val="414"/>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II has entered into certain cash-settled total return swap agreements that</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constitute economic exposure to an aggregate of 246,975 notional shares of common</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41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Special Opportunities beneficially owns 877,065 shares of common stock</w:t>
            </w:r>
          </w:p>
        </w:tc>
      </w:tr>
      <w:tr>
        <w:trPr>
          <w:trHeight w:val="194"/>
        </w:trPr>
        <w:tc>
          <w:tcPr>
            <w:tcW w:w="46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(“Legion Partners XI”)</w:t>
            </w:r>
          </w:p>
        </w:tc>
        <w:tc>
          <w:tcPr>
            <w:tcW w:w="6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of the Company.</w:t>
            </w:r>
          </w:p>
        </w:tc>
      </w:tr>
      <w:tr>
        <w:trPr>
          <w:trHeight w:val="20"/>
        </w:trPr>
        <w:tc>
          <w:tcPr>
            <w:tcW w:w="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r>
      <w:tr>
        <w:trPr>
          <w:trHeight w:val="43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LLC</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the general partner of each of Legion Partners I, Legion Partners II, and Legion</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XI,  Legion  Partners,  LLC  may  be  deemed  the  beneficial  owner  of  the</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3,733,515 shares owned by Legion Partners I, (ii) 406,049 shares owned by Legion</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II and (iii) 877,065 shares owned by Legion Partners XI.</w:t>
            </w:r>
          </w:p>
        </w:tc>
      </w:tr>
      <w:tr>
        <w:trPr>
          <w:trHeight w:val="41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the investment advisor of each of Legion Partners I, Legion Partners II, and Legion</w:t>
            </w:r>
          </w:p>
        </w:tc>
      </w:tr>
      <w:tr>
        <w:trPr>
          <w:trHeight w:val="194"/>
        </w:trPr>
        <w:tc>
          <w:tcPr>
            <w:tcW w:w="46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(“Legion Partners Asset Management”)</w:t>
            </w:r>
          </w:p>
        </w:tc>
        <w:tc>
          <w:tcPr>
            <w:tcW w:w="6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Partners XI, Legion Partners Asset Management may be deemed the beneficial owner of</w:t>
            </w:r>
          </w:p>
        </w:tc>
      </w:tr>
      <w:tr>
        <w:trPr>
          <w:trHeight w:val="218"/>
        </w:trPr>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 3,733,515 shares owned by Legion Partners I, (ii) 406,049 shares owned by Legion</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II and (iii) 877,065 shares owned by Legion Partners XI.</w:t>
            </w:r>
          </w:p>
        </w:tc>
      </w:tr>
      <w:tr>
        <w:trPr>
          <w:trHeight w:val="41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Holdings directly beneficially owns, in record name, 300 shares of</w:t>
            </w:r>
          </w:p>
        </w:tc>
      </w:tr>
      <w:tr>
        <w:trPr>
          <w:trHeight w:val="194"/>
        </w:trPr>
        <w:tc>
          <w:tcPr>
            <w:tcW w:w="46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(“Legion Partners Holdings”)</w:t>
            </w:r>
          </w:p>
        </w:tc>
        <w:tc>
          <w:tcPr>
            <w:tcW w:w="66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common stock of the Company. In addition, as the sole member of Legion Partners Asset</w:t>
            </w:r>
          </w:p>
        </w:tc>
      </w:tr>
      <w:tr>
        <w:trPr>
          <w:trHeight w:val="218"/>
        </w:trPr>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Management and sole member of Legion Partners, LLC, Legion Partners Holdings may be</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deemed the beneficial owner of the (i) 3,733,515 shares owned by Legion Partners I,</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 406,049 shares owned by Legion Partners II and (iii) 877,065 shares owned by Legion</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XI.</w:t>
            </w:r>
          </w:p>
        </w:tc>
      </w:tr>
      <w:tr>
        <w:trPr>
          <w:trHeight w:val="41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Christopher S. Kiper</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managing director of Legion Partners Asset Management and a managing member of</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Holdings, Mr. Kiper may be deemed the beneficial owner of the</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3,733,515 shares owned by Legion Partners I, (ii) 406,049 shares owned by Legion</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II, (iii) 877,065 shares owned by Legion Partners XI and (iv) 300 shares owned</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Legion Partners Holdings.</w:t>
            </w:r>
          </w:p>
        </w:tc>
      </w:tr>
      <w:tr>
        <w:trPr>
          <w:trHeight w:val="414"/>
        </w:trPr>
        <w:tc>
          <w:tcPr>
            <w:tcW w:w="4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Raymond White</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managing director of Legion Partners Asset Management and a managing member of</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Holdings, Mr. White may be deemed the beneficial owner of the</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3,733,515 shares owned by Legion Partners I, (ii) 406,049 shares owned by Legion</w:t>
            </w:r>
          </w:p>
        </w:tc>
      </w:tr>
      <w:tr>
        <w:trPr>
          <w:trHeight w:val="216"/>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Partners II, (iii) 877,065 shares owned by Legion Partners XI and (iv) 300 shares owned</w:t>
            </w: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Legion Partners Holdings.</w:t>
            </w:r>
          </w:p>
        </w:tc>
      </w:tr>
      <w:tr>
        <w:trPr>
          <w:trHeight w:val="675"/>
        </w:trPr>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Press Release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 Appoints Ted White to Board of Directors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Announces Cooperation Agreement with Legion Partners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CHARLOTTE, N.C., January 20, 2026 (GLOBE NEWSWIRE) – NN, Inc. (“NN” or the “Company”) (NASDAQ: NNBR), a global diversified industrial company that engineers and manufactures high-precision components and assemblies, today announced that it has appointed Ted White to its Board of Directors (the “Board”), effective immediately. In connection with this appointment, the Company has entered into a cooperation agreement (the “Cooperation Agreement”) with Legion Partners Asset Management, LLC (together with its affiliates, “Legion”), one of the Company’s largest shareholders.</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Mr. White, Legion’s co-founder and Managing Director, is an experienced institutional investor and has corporate governance and capital markets expertise. He will join the Board’s Strategic Committee, which was formed to evaluate a broad range of strategic, financing and other alternatives to enhance shareholder value.</w:t>
      </w:r>
    </w:p>
    <w:p>
      <w:pPr>
        <w:spacing w:after="0" w:line="17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“We are pleased to welcome Ted to the Board,” said Harold Bevis, President and Chief Executive Officer of NN. “Over the last few years, we have transformed NN’s business profile while evolving our Board to ensure that we have the right skills and experience to help capitalize on the Company’s opportunities for profitable growth. We look forward to working alongside Ted to complete our transformation plan and deliver value for shareholders.”</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Mr. White added, “I am excited to be joining the Board at this critical juncture as the Company continues to drive organic growth and profitability. I look forward to working with my fellow directors to unlock the significant upside in NNBR’s shares for the benefit of all shareholders.”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White’s addition to the Board was completed following constructive engagement with another of the Company’s largest shareholders, Corre Partners Management, LLC (“Corre”). Corre has informed the Company that it is supportive of the appointment, including Mr. White’s membership on the Board’s Strategic Committee.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Cooperation Agreement, Legion has agreed to a customary standstill, voting commitment, and related provisions. The full Cooperation Agreement will be filed as an exhibit to a Current Report on Form 8-K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About Ted White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Ted White is co-founder and a Managing Director of Legion Partners Asset Management, an institutional asset management firm. Prior to founding Legion Partners, Mr. White served in various functions with Knight Vinke Asset Management, a European-based investment management firm. Positions included Managing Director and Chief Operating Officer, where he was responsible for finance, operations, legal, marketing and client service functions. He is a former Deputy Director of the Council of Institutional Investors (CII), where responsibilities included policy development and implementation. Earlier in his career, Mr. White was a Portfolio Manager, Director of Corporate Governance, for the California Public Employees’ Retirement System (“CalPERS”), where he was responsible for all components of its Governance Program, including $3 billion in active management, policy development and implementation, proxy voting and focused engagement activities. Prior to CalPERS, Mr. White was an Investment Officer – Deputy State Treasurer at the California State Treasurer’s Office, where his duties included fixed income portfolio analysis and trading, among other responsibilities. He has served as a director of Clear Channel Outdoor Holdings, Inc. (NYSE: CCO) since 2024.</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Mr. White earned an MBA from California State University in Sacramento with a concentration in finance. He is also a Chartered Financial Analyst Charterholder.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w:t>
      </w:r>
    </w:p>
    <w:p>
      <w:pPr>
        <w:spacing w:after="0" w:line="229"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7"/>
          <w:szCs w:val="17"/>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w:t>
      </w:r>
    </w:p>
    <w:p>
      <w:pPr>
        <w:spacing w:after="0" w:line="1" w:lineRule="exact"/>
        <w:rPr>
          <w:sz w:val="20"/>
          <w:szCs w:val="20"/>
          <w:color w:val="auto"/>
        </w:rPr>
      </w:pPr>
    </w:p>
    <w:p>
      <w:pPr>
        <w:ind w:right="960" w:firstLine="8"/>
        <w:spacing w:after="0" w:line="260" w:lineRule="auto"/>
        <w:tabs>
          <w:tab w:leader="none" w:pos="3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facilities in North America, Europe, South America, and China. For more information about the company and its products, please visit www.nninc.com.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Caminiti or Stephen Poe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NNBR@alpha-ir.com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312-445-2870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but not limited to, statements regarding the Company’s previously announced review of strategic, financing and other alternatives, including the timing and outcome of such review, our long-term financial profile and other statements that are not historical fact.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material changes in the costs and availability of raw materials; the level of our indebtedness; our ability to secure, maintain or enforce patents or other appropriate protections for our intellectual property;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Appoints Ted White to Board of Directors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Announces Cooperation Agreement with Legion Partners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CHARLOTTE, N.C., January 20, 2026 (GLOBE NEWSWIRE) – NN, Inc. (“NN” or the “Company”) (NASDAQ: NNBR), a global diversified industrial company that engineers and manufactures high-precision components and assemblies, today announced that it has appointed Ted White to its Board of Directors (the “Board”), effective immediately. In connection with this appointment, the Company has entered into a cooperation agreement (the “Cooperation Agreement”) with Legion Partners Asset Management, LLC (together with its affiliates, “Legion”), one of the Company’s largest shareholders.</w:t>
      </w:r>
    </w:p>
    <w:p>
      <w:pPr>
        <w:spacing w:after="0" w:line="183"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Mr. White, Legion’s co-founder and Managing Director, is an experienced institutional investor and has corporate governance and capital markets expertise. He will join the Board’s Strategic Committee, which was formed to evaluate a broad range of strategic, financing and other alternatives to enhance shareholder value.</w:t>
      </w:r>
    </w:p>
    <w:p>
      <w:pPr>
        <w:spacing w:after="0" w:line="176"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“We are pleased to welcome Ted to the Board,” said Harold Bevis, President and Chief Executive Officer of NN. “Over the last few years, we have transformed NN’s business profile while evolving our Board to ensure that we have the right skills and experience to help capitalize on the Company’s opportunities for profitable growth. We look forward to working alongside Ted to complete our transformation plan and deliver value for shareholders.”</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Mr. White added, “I am excited to be joining the Board at this critical juncture as the Company continues to drive organic growth and profitability. I look forward to working with my fellow directors to unlock the significant upside in NNBR’s shares for the benefit of all shareholders.”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White’s addition to the Board was completed following constructive engagement with another of the Company’s largest shareholders, Corre Partners Management, LLC (“Corre”). Corre has informed the Company that it is supportive of the appointment, including Mr. White’s membership on the Board’s Strategic Committee.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Cooperation Agreement, Legion has agreed to a customary standstill, voting commitment, and related provisions. The full Cooperation Agreement will be filed as an exhibit to a Current Report on Form 8-K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About Ted White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Ted White is co-founder and a Managing Director of Legion Partners Asset Management, an institutional asset management firm. Prior to founding Legion Partners, Mr. White served in various functions with Knight Vinke Asset Management, a European-based investment management firm. Positions included Managing Director and Chief Operating Officer, where he was responsible for finance, operations, legal, marketing and client service functions. He is a former Deputy Director of the Council of Institutional Investors (CII), where responsibilities included policy development and implementation. Earlier in his career, Mr. White was a Portfolio Manager, Director of Corporate Governance, for the California Public Employees’ Retirement System (“CalPERS”), where he was responsible for all components of its Governance Program, including $3 billion in active management, policy development and implementation, proxy voting and focused engagement activities. Prior to CalPERS, Mr. White was an Investment Officer – Deputy State Treasurer at the California State Treasurer’s Office, where his duties included fixed income portfolio analysis and trading, among other responsibilities. He has served as a director of Clear Channel Outdoor Holdings, Inc. (NYSE: CCO) since 2024.</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Mr. White earned an MBA from California State University in Sacramento with a concentration in finance. He is also a Chartered Financial Analyst Charterholder.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NN</w:t>
      </w:r>
    </w:p>
    <w:p>
      <w:pPr>
        <w:spacing w:after="0" w:line="229"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7"/>
          <w:szCs w:val="17"/>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w:t>
      </w:r>
    </w:p>
    <w:p>
      <w:pPr>
        <w:spacing w:after="0" w:line="1" w:lineRule="exact"/>
        <w:rPr>
          <w:sz w:val="20"/>
          <w:szCs w:val="20"/>
          <w:color w:val="auto"/>
        </w:rPr>
      </w:pPr>
    </w:p>
    <w:p>
      <w:pPr>
        <w:ind w:right="960" w:firstLine="8"/>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facilities in North America, Europe, South America, and China. For more information about the company and its products, please visit www.nninc.com.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Caminiti or Stephen Poe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NNBR@alpha-ir.com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312-445-2870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express and implied forward-looking statements within the meaning of the Private Securities Litigation Reform Act of 1995, including, but not limited to, statements regarding the Company’s previously announced review of strategic, financing and other alternatives, including the timing and outcome of such review, our long-term financial profile and other statements that are not historical fact.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material changes in the costs and availability of raw materials; the level of our indebtedness; our ability to secure, maintain or enforce patents or other appropriate protections for our intellectual property;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5"/>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25"/>
    </w:lvl>
  </w:abstractNum>
  <w:abstractNum w:abstractNumId="8">
    <w:nsid w:val="12200854"/>
    <w:multiLevelType w:val="hybridMultilevel"/>
    <w:lvl w:ilvl="0">
      <w:lvlJc w:val="left"/>
      <w:lvlText w:val="%1"/>
      <w:numFmt w:val="upperLetter"/>
      <w:start w:val="40"/>
    </w:lvl>
  </w:abstractNum>
  <w:abstractNum w:abstractNumId="9">
    <w:nsid w:val="4DB127F8"/>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2026-01-20T07:21:58Z</dcterms:created>
  <dcterms:modified xsi:type="dcterms:W3CDTF">2026-01-20T07:21:58Z</dcterms:modified>
</cp:coreProperties>
</file>