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840"/>
        <w:spacing w:after="0"/>
        <w:rPr>
          <w:sz w:val="20"/>
          <w:szCs w:val="20"/>
          <w:color w:val="auto"/>
        </w:rPr>
      </w:pPr>
      <w:r>
        <w:rPr>
          <w:rFonts w:ascii="Arial" w:cs="Arial" w:eastAsia="Arial" w:hAnsi="Arial"/>
          <w:sz w:val="21"/>
          <w:szCs w:val="21"/>
          <w:b w:val="1"/>
          <w:bCs w:val="1"/>
          <w:color w:val="auto"/>
        </w:rPr>
        <w:t>Date of Report (Date of earliest event reported): June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1056005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172720</wp:posOffset>
            </wp:positionV>
            <wp:extent cx="65151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41"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820" w:space="720"/>
            <w:col w:w="2900" w:space="720"/>
            <w:col w:w="1660"/>
          </w:cols>
          <w:pgMar w:left="240" w:top="341"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41" w:right="839" w:bottom="1440" w:gutter="0" w:footer="0" w:header="0"/>
          <w:type w:val="continuous"/>
        </w:sectPr>
      </w:pPr>
    </w:p>
    <w:p>
      <w:pPr>
        <w:spacing w:after="0" w:line="6" w:lineRule="exact"/>
        <w:rPr>
          <w:sz w:val="24"/>
          <w:szCs w:val="24"/>
          <w:color w:val="auto"/>
        </w:rPr>
      </w:pPr>
    </w:p>
    <w:p>
      <w:pPr>
        <w:ind w:left="2960"/>
        <w:spacing w:after="0"/>
        <w:rPr>
          <w:sz w:val="20"/>
          <w:szCs w:val="20"/>
          <w:color w:val="auto"/>
        </w:rPr>
      </w:pPr>
      <w:r>
        <w:rPr>
          <w:rFonts w:ascii="Arial" w:cs="Arial" w:eastAsia="Arial" w:hAnsi="Arial"/>
          <w:sz w:val="16"/>
          <w:szCs w:val="16"/>
          <w:b w:val="1"/>
          <w:bCs w:val="1"/>
          <w:color w:val="auto"/>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37604</w:t>
      </w:r>
    </w:p>
    <w:p>
      <w:pPr>
        <w:spacing w:after="0" w:line="61" w:lineRule="exact"/>
        <w:rPr>
          <w:sz w:val="24"/>
          <w:szCs w:val="24"/>
          <w:color w:val="auto"/>
        </w:rPr>
      </w:pPr>
    </w:p>
    <w:p>
      <w:pPr>
        <w:sectPr>
          <w:pgSz w:w="11900" w:h="16838" w:orient="portrait"/>
          <w:cols w:equalWidth="0" w:num="2">
            <w:col w:w="8660" w:space="720"/>
            <w:col w:w="1440"/>
          </w:cols>
          <w:pgMar w:left="240" w:top="341" w:right="839" w:bottom="1440" w:gutter="0" w:footer="0" w:header="0"/>
          <w:type w:val="continuous"/>
        </w:sectPr>
      </w:pPr>
    </w:p>
    <w:p>
      <w:pPr>
        <w:ind w:left="2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1560"/>
          </w:cols>
          <w:pgMar w:left="240" w:top="341" w:right="839" w:bottom="1440" w:gutter="0" w:footer="0" w:header="0"/>
          <w:type w:val="continuous"/>
        </w:sectPr>
      </w:pPr>
    </w:p>
    <w:p>
      <w:pPr>
        <w:jc w:val="center"/>
        <w:ind w:right="-59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820"/>
          </w:cols>
          <w:pgMar w:left="240" w:top="341" w:right="839" w:bottom="1440" w:gutter="0" w:footer="0" w:header="0"/>
          <w:type w:val="continuous"/>
        </w:sectPr>
      </w:pPr>
    </w:p>
    <w:p>
      <w:pPr>
        <w:spacing w:after="0" w:line="21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41" w:right="8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Company has announced the commencement of a follow-on offering of 6,000,000 shares of its common stock led by KeyBanc Capital Markets Inc. as sole book-running manager. William Blair &amp; Company, L.L.C., Stephens Inc., Stifel, Nicholaus, &amp; Company, Incorporated, Avondale Partners, LLC, CJS Securities, Inc. and Regions Securities LLC are serving as co-managers in connection with the offering.</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More detailed information on the equity offering can be found in the preliminary prospectus supplement and accompanying prospectus relating to the equity offering that were filed today with the U.S. Securities and Exchange Commission.</w:t>
      </w:r>
    </w:p>
    <w:p>
      <w:pPr>
        <w:spacing w:after="0" w:line="31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80"/>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NN, Inc. dated June 22, 2015.</w:t>
      </w:r>
    </w:p>
    <w:p>
      <w:pPr>
        <w:sectPr>
          <w:pgSz w:w="11900" w:h="16838" w:orient="portrait"/>
          <w:cols w:equalWidth="0" w:num="1">
            <w:col w:w="11260"/>
          </w:cols>
          <w:pgMar w:left="240" w:top="270"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Kelly,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William C. Kelly, Jr.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Chief Administrative Officer</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NN, Inc. dated June 22, 2015.</w:t>
      </w:r>
    </w:p>
    <w:p>
      <w:pPr>
        <w:sectPr>
          <w:pgSz w:w="11900" w:h="16838" w:orient="portrait"/>
          <w:cols w:equalWidth="0" w:num="1">
            <w:col w:w="10199"/>
          </w:cols>
          <w:pgMar w:left="26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2080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20800" cy="308610"/>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172085</wp:posOffset>
            </wp:positionV>
            <wp:extent cx="179260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26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Corporate Treasurer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434-8398</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AT FINANCIAL RELATIONS BOARD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212-827-3773</w:t>
      </w:r>
    </w:p>
    <w:p>
      <w:pPr>
        <w:spacing w:after="0" w:line="200"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22, 2015</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ANNOUNCES PUBLIC OFFERING OF COMMON STOCK</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Johnson City, Tennessee, June 22, 2015 –</w:t>
      </w:r>
      <w:r>
        <w:rPr>
          <w:rFonts w:ascii="Arial" w:cs="Arial" w:eastAsia="Arial" w:hAnsi="Arial"/>
          <w:sz w:val="18"/>
          <w:szCs w:val="18"/>
          <w:color w:val="auto"/>
        </w:rPr>
        <w:t>NN, Inc., (NASDAQ: NNBR) a diversified industrial company, today announced that it is commencing an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underwritten registered public offering of 6,000,000 shares of its common stock. In connection with this offering, NN expects to grant the underwriters a 30-day option to purchase up to an additional 900,000 shares. There can be no assurance as to whether or when the offering may be completed, or as to the actual size or terms of the offering.</w:t>
      </w:r>
    </w:p>
    <w:p>
      <w:pPr>
        <w:spacing w:after="0" w:line="184" w:lineRule="exact"/>
        <w:rPr>
          <w:sz w:val="20"/>
          <w:szCs w:val="20"/>
          <w:color w:val="auto"/>
        </w:rPr>
      </w:pPr>
    </w:p>
    <w:p>
      <w:pPr>
        <w:ind w:right="120" w:firstLine="8"/>
        <w:spacing w:after="0" w:line="264"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intends to use the net proceeds from the offering to repay debt under its term loan and asset-backed revolving credit facility, and the remainder of the net proceeds will be used for other general corporate purposes, including to fund acquisitions and investments, to finance capital expenditures, to repay or refinance other borrowings and to provide working capital.</w:t>
      </w:r>
    </w:p>
    <w:p>
      <w:pPr>
        <w:spacing w:after="0" w:line="181"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KeyBanc Capital Markets Inc. is acting as sole book-running manager for the offering and William Blair &amp; Company, L.L.C., Stephens Inc., Stifel, Nicholaus, &amp; Company, Incorporated, Avondale Partners, LLC, CJS Securities, Inc. and Regions Securities LLC are acting as co-managers.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shares are being offered pursuant to a shelf registration statement on Form S-3 filed with the Securities Exchange Commission on December 29, 2014 and declared effective on February 23, 2015. A preliminary prospectus supplement and accompanying prospectus relating to the offering have been filed with the SEC. A copy of the preliminary prospectus supplement and accompanying prospectus relating to the offering are available on the SEC’s website at www.sec.gov. Copies may also be obtained from KeyBanc Capital Markets Inc., Attention: Equity Syndicate, 127 Public Square, 4th Floor, Cleveland, Ohio 44114 or by telephone at (800) 859-1783.</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ectPr>
          <w:pgSz w:w="11900" w:h="16838" w:orient="portrait"/>
          <w:cols w:equalWidth="0" w:num="1">
            <w:col w:w="11420"/>
          </w:cols>
          <w:pgMar w:left="240" w:top="121" w:right="239" w:bottom="1440" w:gutter="0" w:footer="0" w:header="0"/>
          <w:type w:val="continuous"/>
        </w:sectPr>
      </w:pPr>
    </w:p>
    <w:bookmarkStart w:id="5" w:name="page6"/>
    <w:bookmarkEnd w:id="5"/>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 a diversified industrial company manufactures and supplies high precision metal bearing components, industrial plastic and rubber products and precision metal components to a variety of markets on a global basis. Headquartered in Johnson City, Tennessee, NN has 26 manufacturing plants in the United States, Western Europe, Eastern Europe, South America and China.</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the Company’s ability to obtain required regulatory approvals or satisfy closing conditions, the costs of an acquisition and the Company’s source(s) of financing, the future performance and prospects of an acquired business, the expected benefits of an acquisition on the Company’s future business and operations and the ability of the Company to successfully integrate recently acquired businesses.</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2014.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4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2019-12-06T10:20:39Z</dcterms:created>
  <dcterms:modified xsi:type="dcterms:W3CDTF">2019-12-06T10:20:39Z</dcterms:modified>
</cp:coreProperties>
</file>